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Creation of Role of Depute Chief Executive</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To create a new role of Depute Chief Executive.</w:t>
            <w:br/>
            <w:t/>
            <w:br/>
            <w:t/>
            <w:br/>
            <w:t/>
            <w:br/>
            <w:t>The role will assist the Chief Executive with strategic leadership and representation with external parties.</w:t>
            <w:br/>
            <w:t/>
            <w:br/>
            <w:t/>
            <w:br/>
            <w:t/>
            <w:br/>
            <w:t>It will aid succession planning for the future senior leadership.</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Davidson, Iain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22/10/2026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No</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There are no specific impacts, positive or negative on any of the equality characteristics.</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There are no specific impacts, positive or negative on any of the equality characteristics.</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The proposal relates to the creation of one post. There are no specific impacts on the Fairer Scotland duty.</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The proposal relates to the creation of one post. There are no specific impacts on the Fairer Scotland duty.</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The proposal relates to the creation of one post. There are no specific impacts on the Fairer Scotland duty.</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The proposal relates to the creation of one post. There are no specific impacts on the Fairer Scotland duty.</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The proposal relates to the creation of one post. There are no specific impacts on the Fairer Scotland duty.</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The proposal relates to the creation of one post. There are no specific impacts on the Fairer Scotland duty.</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&lt;p&gt;The proposal relates to the creation of one post. There are no specific impacts on the Fairer Scotland duty.&lt;/p&gt;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The proposal relates to the creation of one post. There are no specific impacts on the Fairer Scotland duty.</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The proposal relates to the creation of one post. There are no specific impacts on the Fairer Scotland duty.</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No impact</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The proposal is the creation of a senior role which will assist in strategic delivery and engagement and provide present and future resilience.
There are no direct impacts on the characteristics or other matters considered by this assessment.</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Davidson, Iain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Employee Relations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22/10/2026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22/10/2026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