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Review of financial support to community councils</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Communities &amp; Partnerships</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Resilient Communities</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Malster, Clare</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Community Co-ordinator</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13/10/2026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Five community councillors and five Elected Members were part of the Working Group which agreed the proposed recommendations based on their real life experience.
Community council accounts and hall hire reimbursements was available and analysed to inform the discussions had by the Working Group.</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No</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Five community councillors and five Elected Members were part of the Working Group which agreed the proposed recommendations based on their real life experience.</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The Working Group has concluded its discussions and agreed draft recommendations to be considered by Scottish Borders Council at the meeting on 05/11/26.</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The recommenmdations were shapesd and agreed by community councillors and Elkected Members.</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Minutes, agendas and other associated papers are available on the SBC website: Browse meetings - Community Council Funding Review Working Group - Scottish Borders Council</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There are no negative impacted associated due to the proposals in the report. Increasing funding to community councils could have a positive impact on those with low/no income. The annual support grant should be used to pay any expenses incurred by community councillors but not all claim as they feel that the community council can't afford the cost. Increased funding may help to alleviate this although no community councillor should be out of pocket, all should be encouraged to claim. This may also be true for those experiencing other income related factors.</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Malster, Clare</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Community Co-ordinator</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21/10/2026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Craig, Jenni</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25/10/2026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The proposal will be presented to Council on 5 November for decision. It is proposed to review financial support again the three years' time.
Arrangements will be considered nearer the time but the process is likely to replicate that undertaken this year.</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See above</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01/03/2029</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Malster, Clare</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