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Borders Economic Priorities Framework</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Economic Development</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Resilient Communities</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Smith, Samantha</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Chief Officer - Economic Development</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11/06/2026</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The framework is based on a robust and varied evidence base, drawing on published national statistics, statutory guidance, policy documents, and recognised economic and labour market analysis. It also responds to community aspirations expressed through the Council’s Community Conversations and Budget Consultation, which were reported to Council on 19 February 2026 and highlighted consistent concern about transport connectivity and housing pressures across the region; related engagement material also shows community interest in tourism and in the value of culture and sport services.
Sources
National Records of Scotland (NRS).
Scottish Government, Fairer Scotland Duty: guidance for public bodies. 
Scottish Government, Child poverty. 
Scottish Government, Child poverty: analysis.
Scottish Government, Scotland’s Labour Market Insights: April 2025.
Scottish Government, Scotland’s Labour Market Insights: April 2026.
Scottish Government, Gender Pay Gap - Annual Survey of Hours and Earnings 2025.
Scottish Government / mygov.scot, Helping disabled people access work.
Scottish Government, Inequalities and challenges experienced by disabled people in Scotland: evidence review. 
Scottish Government, The Scottish Health Survey 2023 - volume 1: main report.
National Records of Scotland, Drug-related deaths in Scotland, 2024.
Public Health Scotland, Alcohol Consumption and Harms Dashboard 2023/2024.
UK Parliament, Evidence on Problem drug use in Scotland (Department for Work and Pensions written evidence).
Scottish Government, UNCRC (Incorporation) (Scotland) Act 2024 - part 2: statutory guidance.
NHS Health Scotland / DERA, Child Poverty in Scotland: health impact and health inequalities.
Scottish Agricultural Census. 
Census 2022 / 2022 Census. 
Local Heat and Energy Efficiency Strategy (LHEES).
UK Industrial Strategy. 
Scottish Government, National Strategy for Economic Transformation (NSET).
Regional Skills Assessment (RSA). 
R100. 
Project Gigabit.
South of Scotland Regional Economic Partnership.
Borderlands Place Programme.
Eyemouth Harbour Masterplan. 
Energy &amp; Climate Intelligence Unit (ECIU), UK net zero economy grows 10% in a year, finds new report. 
CBI Economics / Energy &amp; Climate Intelligence Unit, The Future is Green: The economic opportunities brought by the UK’s net zero economy.
Fraser of Allander Institute, The Economic Impact of Scotland’s Renewable Energy Sector - 2025 Update.
Scottish Government, Scotland’s Draft Climate Change Plan 2026–2040.
Scottish Government, Community Benefits from Net Zero Energy Developments consultation material.
Invest in South of Scotland - Net Zero Starts Here</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The framework is supported by a robust evidence base on the Borders’ underlying socio-economic conditions, including demography, productivity, employment, connectivity, housing and the wider economic context. It also identifies a clear strategic set of priority areas and associated investment propositions intended to guide the Council’s economic development activity.
However, there are some important gaps in the evidence at this stage. In particular, the direct quantified effects of the individual investment propositions are not yet fully developed. The current evidence base is stronger on the strategic case for intervention and the structural challenges the framework is intended to address than on the precise scale, timing and distribution of impacts that may arise from each specific proposition. This is expected to be developed further as the framework is taken forward and individual propositions are translated into more detailed business cases, delivery plans and investment decisions.
Evidence is also currently more limited in relation to technology and AI. The framework identifies digitalisation, automation and AI as important emerging opportunities and points to growth potential in information and communication activity, but these are relatively fast-moving and still-evolving areas. As a result, there is less mature local evidence on likely uptake, application and impact in the Borders than in more established policy areas such as housing, transport, demography or health and care.</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Yes</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No concerns flagged.</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The framework was developed primarily through Corporate Policy and Economic Development, with oversight and input through the Corporate Management Team (CMT), Resilient Communities leadership, and the Admin Policy Working Group (APWG). It also drew on wider officer input from across the economic development / strategic investment landscape, including engagement with SOSE.</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No further engagement planned.</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Engagement on the framework indicated a generally positive reception to the overall direction of travel, and broad contentment with the framework’s strategic focus. Feedback also reinforced the value of having a more focused and disciplined framework that makes the Borders’ priorities.
Feedback on successive drafts also highlighted the importance of making the strategic logic as clear as possible, including by setting out more clearly the practical investment propositions flowing from the priority growth portfolios. On that basis, the engagement helped refine the framework by reinforcing both the case for a selective priorities-based approach and the need to outline the associated investment propositions more explicitly within the document</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The evidence points to a clear set of structural challenges for the Scottish Borders. In particular, it highlights demographic pressure, including an ageing population and a tightening working-age labour pool, alongside persistent weaknesses in productivity, pay and the overall value generated by the local economy. The evidence also shows that these pressures are interconnected: lower productivity and pay weaken household incomes and make it harder to retain and attract working-age residents, while demographic change places added pressure on labour supply and service demand.
At the same time, the evidence identifies a set of key growth portfolios where the Borders has credible long-term opportunity and where Council action can help shift the fundamentals over time. These include energy and retrofit, the visitor economy, agriculture and land-use transition, and the wider “good jobs foundations” associated with digital adoption, health and care workforce sustainability, and education pathways. The framework also translates that strategic analysis into a set of practical investment propositions, including transport connectivity, Borders Railway, Eyemouth Harbour, regional EV charging, business infrastructure and energy infrastructure.
The evidence also helps strengthen the link between the need for economic growth in the Borders and wider public health, equality and inclusion considerations. As set out elsewhere in the IIA evidence base, economic conditions such as poverty, weak earnings, housing pressures and barriers to access are closely connected to health, wellbeing and inequality outcomes. In that sense, the case for growth in the Borders is not only economic, but also linked to broader social outcomes and the conditions needed for communities to thrive.</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Smith, Samantha</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Chief Officer - Economic Development</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11/06/2026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Craig, Jenni</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06/07/2026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As this is a framework document, the specific projects and investment propositions taken forward under it will be subject to their own monitoring and review arrangements, including project-level action plans and delivery mechanisms where appropriate. Overall responsibility for monitoring the operation and effect of the framework will sit with the Chief Officer for Economic Development, with the framework kept under ongoing review and subject to a formal review point on an annual basis.</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See above, the overall  responsibility for monitoring the operation and effect of the framework will sit with the Chief Officer for Economic Development, with the framework kept under ongoing review and subject to a formal review point on an annual basis.</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29/07/2027</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Smith, Samantha</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