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SBCway Learner Pledge</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Education</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Education and Lifelong Learning</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Bewsey, James</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Quality Improvement Officer</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17/05/2026</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Planned consultation with education service staff and affiliated agencies (eg. Skills Development Scotland)
Informational consultation with parent representatives through dialogue at parent council meetings.</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Full engagement with children and young people is planned as Phase 2 of the Learner Pledge development. A full engagement plan has been drafted.</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Yes</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No gaps identified as Phase 2 ensures pupil voice integral to final approach.</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Children and young people - part of Phase 2 of the Learner Pledge project
Education Service staff - part of Phase 3 of the project (once pupil voice gathered)
Parents / carers - part of Phase 3 of the project (once pupil voice gathered)</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Phase 2 (Children and young people)
Early Years &amp; P1–3: Story-based &amp; creative play sessions
P4–7: Workshops &amp; creative challenges. Focus on outdoor learning, trips, projects, enterprise
S1–S3: Design labs, focus groups, digital surveys. Focus on general entitlements, local context, real-world skills
ASN &amp; targeted groups. Tailored small group sessions. Focus on inclusion, accessibility, enjoyment, belonging
Phase 3 (Adults)
Parents / Carers: Review of refined Learner Pledge, following engagement with c&amp;yp. 
Staff Focus Group: Review of refined Learner Pledge, following engagement with c&amp;yp.</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Previous consultation with education staff and parents/carers directly informed the Phase 1 proposal that forms the basis of this project.</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Phase 1 engagement - scoping exercise
1) SBC staff and wider stakeholders session 1
23rd January 2025
8
Microsoft Teams
No protected characteristics specifically represented 
Open forum to respond to prompt question - what experiences should all c&amp;yp benefit from during school career?
Collated discussions
2) SBC staff and wider stakeholders session 2
25th February 2025
8
Microsoft Teams
No protected characteristics specifically represented 
Responses submitted via online discussion platform (Padlet)
Collated responses
3) SBC staff and wider stakeholders session 3
24th March 2025
8
Microsoft Teams
No protected characteristics specifically represented 
Open forum to respond to summary of previous engagement
Collated responses
4) SBC staff (PE and Active Schools)
9th October 2025
3
Microsoft Teams
No protected characteristics specifically represented 
Open forum to respond to prompt question - what sports activities should all c&amp;yp benefit from during school career?
Collated discussions
4) Parent Council representatives
5th June 2025
Unconfirmed as open invite
Microsoft Teams
No protected characteristics specifically represented 
Open forum to respond to prompt question - what experiences should all c&amp;yp benefit from during school career?
Collated discussions</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Phase 1 engagement universally supports the commitment to drafting a Learner Pledge. Staff and parents/carers welcome the opportunity to specify opportunities for all children and young people.
Key considerations for moving forward include:
Ensuring c&amp;yp meaningfully involved in the process of designing a Learner Pledge
Specifically ensuring c&amp;yp with protected characteristics are involved in the process.
Nothing has surfaced that would could a disproportionate impact on equality or Fairer Scotland characteristics.</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Bewsey, James</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Quality Improvement Officer</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01/06/2026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Munro, Lesley</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10/06/2026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Phase 2 of the project will include:
Presentation of project proposal to Education sub-committee, recommending progress to Phase 2. 
Engagement with c&amp;yp as per engagement plan.
Summary of c&amp;yp engagement, identifying any required changes to Phase 1 draft.
Sharing of updated proposal 
Phase 3 of the project will include:
Engagement with SBC education staff group, reviewing updated proposal reflecting c&amp;yp input.
Engagement with parent/carer group, reviewing updated proposal reflecting c&amp;yp input.
Presentation of final Learner Pledge to Education sub-committee.</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Monitoring will be co-ordinated and overseen by myself, as lead officer. (James Bewsey)</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31/03/2027</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Bewsey, James</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