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Policy on Dignity &amp; Respect in the Workplace</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purpose of the policy is to give a clear statement of the Council’s position on dignity and respect in the workplace; to give examples of the types of behaviour which would constitute unacceptable behaviour; make clear the respective responsibilities of managers and employees; and make clear the process to be followed if an employee believes they have suffered unacceptable behaviour.</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Human Resources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Smedley, Ivana</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20/02/2026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20/02/2026 
Grievance
20/02/2026 
Disciplinary Procedures for Misconduct
Equality Diversity &amp; Human Rights Policy
Family Friendly Policies
Code of Conduct for Employees
Councillors' Code of Conduct</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will help eliminate discrimination by setting out what constitutes unacceptable behaviour, including discriminatory behaviour, making the responsibilities of managers and employees clear and detailing a process employees can use if they believe they have been subject to discrimination.
Any discriminatory behaviour is clearly proscribed by the policy and there are effective remedies for addressing it. This assists in providing equality of opportunity,
Making clear the standards of behaviour expected and providing remedies if unacceptable behaviour occurs will help foster good relations.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&lt;p&gt;&lt;strong&gt;&lt;span style="font-size:11.0pt"&gt;&lt;span&gt;&lt;span&gt;The requirement to treat everyone with dignity and respect will have a positive impact on this group.&lt;/span&gt;&lt;/span&gt;&lt;/span&gt;&lt;/strong&gt;&lt;/p&gt;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requirement to treat everyone with dignity and respect will have a positive impact on this group.</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proposal itself does not affect access to services but should have a positive impact on customer experience and improve access to information.</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Yes</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20/02/2026 
The requirement to treat everyone with dignity and respect will have a positive impact..</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20/02/2026 
The requirement to treat everyone with dignity and respect means that everyone will be given the opportunity to express their views freely and without judgement, within the boundaries of reasonableness,</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It is anticipated that the impact of this policy will be entirely positive, but the practical application of this will be monitored and any necessary remedial action taken.</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Smedley, Ivana</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HR Advisor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ACAF916B-A0F3-468E-9496-E1C9E7FD80DF}"/>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