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Vacancy management</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In order to release budget, vacancies will be removed on a permanent basis if they are not required to be filled.</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All</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Finance and Procurement</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Davidson, Iain</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11/02/2026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Yes</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11/02/2026 
Redeployment and retention policy</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There may be fewer employment opportunities available with the Council.</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There may be fewer employment opportunities available with the Council.</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There may be fewer employment opportunities available with the Council.</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N/A</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N/A</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N/A</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N/A</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N/A</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N/A</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Yes</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There may be fewer employment opportunities available with the Council.</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N/A</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Dependant on location there may be fewer employment opportunities available with the Council.</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11/02/2026 
N/A</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There may be fewer employment opportunities available with the Council.</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There may be fewer employment opportunities available with the Council.</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&lt;p&gt;N/A&lt;/p&gt;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N/A</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There may be fewer employment opportunities available with the Council.</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The vacancies will be considered in terms of service impact on service users.</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11/02/2026 
As above.</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Given the vacancies will be reviewed on an individual basis a full impact assessment should not be required. Any potential issues should be picked up and addressed at the point the vacancy is being considered for removal.</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Davidson, Iain</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Employee Relations Manager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Hepburn, Clair</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11/02/2026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D2356D3D-3CAB-498C-8804-60398386E257}"/>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