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Care at Home Design</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project group was created to review and update the care at home frame work for providers which lapsed in 2017. This has meant that contracts have rolled over annually with no framework in place. This framework will only apply to SW managed care (option 3).</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Adult Services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Social Work &amp; Practice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Davies, Bryan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Douglas, Ryan Thomas 
Smyth, Daniel
Law, Karen 
Scott, Allida
 Yallop, John</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24/06/2024</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11/02/2026 
Care at home redesign project</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Delivery of person-centered care that is designed in a way which eliminates any discriminatory practice
Sustainable commissioning of care ensuring equality of life outcomes for those choosing to receive care from commissioned care services.
Empowering people who are to be cared for or being cared for to be fully involved in decisions regarding their care service
Staff awareness of diversity and differences will increase because of cultural awareness programmes
Current inequality in employment contracts has the potential to be addressed increasing recruitment and retention of staff in commissioned services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Positive Impact</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Positive Impact</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&lt;p&gt;No impact&lt;/p&gt;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Positive Impact</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This will enhance the provision of Social Work enhanced care.</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Not applicable.</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There is no alteration of choice in the SW Act. The project's intention is to enhance the provision of SW managed care (Option 3).</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Davies, Bryan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Myers, Chris</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12/02/2026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E0A8CE16-CCCF-43E3-A57F-4F426BDD15E3}"/>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