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Recharge for provision of Audit &amp; Risk services to the Integration Joint Board (separate legal entity)</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provision of corporate services by Scottish Borders Council’s Audit &amp; Risk i.e. Internal Audit assurance and Risk Management support services up until now has not been recharged to the Scottish Borders Health and Social Care Integration Joint Board (IJB) but rather reflected the Council’s contribution of corporate support resources. The expenditure of the IJB as a separate legal entity should reflect these costs associated with these important elements of good governance and ensure consistency with other charges from the Partners for corporate services provided i.e. External Audit fees. Furthermore, this would ensure consistency of practice in recharging for SBC Audit &amp; Risk services to other separate legal entities. For example, this recharging practice for Audit &amp; Risk services has been applied since 2024/25 to the SBC Pension Fund as a separate legal entity.</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Audit &amp; Risk</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Corporate Governance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Stacey, Jill</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Formal proposal will need to be submitted through the governance mechanisms associated with the Integration Joint Board as a separate legal entity i.e. Joint Executive Team, Strategic Planning Group, and IJB Board (formal approval) and IJB Audit Committee (resources reflected in the Internal Audit Annual Plan 2026/27).</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11/02/2026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Stacey, Jill</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Chief Officer Audit &amp; Risk</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McKinlay, Nuala</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F5D344DB-988D-4DE8-A057-36ED74403AFE}"/>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