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customXml/item2.xml" ContentType="application/xml"/>
  <Override PartName="/customXml/itemProps2.xml" ContentType="application/vnd.openxmlformats-officedocument.customXmlProperties+xml"/>
  <Override PartName="/word/header3.xml" ContentType="application/vnd.openxmlformats-officedocument.wordprocessingml.header+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8.5 % Council Tax Increase</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It is being proposed that Council Tax should increase by 8.5% effective from 1 April 2026</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Revenues &amp; Benefits</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Resilient Communities</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Craig, Jenni</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sidR="00050576">
        <w:rPr>
          <w:rFonts w:ascii="Arial" w:hAnsi="Arial" w:cs="Arial"/>
          <w:b w:val="1"/>
          <w:bCs w:val="1"/>
          <w:sz w:val="24"/>
          <w:szCs w:val="24"/>
        </w:rPr>
        <w:t>F. Other Officers/Partners involved:</w:t>
      </w:r>
      <w:r w:rsidRPr="3BA89479" w:rsidR="001C73AC">
        <w:rPr>
          <w:rFonts w:ascii="Arial" w:hAnsi="Arial" w:cs="Arial"/>
          <w:b w:val="1"/>
          <w:bCs w:val="1"/>
          <w:sz w:val="24"/>
          <w:szCs w:val="24"/>
        </w:rPr>
        <w:t xml:space="preserve"> </w:t>
      </w:r>
      <w:r w:rsidRPr="3BA89479" w:rsidR="00050576">
        <w:rPr>
          <w:rFonts w:ascii="Arial" w:hAnsi="Arial" w:cs="Arial"/>
          <w:sz w:val="24"/>
          <w:szCs w:val="24"/>
        </w:rPr>
        <w:t>(List names, job titles</w:t>
      </w:r>
      <w:r w:rsidRPr="3BA89479" w:rsidR="00050576">
        <w:rPr>
          <w:rFonts w:ascii="Arial" w:hAnsi="Arial" w:cs="Arial"/>
          <w:b w:val="1"/>
          <w:bCs w:val="1"/>
          <w:sz w:val="24"/>
          <w:szCs w:val="24"/>
        </w:rPr>
        <w:t xml:space="preserve"> </w:t>
      </w:r>
      <w:r w:rsidRPr="3BA89479" w:rsidR="00050576">
        <w:rPr>
          <w:rFonts w:ascii="Arial" w:hAnsi="Arial" w:cs="Arial"/>
          <w:sz w:val="24"/>
          <w:szCs w:val="24"/>
        </w:rPr>
        <w:t>and organisations)</w:t>
      </w:r>
      <w:r w:rsidRPr="3BA89479" w:rsidR="001C73AC">
        <w:rPr>
          <w:rFonts w:ascii="Arial" w:hAnsi="Arial" w:eastAsia="Arial" w:cs="Arial"/>
          <w:sz w:val="24"/>
          <w:szCs w:val="24"/>
        </w:rPr>
        <w:t xml:space="preserve"> </w:t>
      </w:r>
    </w:p>
    <w:sdt>
      <w:sdtPr>
        <w:id w:val="-42135818"/>
        <w:placeholder>
          <w:docPart w:val="DefaultPlaceholder_-1854013440"/>
        </w:placeholder>
        <w:text/>
        <w:rPr>
          <w:rFonts w:ascii="Arial" w:hAnsi="Arial" w:eastAsia="Arial" w:cs="Arial"/>
          <w:sz w:val="24"/>
          <w:szCs w:val="24"/>
        </w:rPr>
      </w:sdtPr>
      <w:sdtContent>
        <w:p w:rsidR="009D4019" w:rsidP="001C73AC" w:rsidRDefault="001C765A" w14:paraId="0CB7FC98" w14:textId="30EFE8B5">
          <w:pPr>
            <w:spacing w:before="120"/>
            <w:rPr>
              <w:rFonts w:ascii="Arial" w:hAnsi="Arial" w:cs="Arial"/>
              <w:bCs/>
              <w:sz w:val="24"/>
              <w:szCs w:val="24"/>
            </w:rPr>
          </w:pPr>
          <w:r w:rsidRPr="3BA89479" w:rsidR="001C765A">
            <w:rPr>
              <w:rFonts w:ascii="Arial" w:hAnsi="Arial" w:cs="Arial"/>
              <w:sz w:val="24"/>
              <w:szCs w:val="24"/>
            </w:rPr>
            <w:t/>
          </w: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sidR="00050576">
        <w:rPr>
          <w:rFonts w:ascii="Arial" w:hAnsi="Arial" w:cs="Arial"/>
          <w:b w:val="1"/>
          <w:bCs w:val="1"/>
          <w:sz w:val="24"/>
          <w:szCs w:val="24"/>
        </w:rPr>
        <w:t>G. Date IIA completed:</w:t>
      </w:r>
      <w:r w:rsidRPr="28CFDF49" w:rsidR="001C73AC">
        <w:rPr>
          <w:rFonts w:ascii="Arial" w:hAnsi="Arial" w:cs="Arial"/>
          <w:b w:val="1"/>
          <w:bCs w:val="1"/>
          <w:sz w:val="24"/>
          <w:szCs w:val="24"/>
        </w:rPr>
        <w:t xml:space="preserve"> </w:t>
      </w:r>
      <w:sdt>
        <w:sdtPr>
          <w:id w:val="2066838237"/>
          <w:text/>
          <w:placeholder>
            <w:docPart w:val="DefaultPlaceholder_-1854013440"/>
          </w:placeholder>
          <w:rPr>
            <w:rFonts w:ascii="Arial" w:hAnsi="Arial" w:eastAsia="Arial" w:cs="Arial"/>
            <w:sz w:val="24"/>
            <w:szCs w:val="24"/>
          </w:rPr>
        </w:sdtPr>
        <w:sdtContent>
          <w:r w:rsidRPr="28CFDF49" w:rsidR="001C765A">
            <w:rPr>
              <w:rFonts w:ascii="Arial" w:hAnsi="Arial" w:cs="Arial"/>
              <w:sz w:val="24"/>
              <w:szCs w:val="24"/>
            </w:rPr>
            <w:t>10/02/2026</w:t>
          </w:r>
        </w:sdtContent>
        <w:sdtEndPr>
          <w:rPr>
            <w:rFonts w:ascii="Arial" w:hAnsi="Arial" w:eastAsia="Arial" w:cs="Arial"/>
            <w:sz w:val="24"/>
            <w:szCs w:val="24"/>
          </w:rPr>
        </w:sdtEndPr>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1C765A" w14:paraId="5C754ADC" w14:textId="4525E848">
      <w:pPr>
        <w:rPr>
          <w:rFonts w:ascii="Arial" w:hAnsi="Arial" w:eastAsia="Arial" w:cs="Arial"/>
          <w:sz w:val="24"/>
          <w:szCs w:val="24"/>
        </w:rPr>
      </w:pPr>
      <w:sdt>
        <w:sdtPr>
          <w:id w:val="727493220"/>
          <w:text/>
          <w:placeholder>
            <w:docPart w:val="DefaultPlaceholder_-1854013440"/>
          </w:placeholder>
          <w:rPr>
            <w:rFonts w:ascii="Arial" w:hAnsi="Arial" w:eastAsia="Arial" w:cs="Arial"/>
            <w:sz w:val="24"/>
            <w:szCs w:val="24"/>
          </w:rPr>
        </w:sdtPr>
        <w:sdtContent>
          <w:r w:rsidRPr="3BA89479" w:rsidR="001C765A">
            <w:rPr>
              <w:rFonts w:ascii="Arial" w:hAnsi="Arial" w:eastAsia="Arial" w:cs="Arial"/>
              <w:sz w:val="24"/>
              <w:szCs w:val="24"/>
            </w:rPr>
            <w:t>Yes</w:t>
          </w:r>
        </w:sdtContent>
        <w:sdtEndPr>
          <w:rPr>
            <w:rFonts w:ascii="Arial" w:hAnsi="Arial" w:eastAsia="Arial" w:cs="Arial"/>
            <w:sz w:val="24"/>
            <w:szCs w:val="24"/>
          </w:rPr>
        </w:sdtEndPr>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14:noSpellErr="1">
      <w:pPr>
        <w:rPr>
          <w:rFonts w:ascii="Arial" w:hAnsi="Arial" w:eastAsia="Arial" w:cs="Arial"/>
          <w:sz w:val="24"/>
          <w:szCs w:val="24"/>
        </w:rPr>
      </w:pPr>
      <w:r w:rsidRPr="3BA89479" w:rsidR="00050576">
        <w:rPr>
          <w:rFonts w:ascii="Arial" w:hAnsi="Arial" w:eastAsia="Arial" w:cs="Arial"/>
          <w:sz w:val="24"/>
          <w:szCs w:val="24"/>
        </w:rPr>
        <w:t xml:space="preserve">If yes, - please </w:t>
      </w:r>
      <w:r w:rsidRPr="3BA89479" w:rsidR="00050576">
        <w:rPr>
          <w:rFonts w:ascii="Arial" w:hAnsi="Arial" w:eastAsia="Arial" w:cs="Arial"/>
          <w:sz w:val="24"/>
          <w:szCs w:val="24"/>
        </w:rPr>
        <w:t>state</w:t>
      </w:r>
      <w:r w:rsidRPr="3BA89479" w:rsidR="00050576">
        <w:rPr>
          <w:rFonts w:ascii="Arial" w:hAnsi="Arial" w:eastAsia="Arial" w:cs="Arial"/>
          <w:sz w:val="24"/>
          <w:szCs w:val="24"/>
        </w:rPr>
        <w:t xml:space="preserve"> here</w:t>
      </w:r>
    </w:p>
    <w:p w:rsidR="66E12F95" w:rsidP="3BA89479" w:rsidRDefault="66E12F95" w14:paraId="29A74439" w14:textId="70C01932">
      <w:pPr>
        <w:rPr>
          <w:rFonts w:ascii="Arial" w:hAnsi="Arial" w:eastAsia="Arial" w:cs="Arial"/>
          <w:sz w:val="24"/>
          <w:szCs w:val="24"/>
        </w:rPr>
      </w:pPr>
    </w:p>
    <w:p w:rsidRPr="001C765A" w:rsidR="00050576" w:rsidP="3BA89479" w:rsidRDefault="00050576" w14:paraId="309AD597" w14:textId="36CD1F8E">
      <w:pPr>
        <w:rPr>
          <w:rFonts w:ascii="Arial" w:hAnsi="Arial" w:eastAsia="Arial" w:cs="Arial"/>
          <w:sz w:val="24"/>
          <w:szCs w:val="24"/>
        </w:rPr>
      </w:pPr>
      <w:sdt>
        <w:sdtPr>
          <w:id w:val="1424916537"/>
          <w:text/>
          <w:placeholder>
            <w:docPart w:val="DefaultPlaceholder_-1854013440"/>
          </w:placeholder>
          <w:rPr>
            <w:rFonts w:ascii="Arial" w:hAnsi="Arial" w:eastAsia="Arial" w:cs="Arial"/>
            <w:sz w:val="24"/>
            <w:szCs w:val="24"/>
          </w:rPr>
        </w:sdtPr>
        <w:sdtContent>
          <w:r w:rsidRPr="3BA89479" w:rsidR="5DA2D3F7">
            <w:rPr>
              <w:rFonts w:ascii="Arial" w:hAnsi="Arial" w:eastAsia="Arial" w:cs="Arial"/>
              <w:sz w:val="24"/>
              <w:szCs w:val="24"/>
            </w:rPr>
            <w:t>10/02/2026 
Anti-poverty strategy
Level of bad debt provision for Council Tax Collection
Council Tax Reduction
Council Tax on Second Homes
Council Tax on Empty Properties</w:t>
          </w:r>
        </w:sdtContent>
        <w:sdtEndPr>
          <w:rPr>
            <w:rFonts w:ascii="Arial" w:hAnsi="Arial" w:eastAsia="Arial" w:cs="Arial"/>
            <w:sz w:val="24"/>
            <w:szCs w:val="24"/>
          </w:rPr>
        </w:sdtEndPr>
      </w:sdt>
      <w:r w:rsidRPr="3BA89479">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sidR="009D401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Elimination of discrimination (both direct &amp; indirect), victimisation and harassment.  </w:t>
      </w:r>
      <w:r w:rsidRPr="3BA89479" w:rsidR="009D401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Promotion of equality of opportunity? </w:t>
      </w:r>
      <w:r w:rsidRPr="3BA89479" w:rsidR="009D401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Fostering good relations? </w:t>
      </w:r>
      <w:r w:rsidRPr="3BA89479" w:rsidR="009D401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sidR="009D401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sidR="009D4019">
        <w:rPr>
          <w:rFonts w:ascii="Arial" w:hAnsi="Arial" w:cs="Arial"/>
          <w:b w:val="1"/>
          <w:bCs w:val="1"/>
          <w:sz w:val="24"/>
          <w:szCs w:val="24"/>
        </w:rPr>
        <w:t xml:space="preserve">Please describe the potential impacts, and how any negative impacts could be mitigated. </w:t>
      </w:r>
      <w:r w:rsidRPr="3BA89479" w:rsidR="009D4019">
        <w:rPr>
          <w:rFonts w:ascii="Arial" w:hAnsi="Arial" w:cs="Arial"/>
          <w:b w:val="1"/>
          <w:bCs w:val="1"/>
          <w:sz w:val="24"/>
          <w:szCs w:val="24"/>
        </w:rPr>
        <w:t xml:space="preserve">Some negative impacts may not be capable of mitigation, but the proposal </w:t>
      </w:r>
      <w:r w:rsidRPr="3BA89479" w:rsidR="009D4019">
        <w:rPr>
          <w:rFonts w:ascii="Arial" w:hAnsi="Arial" w:cs="Arial"/>
          <w:b w:val="1"/>
          <w:bCs w:val="1"/>
          <w:sz w:val="24"/>
          <w:szCs w:val="24"/>
        </w:rPr>
        <w:t>as a whole may</w:t>
      </w:r>
      <w:r w:rsidRPr="3BA89479" w:rsidR="009D4019">
        <w:rPr>
          <w:rFonts w:ascii="Arial" w:hAnsi="Arial" w:cs="Arial"/>
          <w:b w:val="1"/>
          <w:bCs w:val="1"/>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sidR="006576B3">
        <w:rPr>
          <w:rFonts w:ascii="Arial" w:hAnsi="Arial" w:cs="Arial"/>
          <w:b w:val="1"/>
          <w:bCs w:val="1"/>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843B6E" w14:paraId="5D9CA2F6" w14:textId="3A081123">
      <w:pPr>
        <w:rPr>
          <w:rFonts w:ascii="Arial" w:hAnsi="Arial" w:cs="Arial"/>
          <w:sz w:val="24"/>
          <w:szCs w:val="24"/>
        </w:rPr>
      </w:pPr>
      <w:sdt>
        <w:sdtPr>
          <w:id w:val="-116255070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A proposed 8.5% Council Tax increase (effective 1 April 2026) may disproportionately affect certain age groups due to differing levels of financial resilience.
Older People (e.g., 65+) Older adults on fixed or limited incomes may experience increased financial pressure.
Those already experiencing cost‑of‑living challenges may be at higher risk of falling into arrears.
Council Tax income supports essential council services that older people may rely on (e.g., social care, community support). This rationale is noted in the IIA (“ensure the Council has adequate funds to provide services people in this group may benefit from”).
Younger People (e.g., under 25 / families with young adults)
Young people on low incomes or in insecure employment may struggle with increased household costs.
Young adults in their first tenancies could face financial stress contributing to housing insecurity.
Council Tax Reduction (CTR) and other support schemes remain available to qualifying households.
(Linked policies referenced in the IIA file: CTR, Anti‑poverty strategy).</w:t>
          </w:r>
        </w:sdtContent>
        <w:sdtEndPr>
          <w:rPr>
            <w:rFonts w:ascii="Arial" w:hAnsi="Arial" w:eastAsia="Arial" w:cs="Arial"/>
            <w:sz w:val="24"/>
            <w:szCs w:val="24"/>
          </w:rPr>
        </w:sdtEndPr>
      </w:sdt>
    </w:p>
    <w:p w:rsidRPr="001C765A" w:rsidR="009608BA" w:rsidP="66E12F95" w:rsidRDefault="009608BA" w14:paraId="67C26248" w14:textId="5AB060B5" w14:noSpellErr="1">
      <w:pPr>
        <w:pStyle w:val="Normal"/>
        <w:tabs>
          <w:tab w:val="left" w:leader="none" w:pos="720"/>
          <w:tab w:val="left" w:leader="none" w:pos="1470"/>
        </w:tabs>
        <w:ind w:left="709" w:hanging="709"/>
        <w:rPr>
          <w:rFonts w:ascii="Arial" w:hAnsi="Arial" w:cs="Arial"/>
          <w:sz w:val="24"/>
          <w:szCs w:val="24"/>
        </w:rPr>
      </w:pPr>
    </w:p>
    <w:p w:rsidRPr="001C765A" w:rsidR="002953EA" w:rsidP="002953EA" w:rsidRDefault="006576B3" w14:paraId="4118C3B5" w14:textId="77777777" w14:noSpellErr="1">
      <w:pPr>
        <w:rPr>
          <w:rFonts w:ascii="Arial" w:hAnsi="Arial" w:cs="Arial"/>
          <w:sz w:val="24"/>
          <w:szCs w:val="24"/>
        </w:rPr>
      </w:pPr>
      <w:r w:rsidRPr="3BA89479" w:rsidR="006576B3">
        <w:rPr>
          <w:rFonts w:ascii="Arial" w:hAnsi="Arial" w:cs="Arial"/>
          <w:b w:val="1"/>
          <w:bCs w:val="1"/>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r w:rsidRPr="3BA89479" w:rsidR="002953EA">
        <w:rPr>
          <w:rFonts w:ascii="Arial" w:hAnsi="Arial" w:cs="Arial"/>
          <w:sz w:val="24"/>
          <w:szCs w:val="24"/>
        </w:rPr>
        <w:t>long term</w:t>
      </w:r>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 xml:space="preserve">This may be visible or invisible, </w:t>
      </w:r>
      <w:r w:rsidRPr="3BA89479" w:rsidR="002953EA">
        <w:rPr>
          <w:rFonts w:ascii="Arial" w:hAnsi="Arial" w:cs="Arial"/>
          <w:sz w:val="24"/>
          <w:szCs w:val="24"/>
        </w:rPr>
        <w:t>progressive</w:t>
      </w:r>
      <w:r w:rsidRPr="3BA89479" w:rsidR="002953EA">
        <w:rPr>
          <w:rFonts w:ascii="Arial" w:hAnsi="Arial" w:cs="Arial"/>
          <w:sz w:val="24"/>
          <w:szCs w:val="24"/>
        </w:rPr>
        <w:t xml:space="preserve"> or recurring.</w:t>
      </w:r>
    </w:p>
    <w:p w:rsidR="66E12F95" w:rsidP="66E12F95" w:rsidRDefault="66E12F95" w14:paraId="43E38894" w14:textId="692F2B1D">
      <w:pPr>
        <w:rPr>
          <w:rFonts w:ascii="Arial" w:hAnsi="Arial" w:cs="Arial"/>
          <w:sz w:val="24"/>
          <w:szCs w:val="24"/>
        </w:rPr>
      </w:pPr>
    </w:p>
    <w:p w:rsidRPr="001C765A" w:rsidR="009D4019" w:rsidP="66E12F95" w:rsidRDefault="009D4019" w14:paraId="3B6D676E" w14:textId="4C4D4F68">
      <w:pPr>
        <w:tabs>
          <w:tab w:val="left" w:leader="none" w:pos="720"/>
          <w:tab w:val="left" w:leader="none" w:pos="1470"/>
        </w:tabs>
        <w:ind w:left="709" w:hanging="709"/>
        <w:rPr>
          <w:rFonts w:ascii="Arial" w:hAnsi="Arial" w:cs="Arial"/>
          <w:sz w:val="24"/>
          <w:szCs w:val="24"/>
        </w:rPr>
      </w:pPr>
      <w:sdt>
        <w:sdtPr>
          <w:id w:val="-158337424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A Council Tax increase may disproportionately affect disabled residents because:
Many disabled people rely on fixed or limited incomes, making them more vulnerable to financial pressures.
They often face higher ongoing living costs such as equipment, transport, and care‐related expenses.
Although the increase level is not specified in any disability‑focused document, the Council Tax Manual confirms that some disabled residents may qualify for the Disabled Band Reduction, which charges their property at one band lower. This offers partial protection from increased charges.</w:t>
          </w:r>
        </w:sdtContent>
        <w:sdtEndPr>
          <w:rPr>
            <w:rFonts w:ascii="Arial" w:hAnsi="Arial" w:eastAsia="Arial" w:cs="Arial"/>
            <w:sz w:val="24"/>
            <w:szCs w:val="24"/>
          </w:rPr>
        </w:sdtEndPr>
      </w:sdt>
    </w:p>
    <w:p w:rsidR="66E12F95" w:rsidP="66E12F95" w:rsidRDefault="66E12F95" w14:paraId="629A4F8C" w14:textId="44B41D01">
      <w:pPr>
        <w:tabs>
          <w:tab w:val="left" w:leader="none" w:pos="720"/>
          <w:tab w:val="left" w:leader="none"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sidR="009D4019">
        <w:rPr>
          <w:rFonts w:ascii="Arial" w:hAnsi="Arial" w:cs="Arial"/>
          <w:b w:val="1"/>
          <w:bCs w:val="1"/>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843B6E" w14:paraId="0A178581" w14:textId="08FEF34E">
      <w:pPr>
        <w:tabs>
          <w:tab w:val="left" w:pos="720"/>
          <w:tab w:val="left" w:pos="1470"/>
        </w:tabs>
        <w:ind w:left="709" w:hanging="709"/>
        <w:rPr>
          <w:rFonts w:ascii="Arial" w:hAnsi="Arial" w:cs="Arial"/>
          <w:sz w:val="24"/>
          <w:szCs w:val="24"/>
        </w:rPr>
      </w:pPr>
      <w:r w:rsidRPr="3BA89479" w:rsidR="001C765A">
        <w:rPr>
          <w:rFonts w:ascii="Arial" w:hAnsi="Arial" w:eastAsia="Arial" w:cs="Arial"/>
          <w:sz w:val="24"/>
          <w:szCs w:val="24"/>
        </w:rPr>
        <w:t xml:space="preserve"> </w:t>
      </w:r>
      <w:sdt>
        <w:sdtPr>
          <w:id w:val="-1443768879"/>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Disproportionate financial effect on women, due to structural inequality (gender pay gap).
Increased strain on households led by women, especially single‑parent families (statistically more likely to be female‑headed).
Positive impacts may include:
Proposals that improve inclusion, participation, safety, or access, particularly for women and girls in sport or community services.
Measures that ensure both boys and girls can engage equally in service planning or activities.
Some proposals—particularly administrative or procedural ones—may have no direct impact on sex</w:t>
          </w:r>
        </w:sdtContent>
        <w:sdtEndPr>
          <w:rPr>
            <w:rFonts w:ascii="Arial" w:hAnsi="Arial" w:eastAsia="Arial" w:cs="Arial"/>
            <w:sz w:val="24"/>
            <w:szCs w:val="24"/>
          </w:rPr>
        </w:sdtEndPr>
      </w:sdt>
    </w:p>
    <w:p w:rsidRPr="001C765A" w:rsidR="002953EA" w:rsidP="66E12F95" w:rsidRDefault="002953EA" w14:paraId="7E2911DA" w14:textId="5569AA4F" w14:noSpellErr="1">
      <w:pPr>
        <w:pStyle w:val="Normal"/>
        <w:rPr>
          <w:rFonts w:ascii="Arial" w:hAnsi="Arial" w:cs="Arial"/>
          <w:b w:val="1"/>
          <w:bCs w:val="1"/>
          <w:sz w:val="24"/>
          <w:szCs w:val="24"/>
        </w:rPr>
      </w:pPr>
    </w:p>
    <w:p w:rsidRPr="001C765A" w:rsidR="002953EA" w:rsidP="002953EA" w:rsidRDefault="006576B3" w14:paraId="527B072D" w14:textId="2A9D0CC6" w14:noSpellErr="1">
      <w:pPr>
        <w:rPr>
          <w:rFonts w:ascii="Arial" w:hAnsi="Arial" w:cs="Arial"/>
          <w:color w:val="3D3D3D"/>
          <w:sz w:val="24"/>
          <w:szCs w:val="24"/>
          <w:shd w:val="clear" w:color="auto" w:fill="FFFFFF"/>
        </w:rPr>
      </w:pPr>
      <w:r w:rsidRPr="66E12F95" w:rsidR="006576B3">
        <w:rPr>
          <w:rFonts w:ascii="Arial" w:hAnsi="Arial" w:cs="Arial"/>
          <w:b w:val="1"/>
          <w:bCs w:val="1"/>
          <w:sz w:val="24"/>
          <w:szCs w:val="24"/>
        </w:rPr>
        <w:t>Gender Reassignment</w:t>
      </w:r>
      <w:r w:rsidRPr="66E12F95" w:rsidR="009D4019">
        <w:rPr>
          <w:rFonts w:ascii="Arial" w:hAnsi="Arial" w:cs="Arial"/>
          <w:b w:val="1"/>
          <w:bCs w:val="1"/>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843B6E" w14:paraId="43696421" w14:textId="3383F613">
      <w:pPr>
        <w:tabs>
          <w:tab w:val="left" w:pos="720"/>
          <w:tab w:val="left" w:pos="1470"/>
        </w:tabs>
        <w:ind w:left="709" w:hanging="709"/>
        <w:rPr>
          <w:rFonts w:ascii="Arial" w:hAnsi="Arial" w:cs="Arial"/>
          <w:sz w:val="24"/>
          <w:szCs w:val="24"/>
        </w:rPr>
      </w:pPr>
      <w:sdt>
        <w:sdtPr>
          <w:id w:val="40141568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Usually low or neutral, unless the proposal directly affects access, customer‑facing processes, or safety.</w:t>
          </w:r>
        </w:sdtContent>
        <w:sdtEndPr>
          <w:rPr>
            <w:rFonts w:ascii="Arial" w:hAnsi="Arial" w:eastAsia="Arial" w:cs="Arial"/>
            <w:sz w:val="24"/>
            <w:szCs w:val="24"/>
          </w:rPr>
        </w:sdtEndPr>
      </w:sdt>
    </w:p>
    <w:p w:rsidRPr="001C765A" w:rsidR="002953EA" w:rsidP="66E12F95" w:rsidRDefault="002953EA" w14:paraId="238AFF7E" w14:textId="17673E75" w14:noSpellErr="1">
      <w:pPr>
        <w:pStyle w:val="Normal"/>
        <w:tabs>
          <w:tab w:val="left" w:leader="none" w:pos="720"/>
          <w:tab w:val="left" w:leader="none"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sidR="006576B3">
        <w:rPr>
          <w:rFonts w:ascii="Arial" w:hAnsi="Arial" w:cs="Arial"/>
          <w:b w:val="1"/>
          <w:bCs w:val="1"/>
          <w:sz w:val="24"/>
          <w:szCs w:val="24"/>
        </w:rPr>
        <w:t>Marriage or Civil Partnership</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leader="none" w:pos="720"/>
          <w:tab w:val="left" w:leader="none" w:pos="1470"/>
        </w:tabs>
        <w:ind w:left="709" w:hanging="709"/>
        <w:rPr>
          <w:rFonts w:ascii="Arial" w:hAnsi="Arial" w:cs="Arial"/>
          <w:sz w:val="24"/>
          <w:szCs w:val="24"/>
        </w:rPr>
      </w:pPr>
    </w:p>
    <w:p w:rsidRPr="001C765A" w:rsidR="00843B6E" w:rsidP="66E12F95" w:rsidRDefault="00843B6E" w14:paraId="032D9F08" w14:textId="2D02B558">
      <w:pPr>
        <w:tabs>
          <w:tab w:val="left" w:pos="720"/>
          <w:tab w:val="left" w:pos="1470"/>
        </w:tabs>
        <w:ind w:left="709" w:hanging="709"/>
        <w:rPr>
          <w:rFonts w:ascii="Arial" w:hAnsi="Arial" w:cs="Arial"/>
          <w:sz w:val="24"/>
          <w:szCs w:val="24"/>
        </w:rPr>
      </w:pPr>
      <w:sdt>
        <w:sdtPr>
          <w:id w:val="169888190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Even though most proposals show a neutral impact
The proposal does not introduce barriers or differential treatment for married or civil‑partnered individuals
No administrative processes inadvertently disadvantage this group (e.g., joint liability processes, documentation requirements)
Married or those in civil partnerships potentially have two incomes to support the payment of Council Tax while single people only receive 25% discount on their Council Tax bill (per legislation) therefore the negative impact may be on single people or those who are married or in civil partnerships where they have one income. This will be mitigated by existing statutory schemes such as Council Tax Reduction.</w:t>
          </w:r>
        </w:sdtContent>
        <w:sdtEndPr>
          <w:rPr>
            <w:rFonts w:ascii="Arial" w:hAnsi="Arial" w:eastAsia="Arial" w:cs="Arial"/>
            <w:sz w:val="24"/>
            <w:szCs w:val="24"/>
          </w:rPr>
        </w:sdtEndPr>
      </w:sdt>
    </w:p>
    <w:p w:rsidRPr="001C765A" w:rsidR="002953EA" w:rsidP="66E12F95" w:rsidRDefault="002953EA" w14:paraId="0E6085C1" w14:textId="405B4D5C"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sidR="006576B3">
        <w:rPr>
          <w:rFonts w:ascii="Arial" w:hAnsi="Arial" w:cs="Arial"/>
          <w:b w:val="1"/>
          <w:bCs w:val="1"/>
          <w:sz w:val="24"/>
          <w:szCs w:val="24"/>
        </w:rPr>
        <w:t>Pregnancy and Maternity</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refers to the</w:t>
      </w:r>
      <w:r w:rsidRPr="3BA89479" w:rsidR="002953EA">
        <w:rPr>
          <w:rStyle w:val="st1"/>
          <w:rFonts w:ascii="Arial" w:hAnsi="Arial" w:cs="Arial"/>
          <w:sz w:val="24"/>
          <w:szCs w:val="24"/>
        </w:rPr>
        <w:t xml:space="preserv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val="1"/>
          <w:bCs w:val="1"/>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2092759976"/>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There is no evidence to suggest that the proposal would adversely affect anyone on the grounds of Pregnancy or Maternity. The proposal applies equally to all individuals, and no discriminatory effects or barriers have been identified.No specific mitigation is required at this stage. However, the Council will continue to ensure that its policies and practices remain compliant with statutory protections relating to pregnancy and maternity, and any concerns raised during implementation will be reviewed appropriately.</w:t>
          </w:r>
        </w:sdtContent>
        <w:sdtEndPr>
          <w:rPr>
            <w:rFonts w:ascii="Arial" w:hAnsi="Arial" w:eastAsia="Arial" w:cs="Arial"/>
            <w:sz w:val="24"/>
            <w:szCs w:val="24"/>
          </w:rPr>
        </w:sdtEndPr>
      </w:sdt>
      <w:proofErr w:type="spellStart"/>
      <w:proofErr w:type="spellEnd"/>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sidR="006576B3">
        <w:rPr>
          <w:rFonts w:ascii="Arial" w:hAnsi="Arial" w:cs="Arial"/>
          <w:b w:val="1"/>
          <w:bCs w:val="1"/>
          <w:sz w:val="24"/>
          <w:szCs w:val="24"/>
        </w:rPr>
        <w:t>Race</w:t>
      </w:r>
      <w:r w:rsidRPr="3BA89479" w:rsidR="006576B3">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leader="none" w:pos="720"/>
          <w:tab w:val="left" w:leader="none" w:pos="1470"/>
        </w:tabs>
        <w:ind w:left="709" w:hanging="709"/>
        <w:rPr>
          <w:rFonts w:ascii="Arial" w:hAnsi="Arial" w:cs="Arial"/>
          <w:sz w:val="24"/>
          <w:szCs w:val="24"/>
        </w:rPr>
      </w:pPr>
    </w:p>
    <w:p w:rsidRPr="001C765A" w:rsidR="00843B6E" w:rsidP="66E12F95" w:rsidRDefault="00843B6E" w14:paraId="4C309568" w14:textId="491964D6">
      <w:pPr>
        <w:tabs>
          <w:tab w:val="left" w:pos="720"/>
          <w:tab w:val="left" w:pos="1470"/>
        </w:tabs>
        <w:ind w:left="709" w:hanging="709"/>
        <w:rPr>
          <w:rFonts w:ascii="Arial" w:hAnsi="Arial" w:cs="Arial"/>
          <w:sz w:val="24"/>
          <w:szCs w:val="24"/>
        </w:rPr>
      </w:pPr>
      <w:sdt>
        <w:sdtPr>
          <w:id w:val="-19840041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While no direct impacts have been identified.
My affect migrants or minority groups differently due to structural inequalities
Ensuring information relating to the proposal is accessible and understandable to residents of diverse racial and ethnic backgrounds
Avoiding indirect barriers in communication or service design
Monitoring feedback during implementation to identify any unanticipated effects</w:t>
          </w:r>
        </w:sdtContent>
        <w:sdtEndPr>
          <w:rPr>
            <w:rFonts w:ascii="Arial" w:hAnsi="Arial" w:eastAsia="Arial" w:cs="Arial"/>
            <w:sz w:val="24"/>
            <w:szCs w:val="24"/>
          </w:rPr>
        </w:sdtEndPr>
      </w:sdt>
    </w:p>
    <w:p w:rsidRPr="001C765A" w:rsidR="009D4019" w:rsidP="66E12F95" w:rsidRDefault="009D4019" w14:paraId="260AE462" w14:textId="3E91D101"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sidR="006576B3">
        <w:rPr>
          <w:rFonts w:ascii="Arial" w:hAnsi="Arial" w:cs="Arial"/>
          <w:b w:val="1"/>
          <w:bCs w:val="1"/>
          <w:sz w:val="24"/>
          <w:szCs w:val="24"/>
        </w:rPr>
        <w:t>Religion or Belief:</w:t>
      </w:r>
      <w:r w:rsidRPr="3BA89479" w:rsidR="006576B3">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leader="none" w:pos="720"/>
          <w:tab w:val="left" w:leader="none" w:pos="1470"/>
        </w:tabs>
        <w:ind w:left="709" w:hanging="709"/>
        <w:rPr>
          <w:rFonts w:ascii="Arial" w:hAnsi="Arial" w:cs="Arial"/>
          <w:sz w:val="24"/>
          <w:szCs w:val="24"/>
        </w:rPr>
      </w:pPr>
    </w:p>
    <w:p w:rsidRPr="001C765A" w:rsidR="00843B6E" w:rsidP="66E12F95" w:rsidRDefault="00843B6E" w14:paraId="7EE0969A" w14:textId="6BFEA215">
      <w:pPr>
        <w:tabs>
          <w:tab w:val="left" w:pos="720"/>
          <w:tab w:val="left" w:pos="1470"/>
        </w:tabs>
        <w:ind w:left="709" w:hanging="709"/>
        <w:rPr>
          <w:rFonts w:ascii="Arial" w:hAnsi="Arial" w:cs="Arial"/>
          <w:sz w:val="24"/>
          <w:szCs w:val="24"/>
        </w:rPr>
      </w:pPr>
      <w:sdt>
        <w:sdtPr>
          <w:id w:val="327257381"/>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Although no impacts have been identified, good practice includes:
Ensuring communication materials are inclusive and respectful of all belief systems
Remaining alert to potential cultural or religious sensitivities during implementation
Ensuring any public‑facing services remain accessible to all religious and non‑religious groups</w:t>
          </w:r>
        </w:sdtContent>
        <w:sdtEndPr>
          <w:rPr>
            <w:rFonts w:ascii="Arial" w:hAnsi="Arial" w:eastAsia="Arial" w:cs="Arial"/>
            <w:sz w:val="24"/>
            <w:szCs w:val="24"/>
          </w:rPr>
        </w:sdtEndPr>
      </w:sdt>
    </w:p>
    <w:p w:rsidRPr="001C765A" w:rsidR="009D4019" w:rsidP="66E12F95" w:rsidRDefault="009D4019" w14:paraId="12F652F8" w14:textId="12EA9808" w14:noSpellErr="1">
      <w:pPr>
        <w:pStyle w:val="Normal"/>
        <w:tabs>
          <w:tab w:val="left" w:leader="none" w:pos="720"/>
          <w:tab w:val="left" w:leader="none"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sidR="006576B3">
        <w:rPr>
          <w:rFonts w:ascii="Arial" w:hAnsi="Arial" w:cs="Arial"/>
          <w:b w:val="1"/>
          <w:bCs w:val="1"/>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leader="none" w:pos="720"/>
          <w:tab w:val="left" w:leader="none" w:pos="1470"/>
        </w:tabs>
        <w:ind w:left="709" w:hanging="709"/>
        <w:rPr>
          <w:rFonts w:ascii="Arial" w:hAnsi="Arial" w:cs="Arial"/>
          <w:sz w:val="24"/>
          <w:szCs w:val="24"/>
        </w:rPr>
      </w:pPr>
    </w:p>
    <w:p w:rsidRPr="001C765A" w:rsidR="00843B6E" w:rsidP="66E12F95" w:rsidRDefault="00843B6E" w14:paraId="08FE8F14" w14:textId="594FA014">
      <w:pPr>
        <w:tabs>
          <w:tab w:val="left" w:pos="720"/>
          <w:tab w:val="left" w:pos="1470"/>
        </w:tabs>
        <w:ind w:left="709" w:hanging="709"/>
        <w:rPr>
          <w:rFonts w:ascii="Arial" w:hAnsi="Arial" w:cs="Arial"/>
          <w:sz w:val="24"/>
          <w:szCs w:val="24"/>
        </w:rPr>
      </w:pPr>
      <w:sdt>
        <w:sdtPr>
          <w:id w:val="-98701207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Although no impacts are identified, good practice includes:
Ensuring communications and service information remain inclusive and non‑discriminatory
Using imagery and language that reflect diversity in sexual orientation
Monitoring feedback to identify any unforeseen barriers
Ensuring staff remain aware of the needs of LGBTQ+ individuals when delivering or adapting services</w:t>
          </w:r>
        </w:sdtContent>
        <w:sdtEndPr>
          <w:rPr>
            <w:rFonts w:ascii="Arial" w:hAnsi="Arial" w:eastAsia="Arial" w:cs="Arial"/>
            <w:sz w:val="24"/>
            <w:szCs w:val="24"/>
          </w:rPr>
        </w:sdtEndPr>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sidR="006576B3">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sidR="006576B3">
        <w:rPr>
          <w:rFonts w:ascii="Arial" w:hAnsi="Arial" w:cs="Arial"/>
          <w:sz w:val="24"/>
          <w:szCs w:val="24"/>
          <w:u w:val="single"/>
        </w:rPr>
        <w:t>strategic</w:t>
      </w:r>
      <w:r w:rsidRPr="3BA89479" w:rsidR="006576B3">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sidR="006576B3">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1569618503"/>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Yes</w:t>
          </w:r>
        </w:sdtContent>
        <w:sdtEndPr>
          <w:rPr>
            <w:rFonts w:ascii="Arial" w:hAnsi="Arial" w:eastAsia="Arial" w:cs="Arial"/>
            <w:sz w:val="24"/>
            <w:szCs w:val="24"/>
          </w:rPr>
        </w:sdtEndPr>
      </w:sdt>
      <w:proofErr w:type="spellStart"/>
      <w:proofErr w:type="spellEnd"/>
    </w:p>
    <w:p w:rsidRPr="001C765A" w:rsidR="006576B3" w:rsidP="00A43443" w:rsidRDefault="006576B3" w14:paraId="61DF9DF9" w14:textId="3EE11FE8">
      <w:pPr>
        <w:rPr>
          <w:rFonts w:ascii="Arial" w:hAnsi="Arial" w:cs="Arial"/>
          <w:sz w:val="24"/>
          <w:szCs w:val="24"/>
        </w:rPr>
      </w:pPr>
      <w:r w:rsidRPr="3BA89479" w:rsidR="006576B3">
        <w:rPr>
          <w:rFonts w:ascii="Arial" w:hAnsi="Arial" w:cs="Arial"/>
          <w:b w:val="1"/>
          <w:bCs w:val="1"/>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sidR="006576B3">
        <w:rPr>
          <w:rFonts w:ascii="Arial" w:hAnsi="Arial" w:cs="Arial"/>
          <w:b w:val="1"/>
          <w:bCs w:val="1"/>
          <w:sz w:val="24"/>
          <w:szCs w:val="24"/>
        </w:rPr>
        <w:t>Low and/or No Wealth</w:t>
      </w:r>
      <w:r w:rsidRPr="3BA89479" w:rsidR="002953EA">
        <w:rPr>
          <w:rFonts w:ascii="Arial" w:hAnsi="Arial" w:cs="Arial"/>
          <w:b w:val="1"/>
          <w:bCs w:val="1"/>
          <w:sz w:val="24"/>
          <w:szCs w:val="24"/>
        </w:rPr>
        <w:t xml:space="preserve">: </w:t>
      </w:r>
      <w:r w:rsidRPr="3BA89479" w:rsidR="006576B3">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leader="none" w:pos="720"/>
          <w:tab w:val="left" w:leader="none" w:pos="1470"/>
        </w:tabs>
        <w:ind w:left="709" w:hanging="709"/>
        <w:rPr>
          <w:rFonts w:ascii="Arial" w:hAnsi="Arial" w:cs="Arial"/>
          <w:sz w:val="24"/>
          <w:szCs w:val="24"/>
        </w:rPr>
      </w:pPr>
    </w:p>
    <w:p w:rsidRPr="001C765A" w:rsidR="00843B6E" w:rsidP="66E12F95" w:rsidRDefault="00843B6E" w14:paraId="373177CC" w14:textId="3EDD8FFE">
      <w:pPr>
        <w:tabs>
          <w:tab w:val="left" w:leader="none" w:pos="720"/>
          <w:tab w:val="left" w:leader="none" w:pos="1470"/>
        </w:tabs>
        <w:ind w:left="0" w:hanging="0"/>
        <w:rPr>
          <w:rFonts w:ascii="Arial" w:hAnsi="Arial" w:cs="Arial"/>
          <w:sz w:val="24"/>
          <w:szCs w:val="24"/>
        </w:rPr>
      </w:pPr>
      <w:sdt>
        <w:sdtPr>
          <w:id w:val="-767929865"/>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Increasing the Council Tax will reduce disposable income. This will be mitigated by existing statutory schemes.</w:t>
          </w:r>
        </w:sdtContent>
        <w:sdtEndPr>
          <w:rPr>
            <w:rFonts w:ascii="Arial" w:hAnsi="Arial" w:eastAsia="Arial" w:cs="Arial"/>
            <w:sz w:val="24"/>
            <w:szCs w:val="24"/>
          </w:rPr>
        </w:sdtEndPr>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sidR="006576B3">
        <w:rPr>
          <w:rFonts w:ascii="Arial" w:hAnsi="Arial" w:cs="Arial"/>
          <w:b w:val="1"/>
          <w:bCs w:val="1"/>
          <w:sz w:val="24"/>
          <w:szCs w:val="24"/>
        </w:rPr>
        <w:t xml:space="preserve">Material Deprivation – </w:t>
      </w:r>
      <w:r w:rsidRPr="3BA89479" w:rsidR="006576B3">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leader="none" w:pos="720"/>
          <w:tab w:val="left" w:leader="none" w:pos="1470"/>
        </w:tabs>
        <w:ind w:left="709" w:hanging="709"/>
        <w:rPr>
          <w:rFonts w:ascii="Arial" w:hAnsi="Arial" w:cs="Arial"/>
          <w:sz w:val="24"/>
          <w:szCs w:val="24"/>
        </w:rPr>
      </w:pPr>
    </w:p>
    <w:p w:rsidRPr="001C765A" w:rsidR="00843B6E" w:rsidP="66E12F95" w:rsidRDefault="00843B6E" w14:paraId="71B09EA3" w14:textId="6443ED89">
      <w:pPr>
        <w:tabs>
          <w:tab w:val="left" w:pos="720"/>
          <w:tab w:val="left" w:pos="1470"/>
        </w:tabs>
        <w:ind w:left="709" w:hanging="709"/>
        <w:rPr>
          <w:rFonts w:ascii="Arial" w:hAnsi="Arial" w:cs="Arial"/>
          <w:sz w:val="24"/>
          <w:szCs w:val="24"/>
        </w:rPr>
      </w:pPr>
      <w:sdt>
        <w:sdtPr>
          <w:id w:val="1583034737"/>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Increasing the Council Tax will reduce disposable income. This will be mitigated by existing statutory schemes.</w:t>
          </w:r>
        </w:sdtContent>
        <w:sdtEndPr>
          <w:rPr>
            <w:rFonts w:ascii="Arial" w:hAnsi="Arial" w:eastAsia="Arial" w:cs="Arial"/>
            <w:sz w:val="24"/>
            <w:szCs w:val="24"/>
          </w:rPr>
        </w:sdtEndPr>
      </w:sdt>
    </w:p>
    <w:p w:rsidRPr="001C765A" w:rsidR="00843B6E" w:rsidP="66E12F95" w:rsidRDefault="00843B6E" w14:paraId="2075301A" w14:textId="3B57FF4D" w14:noSpellErr="1">
      <w:pPr>
        <w:pStyle w:val="Normal"/>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sidR="006576B3">
        <w:rPr>
          <w:rFonts w:ascii="Arial" w:hAnsi="Arial" w:cs="Arial"/>
          <w:b w:val="1"/>
          <w:bCs w:val="1"/>
          <w:sz w:val="24"/>
          <w:szCs w:val="24"/>
        </w:rPr>
        <w:t xml:space="preserve">Area Deprivation – </w:t>
      </w:r>
      <w:r w:rsidRPr="3BA89479" w:rsidR="006576B3">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leader="none" w:pos="720"/>
          <w:tab w:val="left" w:leader="none" w:pos="1470"/>
        </w:tabs>
        <w:ind w:left="709" w:hanging="709"/>
        <w:rPr>
          <w:rFonts w:ascii="Arial" w:hAnsi="Arial" w:cs="Arial"/>
          <w:sz w:val="24"/>
          <w:szCs w:val="24"/>
        </w:rPr>
      </w:pPr>
    </w:p>
    <w:p w:rsidRPr="001C765A" w:rsidR="00843B6E" w:rsidP="66E12F95" w:rsidRDefault="00843B6E" w14:paraId="6DD386B1" w14:textId="0A70E31D">
      <w:pPr>
        <w:tabs>
          <w:tab w:val="left" w:pos="720"/>
          <w:tab w:val="left" w:pos="1470"/>
        </w:tabs>
        <w:ind w:left="709" w:hanging="709"/>
        <w:rPr>
          <w:rFonts w:ascii="Arial" w:hAnsi="Arial" w:cs="Arial"/>
          <w:sz w:val="24"/>
          <w:szCs w:val="24"/>
        </w:rPr>
      </w:pPr>
      <w:sdt>
        <w:sdtPr>
          <w:id w:val="46848124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10F61674" w14:textId="39B12B07" w14:noSpellErr="1">
      <w:pPr>
        <w:pStyle w:val="Normal"/>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sidR="006576B3">
        <w:rPr>
          <w:rFonts w:ascii="Arial" w:hAnsi="Arial" w:cs="Arial"/>
          <w:b w:val="1"/>
          <w:bCs w:val="1"/>
          <w:sz w:val="24"/>
          <w:szCs w:val="24"/>
        </w:rPr>
        <w:t xml:space="preserve">Socio-economic Background – </w:t>
      </w:r>
      <w:r w:rsidRPr="3BA89479" w:rsidR="006576B3">
        <w:rPr>
          <w:rFonts w:ascii="Arial" w:hAnsi="Arial" w:cs="Arial"/>
          <w:sz w:val="24"/>
          <w:szCs w:val="24"/>
        </w:rPr>
        <w:t>social class i.e. parents’ education, employment and income</w:t>
      </w:r>
    </w:p>
    <w:p w:rsidR="66E12F95" w:rsidP="66E12F95" w:rsidRDefault="66E12F95" w14:paraId="43CAB15F" w14:textId="7ED00509">
      <w:pPr>
        <w:tabs>
          <w:tab w:val="left" w:leader="none" w:pos="720"/>
          <w:tab w:val="left" w:leader="none" w:pos="1470"/>
        </w:tabs>
        <w:ind w:left="709" w:hanging="709"/>
        <w:rPr>
          <w:rFonts w:ascii="Arial" w:hAnsi="Arial" w:cs="Arial"/>
          <w:sz w:val="24"/>
          <w:szCs w:val="24"/>
        </w:rPr>
      </w:pPr>
    </w:p>
    <w:p w:rsidRPr="001C765A" w:rsidR="00843B6E" w:rsidP="66E12F95" w:rsidRDefault="00843B6E" w14:paraId="0DF891AD" w14:textId="625C5141">
      <w:pPr>
        <w:tabs>
          <w:tab w:val="left" w:pos="720"/>
          <w:tab w:val="left" w:pos="1470"/>
        </w:tabs>
        <w:ind w:left="709" w:hanging="709"/>
        <w:rPr>
          <w:rFonts w:ascii="Arial" w:hAnsi="Arial" w:cs="Arial"/>
          <w:sz w:val="24"/>
          <w:szCs w:val="24"/>
        </w:rPr>
      </w:pPr>
      <w:sdt>
        <w:sdtPr>
          <w:id w:val="-99418752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The proposed increase in Council Tax could affect those who have a lower income as a result of their socio-economic background. This will be mitigated by existing statutory schemes.</w:t>
          </w:r>
        </w:sdtContent>
        <w:sdtEndPr>
          <w:rPr>
            <w:rFonts w:ascii="Arial" w:hAnsi="Arial" w:eastAsia="Arial" w:cs="Arial"/>
            <w:sz w:val="24"/>
            <w:szCs w:val="24"/>
          </w:rPr>
        </w:sdtEndPr>
      </w:sdt>
    </w:p>
    <w:p w:rsidRPr="001C765A" w:rsidR="002953EA" w:rsidP="66E12F95" w:rsidRDefault="002953EA" w14:paraId="5706F62A" w14:textId="2BC56D4C" w14:noSpellErr="1">
      <w:pPr>
        <w:pStyle w:val="Normal"/>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B30EA8">
        <w:rPr>
          <w:rFonts w:ascii="Arial" w:hAnsi="Arial" w:eastAsia="Arial" w:cs="Arial"/>
          <w:sz w:val="24"/>
          <w:szCs w:val="24"/>
        </w:rPr>
        <w:t xml:space="preserve"> </w:t>
      </w:r>
      <w:sdt>
        <w:sdtPr>
          <w:id w:val="14475099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10/02/2026 
The proposed increase in Council Tax could affect those who have a lower income as a result of their care background. This will be mitigated by existing statutory schemes.</w:t>
          </w:r>
        </w:sdtContent>
        <w:sdtEndPr>
          <w:rPr>
            <w:rFonts w:ascii="Arial" w:hAnsi="Arial" w:eastAsia="Arial" w:cs="Arial"/>
            <w:sz w:val="24"/>
            <w:szCs w:val="24"/>
          </w:rPr>
        </w:sdtEndPr>
      </w:sdt>
      <w:proofErr w:type="spellStart"/>
      <w:proofErr w:type="spellEnd"/>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sidR="006576B3">
        <w:rPr>
          <w:rFonts w:ascii="Arial" w:hAnsi="Arial" w:cs="Arial"/>
          <w:b w:val="1"/>
          <w:bCs w:val="1"/>
          <w:sz w:val="24"/>
          <w:szCs w:val="24"/>
        </w:rPr>
        <w:t xml:space="preserve">Carers </w:t>
      </w:r>
      <w:r w:rsidRPr="3BA89479" w:rsidR="006576B3">
        <w:rPr>
          <w:rFonts w:ascii="Arial" w:hAnsi="Arial" w:cs="Arial"/>
          <w:sz w:val="24"/>
          <w:szCs w:val="24"/>
        </w:rPr>
        <w:t>paid and unpaid including family members</w:t>
      </w:r>
    </w:p>
    <w:p w:rsidR="66E12F95" w:rsidP="66E12F95" w:rsidRDefault="66E12F95" w14:paraId="04F61BA5" w14:textId="637E2DE3">
      <w:pPr>
        <w:tabs>
          <w:tab w:val="left" w:leader="none" w:pos="720"/>
          <w:tab w:val="left" w:leader="none" w:pos="1470"/>
        </w:tabs>
        <w:ind w:left="709" w:hanging="709"/>
        <w:rPr>
          <w:rFonts w:ascii="Arial" w:hAnsi="Arial" w:cs="Arial"/>
          <w:sz w:val="24"/>
          <w:szCs w:val="24"/>
        </w:rPr>
      </w:pPr>
    </w:p>
    <w:p w:rsidRPr="001C765A" w:rsidR="00843B6E" w:rsidP="66E12F95" w:rsidRDefault="00843B6E" w14:paraId="649E3952" w14:textId="2254B232">
      <w:pPr>
        <w:tabs>
          <w:tab w:val="left" w:pos="720"/>
          <w:tab w:val="left" w:pos="1470"/>
        </w:tabs>
        <w:ind w:left="709" w:hanging="709"/>
        <w:rPr>
          <w:rFonts w:ascii="Arial" w:hAnsi="Arial" w:cs="Arial"/>
          <w:sz w:val="24"/>
          <w:szCs w:val="24"/>
        </w:rPr>
      </w:pPr>
      <w:sdt>
        <w:sdtPr>
          <w:id w:val="-35873335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10/02/2026 
Increasing the Council Tax will reduce disposable income. This will be mitigated by existing statutory schemes.</w:t>
          </w:r>
        </w:sdtContent>
        <w:sdtEndPr>
          <w:rPr>
            <w:rFonts w:ascii="Arial" w:hAnsi="Arial" w:eastAsia="Arial" w:cs="Arial"/>
            <w:sz w:val="24"/>
            <w:szCs w:val="24"/>
          </w:rPr>
        </w:sdtEndPr>
      </w:sdt>
    </w:p>
    <w:p w:rsidRPr="001C765A" w:rsidR="002953EA" w:rsidP="66E12F95" w:rsidRDefault="002953EA" w14:paraId="30844BC6" w14:textId="409C1D7D" w14:noSpellErr="1">
      <w:pPr>
        <w:pStyle w:val="Normal"/>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sidR="006576B3">
        <w:rPr>
          <w:rFonts w:ascii="Arial" w:hAnsi="Arial" w:cs="Arial"/>
          <w:b w:val="1"/>
          <w:bCs w:val="1"/>
          <w:sz w:val="24"/>
          <w:szCs w:val="24"/>
        </w:rPr>
        <w:t>Homelessness</w:t>
      </w:r>
    </w:p>
    <w:p w:rsidR="66E12F95" w:rsidP="66E12F95" w:rsidRDefault="66E12F95" w14:paraId="02F1F432" w14:textId="74ABA0C5">
      <w:pPr>
        <w:tabs>
          <w:tab w:val="left" w:leader="none" w:pos="720"/>
          <w:tab w:val="left" w:leader="none" w:pos="1470"/>
        </w:tabs>
        <w:ind w:left="709" w:hanging="709"/>
        <w:rPr>
          <w:rFonts w:ascii="Arial" w:hAnsi="Arial" w:cs="Arial"/>
          <w:sz w:val="24"/>
          <w:szCs w:val="24"/>
        </w:rPr>
      </w:pPr>
    </w:p>
    <w:p w:rsidRPr="001C765A" w:rsidR="00843B6E" w:rsidP="66E12F95" w:rsidRDefault="00843B6E" w14:paraId="79D5B80B" w14:textId="6272A575">
      <w:pPr>
        <w:tabs>
          <w:tab w:val="left" w:pos="720"/>
          <w:tab w:val="left" w:pos="1470"/>
        </w:tabs>
        <w:ind w:left="709" w:hanging="709"/>
        <w:rPr>
          <w:rFonts w:ascii="Arial" w:hAnsi="Arial" w:cs="Arial"/>
          <w:sz w:val="24"/>
          <w:szCs w:val="24"/>
        </w:rPr>
      </w:pPr>
      <w:sdt>
        <w:sdtPr>
          <w:id w:val="1825306331"/>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10/02/2026 &lt;p&gt;&lt;strong&gt;&lt;span style="font-size:11.0pt"&gt;&lt;span&gt;&lt;span&gt;Increasing the Council Tax will reduce disposable income. &lt;/span&gt;&lt;/span&gt;&lt;/span&gt;&lt;span style="font-size:10.0pt"&gt;&lt;span&gt;&lt;span&gt;This will be mitigated by existing statutory schemes&lt;/span&gt;&lt;/span&gt;&lt;/span&gt;&lt;/strong&gt;&lt;/p&gt;
</w:t>
          </w:r>
        </w:sdtContent>
        <w:sdtEndPr>
          <w:rPr>
            <w:rFonts w:ascii="Arial" w:hAnsi="Arial" w:eastAsia="Arial" w:cs="Arial"/>
            <w:sz w:val="24"/>
            <w:szCs w:val="24"/>
          </w:rPr>
        </w:sdtEndPr>
      </w:sdt>
    </w:p>
    <w:p w:rsidRPr="001C765A" w:rsidR="002953EA" w:rsidP="66E12F95" w:rsidRDefault="002953EA" w14:paraId="7CEFA0E8" w14:textId="64E9F0DA" w14:noSpellErr="1">
      <w:pPr>
        <w:pStyle w:val="Normal"/>
        <w:rPr>
          <w:rFonts w:ascii="Arial" w:hAnsi="Arial" w:cs="Arial"/>
          <w:b w:val="1"/>
          <w:bCs w:val="1"/>
          <w:sz w:val="24"/>
          <w:szCs w:val="24"/>
        </w:rPr>
      </w:pPr>
    </w:p>
    <w:p w:rsidRPr="001C765A" w:rsidR="006576B3" w:rsidP="00A43443" w:rsidRDefault="006576B3" w14:paraId="51F24F26" w14:textId="5E5BA5AC">
      <w:pPr>
        <w:rPr>
          <w:rFonts w:ascii="Arial" w:hAnsi="Arial" w:cs="Arial"/>
          <w:b/>
          <w:sz w:val="24"/>
          <w:szCs w:val="24"/>
        </w:rPr>
      </w:pPr>
      <w:r w:rsidRPr="66E12F95" w:rsidR="006576B3">
        <w:rPr>
          <w:rFonts w:ascii="Arial" w:hAnsi="Arial" w:cs="Arial"/>
          <w:b w:val="1"/>
          <w:bCs w:val="1"/>
          <w:sz w:val="24"/>
          <w:szCs w:val="24"/>
        </w:rPr>
        <w:t>Addictions and substance use</w:t>
      </w:r>
    </w:p>
    <w:p w:rsidR="66E12F95" w:rsidP="66E12F95" w:rsidRDefault="66E12F95" w14:paraId="436D4D37" w14:textId="7D11109F">
      <w:pPr>
        <w:tabs>
          <w:tab w:val="left" w:leader="none" w:pos="720"/>
          <w:tab w:val="left" w:leader="none" w:pos="1470"/>
        </w:tabs>
        <w:ind w:left="709" w:hanging="709"/>
        <w:rPr>
          <w:rFonts w:ascii="Arial" w:hAnsi="Arial" w:cs="Arial"/>
          <w:sz w:val="24"/>
          <w:szCs w:val="24"/>
        </w:rPr>
      </w:pPr>
    </w:p>
    <w:p w:rsidRPr="001C765A" w:rsidR="00843B6E" w:rsidP="66E12F95" w:rsidRDefault="00843B6E" w14:paraId="575C88EE" w14:textId="497B0390">
      <w:pPr>
        <w:tabs>
          <w:tab w:val="left" w:leader="none" w:pos="720"/>
          <w:tab w:val="left" w:leader="none" w:pos="1470"/>
        </w:tabs>
        <w:ind w:left="709" w:hanging="709"/>
        <w:rPr>
          <w:rFonts w:ascii="Arial" w:hAnsi="Arial" w:cs="Arial"/>
          <w:sz w:val="24"/>
          <w:szCs w:val="24"/>
        </w:rPr>
      </w:pPr>
      <w:sdt>
        <w:sdtPr>
          <w:id w:val="1404112654"/>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10/02/2026 
Increasing the Council Tax will reduce disposable income. This will be mitigated by existing statutory schemes</w:t>
          </w:r>
        </w:sdtContent>
        <w:sdtEndPr>
          <w:rPr>
            <w:rFonts w:ascii="Arial" w:hAnsi="Arial" w:eastAsia="Arial" w:cs="Arial"/>
            <w:sz w:val="24"/>
            <w:szCs w:val="24"/>
          </w:rPr>
        </w:sdtEndPr>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sidR="006576B3">
        <w:rPr>
          <w:rFonts w:ascii="Arial" w:hAnsi="Arial" w:cs="Arial"/>
          <w:b w:val="1"/>
          <w:bCs w:val="1"/>
          <w:sz w:val="24"/>
          <w:szCs w:val="24"/>
        </w:rPr>
        <w:t>Those involved within the criminal justice system</w:t>
      </w:r>
    </w:p>
    <w:p w:rsidR="66E12F95" w:rsidP="66E12F95" w:rsidRDefault="66E12F95" w14:paraId="3E1503F2" w14:textId="391776E9">
      <w:pPr>
        <w:tabs>
          <w:tab w:val="left" w:leader="none" w:pos="720"/>
          <w:tab w:val="left" w:leader="none" w:pos="1470"/>
        </w:tabs>
        <w:ind w:left="709" w:hanging="709"/>
        <w:rPr>
          <w:rFonts w:ascii="Arial" w:hAnsi="Arial" w:cs="Arial"/>
          <w:sz w:val="24"/>
          <w:szCs w:val="24"/>
        </w:rPr>
      </w:pPr>
    </w:p>
    <w:p w:rsidRPr="001C765A" w:rsidR="00843B6E" w:rsidP="66E12F95" w:rsidRDefault="00843B6E" w14:paraId="5C872F47" w14:textId="2FA52053">
      <w:pPr>
        <w:tabs>
          <w:tab w:val="left" w:pos="720"/>
          <w:tab w:val="left" w:pos="1470"/>
        </w:tabs>
        <w:ind w:left="709" w:hanging="709"/>
        <w:rPr>
          <w:rFonts w:ascii="Arial" w:hAnsi="Arial" w:cs="Arial"/>
          <w:sz w:val="24"/>
          <w:szCs w:val="24"/>
        </w:rPr>
      </w:pPr>
      <w:sdt>
        <w:sdtPr>
          <w:id w:val="183217309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10/02/2026 
Increasing the Council Tax will reduce disposable income. This will be mitigated by existing statutory schemes</w:t>
          </w:r>
        </w:sdtContent>
        <w:sdtEndPr>
          <w:rPr>
            <w:rFonts w:ascii="Arial" w:hAnsi="Arial" w:eastAsia="Arial" w:cs="Arial"/>
            <w:sz w:val="24"/>
            <w:szCs w:val="24"/>
          </w:rPr>
        </w:sdtEndPr>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sidR="002953EA">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sidR="002953EA">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sidR="002953EA">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sidR="00A95DF5">
        <w:rPr>
          <w:rFonts w:ascii="Arial" w:hAnsi="Arial" w:cs="Arial"/>
          <w:b w:val="1"/>
          <w:bCs w:val="1"/>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A95DF5" w14:paraId="6FD3C8BD" w14:textId="091C3A65">
      <w:pPr>
        <w:rPr>
          <w:rFonts w:ascii="Arial" w:hAnsi="Arial" w:cs="Arial"/>
          <w:sz w:val="24"/>
          <w:szCs w:val="24"/>
        </w:rPr>
      </w:pPr>
      <w:sdt>
        <w:sdtPr>
          <w:id w:val="8981954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10/02/2026 
The proposed increase in Council Tax will not change the way in which households access Council Tax services. The mechanisms for billing, payments, reductions, exemptions, appeals and enquiries will remain fully accessible through existing routes (online services, telephone contact, in‑person support and written correspondence). No additional physical, digital or administrative barriers are introduced by the proposal.
The increase may reduce disposable income for some households, particularly those on low incomes. However, statutory support schemes—such as Council Tax Reduction (CTR), discounts, and exemptions—remain available and will continue to mitigate financial hardship for eligible households. The proposal does not alter eligibility or access to these schemes.
The proposal does not restrict consumer choice, as households do not “choose” Council Tax in the consumer sense. However, residents will continue to have flexibility in how they manage payments, including instalment options, direct debit arrangements, and support conversations with Customer Advice &amp; Support. These remain unaffected.
Clear, accessible information will be provided to all households to ensure they understand:
the value of the increase,
the reason for the increase,
how their bill is calculated, and
what support is available if they are struggling to pay.
Information will be published through multiple channels (bills, website updates, social media, direct communications). SBC will ensure this information remains transparent, easy to understand and accessible to those who may require additional support.
The proposal does not hinder consumer access to services or information, nor does it limit the range of choices available in how residents manage their Council Tax account. While the increase may have a financial impact on some households, all required financial assistance routes remain in place. SBC will continue to monitor impacts through enquiries, CTR applications, and feedback via Customer Advice &amp; Support</w:t>
          </w:r>
        </w:sdtContent>
        <w:sdtEndPr>
          <w:rPr>
            <w:rFonts w:ascii="Arial" w:hAnsi="Arial" w:eastAsia="Arial" w:cs="Arial"/>
            <w:sz w:val="24"/>
            <w:szCs w:val="24"/>
          </w:rPr>
        </w:sdtEndPr>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sidR="00A95DF5">
        <w:rPr>
          <w:rFonts w:ascii="Arial" w:hAnsi="Arial" w:cs="Arial"/>
          <w:b w:val="1"/>
          <w:bCs w:val="1"/>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A95DF5" w14:paraId="68937C82" w14:textId="21653E4E">
      <w:pPr>
        <w:rPr>
          <w:rFonts w:ascii="Arial" w:hAnsi="Arial" w:cs="Arial"/>
          <w:sz w:val="24"/>
          <w:szCs w:val="24"/>
        </w:rPr>
      </w:pPr>
      <w:sdt>
        <w:sdtPr>
          <w:id w:val="-8237479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sidR="00B525F2">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sidR="00B525F2">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sidR="00B525F2">
        <w:rPr>
          <w:rFonts w:ascii="Arial" w:hAnsi="Arial" w:cs="Arial"/>
          <w:b w:val="1"/>
          <w:bCs w:val="1"/>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4C660F" w14:paraId="06D439E7" w14:textId="28E98714">
      <w:pPr>
        <w:rPr>
          <w:rFonts w:ascii="Arial" w:hAnsi="Arial" w:cs="Arial"/>
          <w:sz w:val="24"/>
          <w:szCs w:val="24"/>
        </w:rPr>
      </w:pPr>
      <w:sdt>
        <w:sdtPr>
          <w:id w:val="1057974299"/>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sidR="00A95DF5">
        <w:rPr>
          <w:rFonts w:ascii="Arial" w:hAnsi="Arial" w:cs="Arial"/>
          <w:b w:val="1"/>
          <w:bCs w:val="1"/>
          <w:sz w:val="24"/>
          <w:szCs w:val="24"/>
        </w:rPr>
        <w:t xml:space="preserve">For each of the following Covenant Duties, </w:t>
      </w:r>
      <w:r w:rsidRPr="3BA89479" w:rsidR="00A95DF5">
        <w:rPr>
          <w:rFonts w:ascii="Arial" w:hAnsi="Arial" w:cs="Arial"/>
          <w:b w:val="1"/>
          <w:bCs w:val="1"/>
          <w:sz w:val="24"/>
          <w:szCs w:val="24"/>
        </w:rPr>
        <w:t>You</w:t>
      </w:r>
      <w:r w:rsidRPr="3BA89479" w:rsidR="00A95DF5">
        <w:rPr>
          <w:rFonts w:ascii="Arial" w:hAnsi="Arial" w:cs="Arial"/>
          <w:b w:val="1"/>
          <w:bCs w:val="1"/>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sidR="00B525F2">
        <w:rPr>
          <w:rFonts w:ascii="Arial" w:hAnsi="Arial" w:cs="Arial"/>
          <w:sz w:val="24"/>
          <w:szCs w:val="24"/>
        </w:rPr>
        <w:t xml:space="preserve">The MOD Statutory Guidance gives the following examples – Link for this can be found here: </w:t>
      </w:r>
      <w:hyperlink r:id="R56b53e3873964b01">
        <w:r w:rsidRPr="3BA89479" w:rsidR="00B525F2">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B525F2" w14:paraId="2D05BFA5" w14:textId="4BBB7473">
      <w:pPr>
        <w:rPr>
          <w:rFonts w:ascii="Arial" w:hAnsi="Arial" w:cs="Arial"/>
          <w:sz w:val="24"/>
          <w:szCs w:val="24"/>
        </w:rPr>
      </w:pPr>
      <w:sdt>
        <w:sdtPr>
          <w:id w:val="-546768203"/>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A95DF5" w14:paraId="0009495D" w14:textId="699F6E07">
      <w:pPr>
        <w:rPr>
          <w:rFonts w:ascii="Arial" w:hAnsi="Arial" w:cs="Arial"/>
          <w:sz w:val="24"/>
          <w:szCs w:val="24"/>
        </w:rPr>
      </w:pPr>
      <w:sdt>
        <w:sdtPr>
          <w:id w:val="1826338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A95DF5" w14:paraId="1BBE1F3D" w14:textId="069815A9">
      <w:pPr>
        <w:rPr>
          <w:rFonts w:ascii="Arial" w:hAnsi="Arial" w:cs="Arial"/>
          <w:sz w:val="24"/>
          <w:szCs w:val="24"/>
        </w:rPr>
      </w:pPr>
      <w:sdt>
        <w:sdtPr>
          <w:id w:val="121539203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sidR="00B525F2">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sidR="00B525F2">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sidR="00B525F2">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sidR="00B525F2">
        <w:rPr>
          <w:rFonts w:ascii="Arial" w:hAnsi="Arial" w:cs="Arial"/>
          <w:b w:val="1"/>
          <w:bCs w:val="1"/>
          <w:sz w:val="24"/>
          <w:szCs w:val="24"/>
        </w:rPr>
        <w:t xml:space="preserve">Is the UNCRC Duty applicable? </w:t>
      </w:r>
    </w:p>
    <w:p w:rsidR="66E12F95" w:rsidP="66E12F95" w:rsidRDefault="66E12F95" w14:paraId="3AA5DAD5" w14:textId="02374DA9">
      <w:pPr>
        <w:tabs>
          <w:tab w:val="left" w:leader="none" w:pos="720"/>
          <w:tab w:val="left" w:leader="none" w:pos="1470"/>
        </w:tabs>
        <w:ind w:left="709" w:hanging="709"/>
        <w:rPr>
          <w:rFonts w:ascii="Arial" w:hAnsi="Arial" w:cs="Arial"/>
          <w:sz w:val="24"/>
          <w:szCs w:val="24"/>
        </w:rPr>
      </w:pPr>
    </w:p>
    <w:p w:rsidRPr="001C765A" w:rsidR="000B0355" w:rsidP="66E12F95" w:rsidRDefault="000B0355" w14:paraId="49E1BC27" w14:textId="782B4EC9">
      <w:pPr>
        <w:tabs>
          <w:tab w:val="left" w:pos="720"/>
          <w:tab w:val="left" w:pos="1470"/>
        </w:tabs>
        <w:ind w:left="709" w:hanging="709"/>
        <w:rPr>
          <w:rFonts w:ascii="Arial" w:hAnsi="Arial" w:cs="Arial"/>
          <w:sz w:val="24"/>
          <w:szCs w:val="24"/>
        </w:rPr>
      </w:pPr>
      <w:sdt>
        <w:sdtPr>
          <w:id w:val="-3998334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sidR="00B525F2">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sidR="007B6261">
        <w:rPr>
          <w:rFonts w:ascii="Arial" w:hAnsi="Arial" w:cs="Arial"/>
          <w:b w:val="1"/>
          <w:bCs w:val="1"/>
          <w:sz w:val="24"/>
          <w:szCs w:val="24"/>
        </w:rPr>
        <w:t>Non-discrimination (Article 2)</w:t>
      </w:r>
      <w:r w:rsidRPr="66E12F95" w:rsidR="004C660F">
        <w:rPr>
          <w:rFonts w:ascii="Arial" w:hAnsi="Arial" w:cs="Arial"/>
          <w:b w:val="1"/>
          <w:bCs w:val="1"/>
          <w:sz w:val="24"/>
          <w:szCs w:val="24"/>
        </w:rPr>
        <w:t xml:space="preserve"> </w:t>
      </w:r>
    </w:p>
    <w:p w:rsidR="66E12F95" w:rsidP="66E12F95" w:rsidRDefault="66E12F95" w14:paraId="3E7BB11C" w14:textId="5F00FBC2">
      <w:pPr>
        <w:tabs>
          <w:tab w:val="left" w:leader="none" w:pos="720"/>
          <w:tab w:val="left" w:leader="none" w:pos="1470"/>
        </w:tabs>
        <w:ind w:left="709" w:hanging="709"/>
        <w:rPr>
          <w:rFonts w:ascii="Arial" w:hAnsi="Arial" w:cs="Arial"/>
          <w:sz w:val="24"/>
          <w:szCs w:val="24"/>
        </w:rPr>
      </w:pPr>
    </w:p>
    <w:p w:rsidR="000B0355" w:rsidP="66E12F95" w:rsidRDefault="000B0355" w14:paraId="210BC8FE" w14:textId="4CFA169F">
      <w:pPr>
        <w:tabs>
          <w:tab w:val="left" w:leader="none" w:pos="720"/>
          <w:tab w:val="left" w:leader="none" w:pos="1470"/>
        </w:tabs>
        <w:ind w:left="709" w:hanging="709"/>
        <w:rPr>
          <w:rFonts w:ascii="Arial" w:hAnsi="Arial" w:cs="Arial"/>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72897159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0B0355" w:rsidP="66E12F95" w:rsidRDefault="000B0355" w14:paraId="5D21F2AE" w14:textId="4D7158D5">
      <w:pPr>
        <w:tabs>
          <w:tab w:val="left" w:pos="720"/>
          <w:tab w:val="left" w:pos="1470"/>
        </w:tabs>
        <w:ind w:left="709" w:hanging="709"/>
        <w:rPr>
          <w:rFonts w:ascii="Arial" w:hAnsi="Arial" w:cs="Arial"/>
          <w:sz w:val="24"/>
          <w:szCs w:val="24"/>
        </w:rPr>
      </w:pPr>
      <w:r w:rsidRPr="3BA89479" w:rsidR="00B277E7">
        <w:rPr>
          <w:rFonts w:ascii="Arial" w:hAnsi="Arial" w:eastAsia="Arial" w:cs="Arial"/>
          <w:sz w:val="24"/>
          <w:szCs w:val="24"/>
        </w:rPr>
        <w:t xml:space="preserve"> </w:t>
      </w:r>
      <w:sdt>
        <w:sdtPr>
          <w:id w:val="324018908"/>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sidR="007B6261">
        <w:rPr>
          <w:rFonts w:ascii="Arial" w:hAnsi="Arial" w:cs="Arial"/>
          <w:b w:val="1"/>
          <w:bCs w:val="1"/>
          <w:sz w:val="24"/>
          <w:szCs w:val="24"/>
        </w:rPr>
        <w:t>Best interests of the child as a primary consideration (Article 3)</w:t>
      </w:r>
      <w:r w:rsidRPr="66E12F95" w:rsidR="004C660F">
        <w:rPr>
          <w:rFonts w:ascii="Arial" w:hAnsi="Arial" w:cs="Arial"/>
          <w:b w:val="1"/>
          <w:bCs w:val="1"/>
          <w:sz w:val="24"/>
          <w:szCs w:val="24"/>
        </w:rPr>
        <w:t xml:space="preserve"> </w:t>
      </w:r>
    </w:p>
    <w:p w:rsidR="66E12F95" w:rsidP="66E12F95" w:rsidRDefault="66E12F95" w14:paraId="490142DA" w14:textId="48ACA838">
      <w:pPr>
        <w:tabs>
          <w:tab w:val="left" w:leader="none" w:pos="720"/>
          <w:tab w:val="left" w:leader="none"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67395397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0B0355" w:rsidP="66E12F95" w:rsidRDefault="000B0355" w14:paraId="658BE5CD" w14:textId="7FFFD857">
      <w:pPr>
        <w:tabs>
          <w:tab w:val="left" w:pos="720"/>
          <w:tab w:val="left" w:pos="1470"/>
        </w:tabs>
        <w:ind w:left="709" w:hanging="709"/>
        <w:rPr>
          <w:rFonts w:ascii="Arial" w:hAnsi="Arial" w:cs="Arial"/>
          <w:sz w:val="24"/>
          <w:szCs w:val="24"/>
        </w:rPr>
      </w:pPr>
      <w:sdt>
        <w:sdtPr>
          <w:id w:val="43017994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sidR="00B277E7">
        <w:rPr>
          <w:rFonts w:ascii="Arial" w:hAnsi="Arial" w:cs="Arial"/>
          <w:b w:val="1"/>
          <w:bCs w:val="1"/>
          <w:sz w:val="24"/>
          <w:szCs w:val="24"/>
        </w:rPr>
        <w:t xml:space="preserve">Right to life, Survival and Development </w:t>
      </w:r>
      <w:r w:rsidRPr="66E12F95" w:rsidR="00B277E7">
        <w:rPr>
          <w:rFonts w:ascii="Arial" w:hAnsi="Arial" w:cs="Arial"/>
          <w:b w:val="1"/>
          <w:bCs w:val="1"/>
          <w:sz w:val="24"/>
          <w:szCs w:val="24"/>
        </w:rPr>
        <w:t>(</w:t>
      </w:r>
      <w:r w:rsidRPr="66E12F95" w:rsidR="00B277E7">
        <w:rPr>
          <w:rFonts w:ascii="Arial" w:hAnsi="Arial" w:cs="Arial"/>
          <w:b w:val="1"/>
          <w:bCs w:val="1"/>
          <w:sz w:val="24"/>
          <w:szCs w:val="24"/>
        </w:rPr>
        <w:t>Article 6)</w:t>
      </w:r>
    </w:p>
    <w:p w:rsidR="66E12F95" w:rsidP="66E12F95" w:rsidRDefault="66E12F95" w14:paraId="4DAC59BF" w14:textId="1178D7C5">
      <w:pPr>
        <w:tabs>
          <w:tab w:val="left" w:leader="none" w:pos="720"/>
          <w:tab w:val="left" w:leader="none"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sidR="00B277E7">
        <w:rPr>
          <w:rFonts w:ascii="Arial" w:hAnsi="Arial" w:cs="Arial"/>
          <w:sz w:val="24"/>
          <w:szCs w:val="24"/>
        </w:rPr>
        <w:t xml:space="preserve">Impact: </w:t>
      </w:r>
      <w:sdt>
        <w:sdtPr>
          <w:id w:val="21281159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B277E7" w:rsidP="66E12F95" w:rsidRDefault="00B277E7" w14:paraId="2F441C3F" w14:textId="085ABDFF">
      <w:pPr>
        <w:tabs>
          <w:tab w:val="left" w:pos="720"/>
          <w:tab w:val="left" w:pos="1470"/>
        </w:tabs>
        <w:ind w:left="709" w:hanging="709"/>
        <w:rPr>
          <w:rFonts w:ascii="Arial" w:hAnsi="Arial" w:cs="Arial"/>
          <w:sz w:val="24"/>
          <w:szCs w:val="24"/>
        </w:rPr>
      </w:pPr>
      <w:sdt>
        <w:sdtPr>
          <w:id w:val="696820135"/>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sidR="007B6261">
        <w:rPr>
          <w:rFonts w:ascii="Arial" w:hAnsi="Arial" w:cs="Arial"/>
          <w:b w:val="1"/>
          <w:bCs w:val="1"/>
          <w:sz w:val="24"/>
          <w:szCs w:val="24"/>
        </w:rPr>
        <w:t>Right to be heard (Article 12)</w:t>
      </w:r>
      <w:r w:rsidRPr="66E12F95" w:rsidR="004C660F">
        <w:rPr>
          <w:rFonts w:ascii="Arial" w:hAnsi="Arial" w:cs="Arial"/>
          <w:b w:val="1"/>
          <w:bCs w:val="1"/>
          <w:sz w:val="24"/>
          <w:szCs w:val="24"/>
        </w:rPr>
        <w:t xml:space="preserve"> </w:t>
      </w:r>
    </w:p>
    <w:p w:rsidR="66E12F95" w:rsidP="66E12F95" w:rsidRDefault="66E12F95" w14:paraId="6BEBD170" w14:textId="7F971A0D">
      <w:pPr>
        <w:tabs>
          <w:tab w:val="left" w:leader="none" w:pos="720"/>
          <w:tab w:val="left" w:leader="none"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sidR="000B0355">
        <w:rPr>
          <w:rFonts w:ascii="Arial" w:hAnsi="Arial" w:cs="Arial"/>
          <w:sz w:val="24"/>
          <w:szCs w:val="24"/>
        </w:rPr>
        <w:t>I</w:t>
      </w:r>
      <w:r w:rsidRPr="3BA89479" w:rsidR="000B0355">
        <w:rPr>
          <w:rFonts w:ascii="Arial" w:hAnsi="Arial" w:cs="Arial"/>
          <w:sz w:val="24"/>
          <w:szCs w:val="24"/>
        </w:rPr>
        <w:t>mpact:</w:t>
      </w:r>
      <w:r w:rsidRPr="3BA89479" w:rsidR="00B277E7">
        <w:rPr>
          <w:rFonts w:ascii="Arial" w:hAnsi="Arial" w:eastAsia="Arial" w:cs="Arial"/>
          <w:sz w:val="24"/>
          <w:szCs w:val="24"/>
        </w:rPr>
        <w:t xml:space="preserve"> </w:t>
      </w:r>
      <w:sdt>
        <w:sdtPr>
          <w:id w:val="-1095397411"/>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66E12F95" w:rsidRDefault="000B0355" w14:paraId="449CD29C" w14:textId="3380E846">
      <w:pPr>
        <w:tabs>
          <w:tab w:val="left" w:pos="720"/>
          <w:tab w:val="left" w:pos="1470"/>
        </w:tabs>
        <w:ind w:left="709" w:hanging="709"/>
        <w:rPr>
          <w:rFonts w:ascii="Arial" w:hAnsi="Arial" w:cs="Arial"/>
          <w:sz w:val="24"/>
          <w:szCs w:val="24"/>
        </w:rPr>
      </w:pPr>
      <w:sdt>
        <w:sdtPr>
          <w:id w:val="99769629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sidR="000B0355">
        <w:rPr>
          <w:rFonts w:ascii="Arial" w:hAnsi="Arial" w:cs="Arial"/>
          <w:b w:val="1"/>
          <w:bCs w:val="1"/>
          <w:sz w:val="24"/>
          <w:szCs w:val="24"/>
        </w:rPr>
        <w:t>Other:</w:t>
      </w:r>
    </w:p>
    <w:p w:rsidR="66E12F95" w:rsidP="66E12F95" w:rsidRDefault="66E12F95" w14:paraId="070F2F06" w14:textId="3A392843">
      <w:pPr>
        <w:rPr>
          <w:rFonts w:ascii="Arial" w:hAnsi="Arial" w:cs="Arial"/>
          <w:b w:val="1"/>
          <w:bCs w:val="1"/>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101645280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121E68" w:rsidP="66E12F95" w:rsidRDefault="000B0355" w14:paraId="01ECE23F" w14:textId="78A187D4">
      <w:pPr>
        <w:tabs>
          <w:tab w:val="left" w:pos="720"/>
          <w:tab w:val="left" w:pos="1470"/>
        </w:tabs>
        <w:ind w:left="709" w:hanging="709"/>
        <w:rPr>
          <w:rFonts w:ascii="Arial" w:hAnsi="Arial" w:cs="Arial"/>
          <w:sz w:val="24"/>
          <w:szCs w:val="24"/>
        </w:rPr>
      </w:pPr>
      <w:sdt>
        <w:sdtPr>
          <w:id w:val="1569852262"/>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sidR="00A43443">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sidR="00A43443">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830BB3" w14:paraId="60A66202" w14:textId="398C9D44">
      <w:pPr>
        <w:rPr>
          <w:rFonts w:ascii="Arial" w:hAnsi="Arial" w:cs="Arial"/>
          <w:sz w:val="24"/>
          <w:szCs w:val="24"/>
        </w:rPr>
      </w:pPr>
      <w:sdt>
        <w:sdtPr>
          <w:id w:val="-14970268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w:t>
          </w:r>
        </w:sdtContent>
        <w:sdtEndPr>
          <w:rPr>
            <w:rFonts w:ascii="Arial" w:hAnsi="Arial" w:eastAsia="Arial" w:cs="Arial"/>
            <w:sz w:val="24"/>
            <w:szCs w:val="24"/>
          </w:rPr>
        </w:sdtEndPr>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sidR="00A43443">
        <w:rPr>
          <w:rFonts w:ascii="Arial" w:hAnsi="Arial" w:cs="Arial"/>
          <w:b w:val="1"/>
          <w:bCs w:val="1"/>
          <w:sz w:val="24"/>
          <w:szCs w:val="24"/>
          <w:lang w:val="en-US"/>
        </w:rPr>
        <w:t>If a full impact assessment is not required briefly explain why there are no effects and provide justification for the decision</w:t>
      </w:r>
      <w:r w:rsidRPr="66E12F95" w:rsidR="009308C2">
        <w:rPr>
          <w:rFonts w:ascii="Arial" w:hAnsi="Arial" w:cs="Arial"/>
          <w:b w:val="1"/>
          <w:bCs w:val="1"/>
          <w:sz w:val="24"/>
          <w:szCs w:val="24"/>
          <w:lang w:val="en-US"/>
        </w:rPr>
        <w:t>.</w:t>
      </w:r>
    </w:p>
    <w:p w:rsidR="66E12F95" w:rsidP="66E12F95" w:rsidRDefault="66E12F95" w14:paraId="1466B72A" w14:textId="714ACBE2">
      <w:pPr>
        <w:tabs>
          <w:tab w:val="left" w:leader="none" w:pos="720"/>
          <w:tab w:val="left" w:leader="none" w:pos="1470"/>
        </w:tabs>
        <w:ind w:left="709" w:hanging="709"/>
        <w:rPr>
          <w:rFonts w:ascii="Arial" w:hAnsi="Arial" w:cs="Arial"/>
          <w:sz w:val="24"/>
          <w:szCs w:val="24"/>
        </w:rPr>
      </w:pPr>
    </w:p>
    <w:p w:rsidRPr="001C765A" w:rsidR="000B0355" w:rsidP="66E12F95" w:rsidRDefault="000B0355" w14:paraId="546700DA" w14:textId="5AA67F57">
      <w:pPr>
        <w:tabs>
          <w:tab w:val="left" w:pos="720"/>
          <w:tab w:val="left" w:pos="1470"/>
        </w:tabs>
        <w:ind w:left="709" w:hanging="709"/>
        <w:rPr>
          <w:rFonts w:ascii="Arial" w:hAnsi="Arial" w:cs="Arial"/>
          <w:sz w:val="24"/>
          <w:szCs w:val="24"/>
        </w:rPr>
      </w:pPr>
      <w:sdt>
        <w:sdtPr>
          <w:id w:val="-59000355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A Stage 2 IIA is required when:
A new policy is introduced
A major redesign impacts access, fairness, participation or outcomes
Significant risks to protected groups are identified
However, an 8.5% increase is:
A revision to an existing statutory charge, not a change to how the system operates
Not altering eligibility, access routes, or service design
Not disproportionately impacting a protected group beyond what is mitigated
Your internal documentation confirms the increase is categorised as an adjustment to charges, not a strategic or structural change.</w:t>
          </w:r>
        </w:sdtContent>
        <w:sdtEndPr>
          <w:rPr>
            <w:rFonts w:ascii="Arial" w:hAnsi="Arial" w:eastAsia="Arial" w:cs="Arial"/>
            <w:sz w:val="24"/>
            <w:szCs w:val="24"/>
          </w:rPr>
        </w:sdtEndPr>
      </w:sdt>
    </w:p>
    <w:p w:rsidRPr="001C765A" w:rsidR="007B5462" w:rsidP="66E12F95" w:rsidRDefault="007B5462" w14:paraId="3F0EF6B7" w14:textId="7308986D" w14:noSpellErr="1">
      <w:pPr>
        <w:pStyle w:val="Normal"/>
        <w:spacing w:before="60" w:after="60"/>
        <w:rPr>
          <w:rFonts w:ascii="Arial" w:hAnsi="Arial" w:cs="Arial"/>
          <w:b w:val="1"/>
          <w:bCs w:val="1"/>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Craig, Jenni</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Director of Resilient Communities </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1086806264"/>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11/02/2026</w:t>
          </w:r>
        </w:sdtContent>
        <w:sdtEndPr>
          <w:rPr>
            <w:rFonts w:ascii="Arial" w:hAnsi="Arial" w:eastAsia="Arial" w:cs="Arial"/>
            <w:sz w:val="24"/>
            <w:szCs w:val="24"/>
          </w:rPr>
        </w:sdtEndPr>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Douglas, Suzanne (Finance)</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347713640"/>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11/02/2026</w:t>
          </w:r>
        </w:sdtContent>
        <w:sdtEndPr>
          <w:rPr>
            <w:rFonts w:ascii="Arial" w:hAnsi="Arial" w:eastAsia="Arial" w:cs="Arial"/>
            <w:sz w:val="24"/>
            <w:szCs w:val="24"/>
          </w:rPr>
        </w:sdtEndPr>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978" w:rsidP="00EC3C6C" w:rsidRDefault="00017978" w14:paraId="1FEE1AAF" w14:textId="77777777">
      <w:pPr>
        <w:spacing w:after="0" w:line="240" w:lineRule="auto"/>
      </w:pPr>
      <w:r>
        <w:separator/>
      </w:r>
    </w:p>
  </w:endnote>
  <w:endnote w:type="continuationSeparator" w:id="0">
    <w:p w:rsidR="00017978" w:rsidP="00EC3C6C" w:rsidRDefault="00017978" w14:paraId="019EF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docPartObj>
        <w:docPartGallery w:val="Page Numbers (Bottom of Page)"/>
        <w:docPartUnique/>
      </w:docPartObj>
      <w:showingPlcHdr/>
    </w:sdtPr>
    <w:sdtEndPr>
      <w:rPr>
        <w:noProof/>
      </w:rPr>
    </w:sdtEndPr>
    <w:sdtContent>
      <w:p w:rsidR="00FE361F" w:rsidP="66E12F95" w:rsidRDefault="00FE361F" w14:paraId="4C089D47" w14:textId="38377E0F">
        <w:pPr>
          <w:pStyle w:val="Footer"/>
          <w:jc w:val="center"/>
          <w:rPr>
            <w:noProof/>
          </w:rPr>
        </w:pPr>
        <w:r w:rsidRPr="66E12F95" w:rsid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978" w:rsidP="00EC3C6C" w:rsidRDefault="00017978" w14:paraId="3633B07F" w14:textId="77777777">
      <w:pPr>
        <w:spacing w:after="0" w:line="240" w:lineRule="auto"/>
      </w:pPr>
      <w:r>
        <w:separator/>
      </w:r>
    </w:p>
  </w:footnote>
  <w:footnote w:type="continuationSeparator" w:id="0">
    <w:p w:rsidR="00017978" w:rsidP="00EC3C6C" w:rsidRDefault="00017978" w14:paraId="381CB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7E5204" w:rsidR="007E5204" w:rsidP="66E12F95" w:rsidRDefault="007E5204" w14:paraId="1F9426C6" w14:textId="37A0B97F" w14:noSpellErr="1">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header" Target="/word/header2.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header" Target="/word/header1.xml" Id="rId12" /><Relationship Type="http://schemas.openxmlformats.org/officeDocument/2006/relationships/footer" Target="/word/footer3.xml" Id="rId17" /><Relationship Type="http://schemas.openxmlformats.org/officeDocument/2006/relationships/customXml" Target="/customXml/item2.xml" Id="rId2" /><Relationship Type="http://schemas.openxmlformats.org/officeDocument/2006/relationships/header" Target="/word/header3.xml" Id="rId16" /><Relationship Type="http://schemas.openxmlformats.org/officeDocument/2006/relationships/theme" Target="/word/theme/theme1.xml" Id="rId20"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numbering" Target="/word/numbering.xml" Id="rId5" /><Relationship Type="http://schemas.openxmlformats.org/officeDocument/2006/relationships/footer" Target="/word/footer2.xml" Id="rId15" /><Relationship Type="http://schemas.openxmlformats.org/officeDocument/2006/relationships/endnotes" Target="/word/endnotes.xml" Id="rId10" /><Relationship Type="http://schemas.openxmlformats.org/officeDocument/2006/relationships/glossaryDocument" Target="/word/glossary/document.xml" Id="rId19" /><Relationship Type="http://schemas.openxmlformats.org/officeDocument/2006/relationships/footer" Target="/word/footer1.xml" Id="rId14" /><Relationship Type="http://schemas.openxmlformats.org/officeDocument/2006/relationships/footnotes" Target="/word/footnotes.xml" Id="rId9" /><Relationship Type="http://schemas.openxmlformats.org/officeDocument/2006/relationships/hyperlink" Target="https://assets.publishing.service.gov.uk/government/uploads/system/uploads/attachment_data/file/1116148/Armed_Forces_Covenant_Duty_Statutory_Guidance.pdf" TargetMode="External" Id="R56b53e3873964b01"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 ds:uri="6cf129a2-9998-49ca-9268-2ea857d716c9"/>
    <ds:schemaRef ds:uri="41b0d6d8-3b32-4a6b-8189-640b19fee7ca"/>
  </ds:schemaRefs>
</ds:datastoreItem>
</file>

<file path=customXml/itemProps2.xml><?xml version="1.0" encoding="utf-8"?>
<ds:datastoreItem xmlns:ds="http://schemas.openxmlformats.org/officeDocument/2006/customXml" ds:itemID="{AD3E866D-700A-431C-B15B-F68113D1C135}"/>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9</cp:revision>
  <dcterms:created xsi:type="dcterms:W3CDTF">2025-09-23T14:59:00Z</dcterms:created>
  <dcterms:modified xsi:type="dcterms:W3CDTF">2025-10-03T18:17:20Z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5" name="docLang">
    <vt:lpwstr>en</vt:lpwstr>
  </property>
</Properties>
</file>