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A8389" w14:textId="77777777" w:rsidR="005834B9" w:rsidRDefault="005834B9" w:rsidP="00445624">
      <w:pPr>
        <w:rPr>
          <w:b/>
        </w:rPr>
      </w:pPr>
    </w:p>
    <w:p w14:paraId="5501A94C" w14:textId="09D0B7DE" w:rsidR="00062BC5" w:rsidRPr="00717082" w:rsidRDefault="00DF0212" w:rsidP="00445624">
      <w:pPr>
        <w:rPr>
          <w:rFonts w:cs="Arial"/>
          <w:b/>
          <w:sz w:val="32"/>
          <w:szCs w:val="32"/>
        </w:rPr>
      </w:pPr>
      <w:r>
        <w:rPr>
          <w:noProof/>
          <w:lang w:eastAsia="en-GB"/>
        </w:rPr>
        <w:drawing>
          <wp:anchor distT="0" distB="0" distL="114300" distR="114300" simplePos="0" relativeHeight="251656704" behindDoc="0" locked="0" layoutInCell="1" allowOverlap="1" wp14:anchorId="25F58485" wp14:editId="56E998A3">
            <wp:simplePos x="0" y="0"/>
            <wp:positionH relativeFrom="column">
              <wp:posOffset>114300</wp:posOffset>
            </wp:positionH>
            <wp:positionV relativeFrom="paragraph">
              <wp:posOffset>0</wp:posOffset>
            </wp:positionV>
            <wp:extent cx="1828800" cy="7581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758190"/>
                    </a:xfrm>
                    <a:prstGeom prst="rect">
                      <a:avLst/>
                    </a:prstGeom>
                    <a:noFill/>
                  </pic:spPr>
                </pic:pic>
              </a:graphicData>
            </a:graphic>
          </wp:anchor>
        </w:drawing>
      </w:r>
      <w:r w:rsidR="00062BC5">
        <w:rPr>
          <w:b/>
        </w:rPr>
        <w:tab/>
      </w:r>
      <w:r w:rsidR="00062BC5">
        <w:rPr>
          <w:b/>
        </w:rPr>
        <w:tab/>
      </w:r>
      <w:r w:rsidR="00062BC5">
        <w:rPr>
          <w:b/>
        </w:rPr>
        <w:tab/>
      </w:r>
      <w:r w:rsidR="00062BC5">
        <w:rPr>
          <w:b/>
        </w:rPr>
        <w:tab/>
      </w:r>
      <w:r w:rsidR="00062BC5">
        <w:rPr>
          <w:b/>
        </w:rPr>
        <w:tab/>
      </w:r>
      <w:r w:rsidR="00062BC5">
        <w:rPr>
          <w:b/>
        </w:rPr>
        <w:tab/>
      </w:r>
      <w:r w:rsidR="00062BC5">
        <w:rPr>
          <w:b/>
        </w:rPr>
        <w:tab/>
      </w:r>
      <w:r w:rsidR="00062BC5">
        <w:rPr>
          <w:b/>
        </w:rPr>
        <w:tab/>
      </w:r>
      <w:r w:rsidR="00062BC5">
        <w:rPr>
          <w:b/>
        </w:rPr>
        <w:tab/>
      </w:r>
      <w:r w:rsidR="00062BC5" w:rsidRPr="00717082">
        <w:rPr>
          <w:b/>
        </w:rPr>
        <w:tab/>
      </w:r>
      <w:r w:rsidR="005B7B69">
        <w:rPr>
          <w:b/>
        </w:rPr>
        <w:tab/>
      </w:r>
      <w:r w:rsidR="00062BC5" w:rsidRPr="00717082">
        <w:rPr>
          <w:rFonts w:cs="Arial"/>
          <w:b/>
          <w:sz w:val="32"/>
          <w:szCs w:val="32"/>
        </w:rPr>
        <w:t>APPENDIX 1</w:t>
      </w:r>
    </w:p>
    <w:p w14:paraId="3BC8A260" w14:textId="77777777" w:rsidR="00062BC5" w:rsidRPr="000F724B" w:rsidRDefault="00062BC5" w:rsidP="00445624">
      <w:pPr>
        <w:keepLines/>
        <w:ind w:left="630"/>
        <w:jc w:val="both"/>
        <w:rPr>
          <w:b/>
        </w:rPr>
      </w:pPr>
    </w:p>
    <w:p w14:paraId="1B0A0795" w14:textId="77777777" w:rsidR="00062BC5" w:rsidRPr="000F724B" w:rsidRDefault="00062BC5" w:rsidP="00445624">
      <w:pPr>
        <w:keepLines/>
        <w:ind w:left="630"/>
        <w:jc w:val="both"/>
        <w:rPr>
          <w:rFonts w:cs="Arial"/>
        </w:rPr>
      </w:pPr>
    </w:p>
    <w:p w14:paraId="6AD19646" w14:textId="77777777" w:rsidR="00062BC5" w:rsidRPr="000F724B" w:rsidRDefault="00062BC5" w:rsidP="00445624">
      <w:pPr>
        <w:keepLines/>
        <w:ind w:left="630"/>
        <w:jc w:val="both"/>
        <w:rPr>
          <w:rFonts w:cs="Arial"/>
        </w:rPr>
      </w:pPr>
    </w:p>
    <w:p w14:paraId="057EEFA6" w14:textId="77777777" w:rsidR="00062BC5" w:rsidRPr="000F724B" w:rsidRDefault="00062BC5" w:rsidP="00445624">
      <w:pPr>
        <w:keepLines/>
        <w:ind w:left="630"/>
        <w:jc w:val="both"/>
        <w:rPr>
          <w:rFonts w:cs="Arial"/>
        </w:rPr>
      </w:pPr>
    </w:p>
    <w:p w14:paraId="71BC5C4A" w14:textId="77777777" w:rsidR="00062BC5" w:rsidRPr="000F724B" w:rsidRDefault="00062BC5" w:rsidP="00445624">
      <w:pPr>
        <w:keepLines/>
        <w:ind w:left="630"/>
        <w:jc w:val="both"/>
        <w:rPr>
          <w:rFonts w:cs="Arial"/>
        </w:rPr>
      </w:pPr>
    </w:p>
    <w:p w14:paraId="622D6A6F" w14:textId="77777777" w:rsidR="00062BC5" w:rsidRPr="000F724B" w:rsidRDefault="00062BC5" w:rsidP="00445624">
      <w:pPr>
        <w:keepLines/>
        <w:ind w:left="630"/>
        <w:jc w:val="both"/>
        <w:rPr>
          <w:rFonts w:cs="Arial"/>
        </w:rPr>
      </w:pPr>
    </w:p>
    <w:p w14:paraId="0358FF5E" w14:textId="77777777" w:rsidR="00062BC5" w:rsidRPr="000F724B" w:rsidRDefault="00062BC5" w:rsidP="00445624">
      <w:pPr>
        <w:keepLines/>
        <w:ind w:left="630"/>
        <w:jc w:val="both"/>
        <w:rPr>
          <w:rFonts w:cs="Arial"/>
        </w:rPr>
      </w:pPr>
    </w:p>
    <w:p w14:paraId="084960DD" w14:textId="77777777" w:rsidR="00062BC5" w:rsidRPr="000F724B" w:rsidRDefault="00062BC5" w:rsidP="00445624">
      <w:pPr>
        <w:keepLines/>
        <w:ind w:left="630"/>
        <w:jc w:val="both"/>
        <w:rPr>
          <w:rFonts w:cs="Arial"/>
        </w:rPr>
      </w:pPr>
    </w:p>
    <w:p w14:paraId="0215BC1B" w14:textId="77777777" w:rsidR="00062BC5" w:rsidRPr="000F724B" w:rsidRDefault="00062BC5" w:rsidP="00445624">
      <w:pPr>
        <w:keepLines/>
        <w:ind w:left="630"/>
        <w:jc w:val="both"/>
        <w:rPr>
          <w:rFonts w:cs="Arial"/>
        </w:rPr>
      </w:pPr>
    </w:p>
    <w:p w14:paraId="16DE05AB" w14:textId="77777777" w:rsidR="00062BC5" w:rsidRPr="000F724B" w:rsidRDefault="00062BC5" w:rsidP="00445624">
      <w:pPr>
        <w:keepLines/>
        <w:ind w:left="630"/>
        <w:jc w:val="both"/>
        <w:rPr>
          <w:rFonts w:cs="Arial"/>
        </w:rPr>
      </w:pPr>
    </w:p>
    <w:p w14:paraId="5E8C2AE4" w14:textId="77777777" w:rsidR="00062BC5" w:rsidRPr="000F724B" w:rsidRDefault="00062BC5" w:rsidP="00445624">
      <w:pPr>
        <w:keepLines/>
        <w:ind w:left="630"/>
        <w:jc w:val="both"/>
        <w:rPr>
          <w:rFonts w:cs="Arial"/>
        </w:rPr>
      </w:pPr>
    </w:p>
    <w:p w14:paraId="42565F65" w14:textId="77777777" w:rsidR="00062BC5" w:rsidRPr="000F724B" w:rsidRDefault="00062BC5" w:rsidP="00445624">
      <w:pPr>
        <w:keepLines/>
        <w:ind w:left="630"/>
        <w:jc w:val="both"/>
        <w:rPr>
          <w:rFonts w:cs="Arial"/>
        </w:rPr>
      </w:pPr>
    </w:p>
    <w:p w14:paraId="0696751F" w14:textId="77777777" w:rsidR="00062BC5" w:rsidRPr="000F724B" w:rsidRDefault="00062BC5" w:rsidP="00445624">
      <w:pPr>
        <w:keepLines/>
        <w:ind w:left="630"/>
        <w:jc w:val="both"/>
        <w:rPr>
          <w:rFonts w:cs="Arial"/>
        </w:rPr>
      </w:pPr>
    </w:p>
    <w:p w14:paraId="5517C80E" w14:textId="77777777" w:rsidR="00062BC5" w:rsidRPr="000F724B" w:rsidRDefault="00062BC5" w:rsidP="00445624">
      <w:pPr>
        <w:keepLines/>
        <w:ind w:left="630"/>
        <w:jc w:val="both"/>
        <w:rPr>
          <w:rFonts w:cs="Arial"/>
        </w:rPr>
      </w:pPr>
    </w:p>
    <w:p w14:paraId="0C6297DB" w14:textId="77777777" w:rsidR="00062BC5" w:rsidRPr="000F724B" w:rsidRDefault="00062BC5" w:rsidP="00445624">
      <w:pPr>
        <w:keepLines/>
        <w:ind w:left="630"/>
        <w:jc w:val="both"/>
        <w:rPr>
          <w:rFonts w:cs="Arial"/>
        </w:rPr>
      </w:pPr>
    </w:p>
    <w:p w14:paraId="3D686D13" w14:textId="77777777" w:rsidR="00062BC5" w:rsidRPr="000F724B" w:rsidRDefault="00062BC5" w:rsidP="00445624">
      <w:pPr>
        <w:keepLines/>
        <w:ind w:left="630"/>
        <w:jc w:val="both"/>
        <w:rPr>
          <w:rFonts w:cs="Arial"/>
        </w:rPr>
      </w:pPr>
    </w:p>
    <w:p w14:paraId="6A2D3470" w14:textId="77777777" w:rsidR="00062BC5" w:rsidRPr="000F724B" w:rsidRDefault="00062BC5" w:rsidP="00445624">
      <w:pPr>
        <w:keepLines/>
        <w:ind w:left="630"/>
        <w:jc w:val="both"/>
        <w:rPr>
          <w:rFonts w:cs="Arial"/>
        </w:rPr>
      </w:pPr>
    </w:p>
    <w:p w14:paraId="634191EA" w14:textId="77777777" w:rsidR="00062BC5" w:rsidRPr="000F724B" w:rsidRDefault="00062BC5" w:rsidP="00445624">
      <w:pPr>
        <w:keepLines/>
        <w:ind w:left="630"/>
        <w:jc w:val="both"/>
        <w:rPr>
          <w:rFonts w:cs="Arial"/>
        </w:rPr>
      </w:pPr>
    </w:p>
    <w:p w14:paraId="6587A70E" w14:textId="77777777" w:rsidR="00062BC5" w:rsidRPr="000F724B" w:rsidRDefault="00062BC5" w:rsidP="00445624">
      <w:pPr>
        <w:keepLines/>
        <w:ind w:left="630"/>
        <w:jc w:val="both"/>
        <w:rPr>
          <w:rFonts w:cs="Arial"/>
        </w:rPr>
      </w:pPr>
    </w:p>
    <w:p w14:paraId="2020B741" w14:textId="77777777" w:rsidR="00062BC5" w:rsidRPr="000F724B" w:rsidRDefault="00062BC5" w:rsidP="00445624">
      <w:pPr>
        <w:keepLines/>
        <w:ind w:left="630"/>
        <w:jc w:val="both"/>
        <w:rPr>
          <w:rFonts w:cs="Arial"/>
        </w:rPr>
      </w:pPr>
    </w:p>
    <w:p w14:paraId="2222F30F" w14:textId="77777777" w:rsidR="00062BC5" w:rsidRPr="000F724B" w:rsidRDefault="00062BC5" w:rsidP="00445624">
      <w:pPr>
        <w:keepLines/>
        <w:ind w:left="630"/>
        <w:jc w:val="both"/>
        <w:rPr>
          <w:rFonts w:cs="Arial"/>
        </w:rPr>
      </w:pPr>
    </w:p>
    <w:p w14:paraId="31D35400" w14:textId="77777777" w:rsidR="00062BC5" w:rsidRPr="00C471DE" w:rsidRDefault="00062BC5" w:rsidP="006F530E">
      <w:pPr>
        <w:pStyle w:val="BodyTextIndent"/>
        <w:ind w:left="0"/>
        <w:jc w:val="left"/>
        <w:rPr>
          <w:color w:val="993366"/>
          <w:sz w:val="40"/>
          <w:szCs w:val="40"/>
        </w:rPr>
      </w:pPr>
      <w:r w:rsidRPr="00C471DE">
        <w:rPr>
          <w:color w:val="993366"/>
          <w:sz w:val="40"/>
          <w:szCs w:val="40"/>
        </w:rPr>
        <w:t>SCOTTISH BORDERS COUNCIL</w:t>
      </w:r>
    </w:p>
    <w:p w14:paraId="134A5DC4" w14:textId="77777777" w:rsidR="00062BC5" w:rsidRPr="00C471DE" w:rsidRDefault="00062BC5" w:rsidP="006F530E">
      <w:pPr>
        <w:pStyle w:val="BodyTextIndent"/>
        <w:ind w:left="0"/>
        <w:jc w:val="left"/>
        <w:rPr>
          <w:color w:val="993366"/>
          <w:sz w:val="40"/>
          <w:szCs w:val="40"/>
        </w:rPr>
      </w:pPr>
    </w:p>
    <w:p w14:paraId="26FBF2E9" w14:textId="77777777" w:rsidR="00062BC5" w:rsidRPr="00C471DE" w:rsidRDefault="00062BC5" w:rsidP="006F530E">
      <w:pPr>
        <w:pStyle w:val="BodyTextIndent"/>
        <w:ind w:left="0"/>
        <w:jc w:val="left"/>
        <w:rPr>
          <w:color w:val="993366"/>
          <w:sz w:val="40"/>
          <w:szCs w:val="40"/>
        </w:rPr>
      </w:pPr>
      <w:r w:rsidRPr="00C471DE">
        <w:rPr>
          <w:color w:val="993366"/>
          <w:sz w:val="40"/>
          <w:szCs w:val="40"/>
        </w:rPr>
        <w:t>TREASURY MANAGEMENT STRATEGY</w:t>
      </w:r>
      <w:r w:rsidRPr="00C471DE">
        <w:rPr>
          <w:color w:val="993366"/>
          <w:sz w:val="40"/>
          <w:szCs w:val="40"/>
        </w:rPr>
        <w:br/>
        <w:t>(incorporating the Annual Investment Strategy)</w:t>
      </w:r>
    </w:p>
    <w:p w14:paraId="2AA28BCB" w14:textId="4BB1AB1F" w:rsidR="00062BC5" w:rsidRPr="00C471DE" w:rsidRDefault="00104242" w:rsidP="006F530E">
      <w:pPr>
        <w:pStyle w:val="BodyTextIndent"/>
        <w:ind w:left="0"/>
        <w:jc w:val="left"/>
        <w:rPr>
          <w:color w:val="993366"/>
          <w:sz w:val="40"/>
          <w:szCs w:val="40"/>
        </w:rPr>
      </w:pPr>
      <w:r>
        <w:rPr>
          <w:color w:val="993366"/>
          <w:sz w:val="40"/>
          <w:szCs w:val="40"/>
        </w:rPr>
        <w:t>202</w:t>
      </w:r>
      <w:r w:rsidR="001C0827">
        <w:rPr>
          <w:color w:val="993366"/>
          <w:sz w:val="40"/>
          <w:szCs w:val="40"/>
        </w:rPr>
        <w:t>4</w:t>
      </w:r>
      <w:r w:rsidR="00C471DE" w:rsidRPr="00C471DE">
        <w:rPr>
          <w:color w:val="993366"/>
          <w:sz w:val="40"/>
          <w:szCs w:val="40"/>
        </w:rPr>
        <w:t>/</w:t>
      </w:r>
      <w:r w:rsidR="005822C9">
        <w:rPr>
          <w:color w:val="993366"/>
          <w:sz w:val="40"/>
          <w:szCs w:val="40"/>
        </w:rPr>
        <w:t>2</w:t>
      </w:r>
      <w:r w:rsidR="001C0827">
        <w:rPr>
          <w:color w:val="993366"/>
          <w:sz w:val="40"/>
          <w:szCs w:val="40"/>
        </w:rPr>
        <w:t>5</w:t>
      </w:r>
    </w:p>
    <w:p w14:paraId="38D9B899" w14:textId="77777777" w:rsidR="00062BC5" w:rsidRPr="00C471DE" w:rsidRDefault="00062BC5" w:rsidP="00445624">
      <w:pPr>
        <w:keepLines/>
        <w:ind w:left="630"/>
        <w:jc w:val="right"/>
        <w:rPr>
          <w:b/>
        </w:rPr>
      </w:pPr>
    </w:p>
    <w:p w14:paraId="138B94DC" w14:textId="77777777" w:rsidR="00062BC5" w:rsidRPr="00C471DE" w:rsidRDefault="00062BC5" w:rsidP="00445624">
      <w:pPr>
        <w:keepLines/>
        <w:ind w:left="630"/>
        <w:jc w:val="right"/>
        <w:rPr>
          <w:b/>
        </w:rPr>
      </w:pPr>
    </w:p>
    <w:p w14:paraId="6CDA7624" w14:textId="77777777" w:rsidR="00062BC5" w:rsidRPr="00C471DE" w:rsidRDefault="00062BC5" w:rsidP="00445624">
      <w:pPr>
        <w:keepLines/>
        <w:ind w:left="630"/>
        <w:jc w:val="right"/>
        <w:rPr>
          <w:b/>
        </w:rPr>
      </w:pPr>
    </w:p>
    <w:p w14:paraId="13F32217" w14:textId="77777777" w:rsidR="00062BC5" w:rsidRPr="00C471DE" w:rsidRDefault="00062BC5" w:rsidP="00445624">
      <w:pPr>
        <w:keepLines/>
        <w:ind w:left="630"/>
        <w:jc w:val="right"/>
        <w:rPr>
          <w:b/>
        </w:rPr>
      </w:pPr>
    </w:p>
    <w:p w14:paraId="716F8C1E" w14:textId="77777777" w:rsidR="00062BC5" w:rsidRPr="00C471DE" w:rsidRDefault="00062BC5" w:rsidP="00445624">
      <w:pPr>
        <w:keepLines/>
        <w:ind w:left="630"/>
        <w:jc w:val="right"/>
        <w:rPr>
          <w:b/>
        </w:rPr>
      </w:pPr>
    </w:p>
    <w:p w14:paraId="5F5F4AD7" w14:textId="77777777" w:rsidR="00062BC5" w:rsidRPr="00C471DE" w:rsidRDefault="00062BC5" w:rsidP="00445624">
      <w:pPr>
        <w:keepLines/>
        <w:ind w:left="630"/>
        <w:jc w:val="right"/>
        <w:rPr>
          <w:b/>
        </w:rPr>
      </w:pPr>
    </w:p>
    <w:p w14:paraId="65C70254" w14:textId="77777777" w:rsidR="00062BC5" w:rsidRPr="00C471DE" w:rsidRDefault="00062BC5" w:rsidP="00445624">
      <w:pPr>
        <w:keepLines/>
        <w:ind w:left="630"/>
        <w:jc w:val="right"/>
        <w:rPr>
          <w:b/>
        </w:rPr>
      </w:pPr>
    </w:p>
    <w:p w14:paraId="1EB143C2" w14:textId="77777777" w:rsidR="00062BC5" w:rsidRPr="00C471DE" w:rsidRDefault="00062BC5" w:rsidP="00445624">
      <w:pPr>
        <w:keepLines/>
        <w:ind w:left="630"/>
        <w:jc w:val="right"/>
        <w:rPr>
          <w:b/>
        </w:rPr>
      </w:pPr>
    </w:p>
    <w:p w14:paraId="11812AE4" w14:textId="77777777" w:rsidR="00062BC5" w:rsidRPr="00C471DE" w:rsidRDefault="00062BC5" w:rsidP="00445624">
      <w:pPr>
        <w:keepLines/>
        <w:ind w:left="630"/>
        <w:jc w:val="right"/>
        <w:rPr>
          <w:b/>
        </w:rPr>
      </w:pPr>
    </w:p>
    <w:p w14:paraId="23573643" w14:textId="77777777" w:rsidR="00062BC5" w:rsidRPr="00C471DE" w:rsidRDefault="00062BC5" w:rsidP="00445624">
      <w:pPr>
        <w:keepLines/>
        <w:ind w:left="630"/>
        <w:jc w:val="right"/>
        <w:rPr>
          <w:b/>
        </w:rPr>
      </w:pPr>
    </w:p>
    <w:p w14:paraId="63C95C1D" w14:textId="77777777" w:rsidR="00062BC5" w:rsidRPr="00C471DE" w:rsidRDefault="00062BC5" w:rsidP="00445624">
      <w:pPr>
        <w:keepLines/>
        <w:ind w:left="630"/>
        <w:jc w:val="right"/>
        <w:rPr>
          <w:b/>
        </w:rPr>
      </w:pPr>
    </w:p>
    <w:p w14:paraId="3EDFB215" w14:textId="77777777" w:rsidR="00062BC5" w:rsidRPr="00C471DE" w:rsidRDefault="00062BC5" w:rsidP="00445624">
      <w:pPr>
        <w:keepLines/>
        <w:ind w:left="630"/>
        <w:jc w:val="right"/>
        <w:rPr>
          <w:b/>
        </w:rPr>
      </w:pPr>
    </w:p>
    <w:p w14:paraId="26BF9889" w14:textId="77777777" w:rsidR="00062BC5" w:rsidRPr="00C471DE" w:rsidRDefault="00062BC5" w:rsidP="00445624">
      <w:pPr>
        <w:keepLines/>
        <w:ind w:left="630"/>
        <w:jc w:val="right"/>
        <w:rPr>
          <w:b/>
        </w:rPr>
      </w:pPr>
    </w:p>
    <w:p w14:paraId="1F4B8F7F" w14:textId="77777777" w:rsidR="00062BC5" w:rsidRPr="00C471DE" w:rsidRDefault="00062BC5" w:rsidP="00445624">
      <w:pPr>
        <w:keepLines/>
        <w:ind w:left="630"/>
        <w:jc w:val="right"/>
        <w:rPr>
          <w:b/>
        </w:rPr>
      </w:pPr>
    </w:p>
    <w:p w14:paraId="30CCB8CE" w14:textId="77777777" w:rsidR="00062BC5" w:rsidRPr="00C471DE" w:rsidRDefault="00062BC5" w:rsidP="00445624">
      <w:pPr>
        <w:keepLines/>
        <w:ind w:left="630"/>
        <w:jc w:val="right"/>
        <w:rPr>
          <w:b/>
        </w:rPr>
      </w:pPr>
    </w:p>
    <w:p w14:paraId="38DA7D1F" w14:textId="77777777" w:rsidR="00062BC5" w:rsidRPr="00C471DE" w:rsidRDefault="00062BC5" w:rsidP="00445624">
      <w:pPr>
        <w:keepLines/>
        <w:ind w:left="630"/>
        <w:jc w:val="right"/>
        <w:rPr>
          <w:b/>
        </w:rPr>
      </w:pPr>
    </w:p>
    <w:p w14:paraId="30FED046" w14:textId="77777777" w:rsidR="00062BC5" w:rsidRPr="00C471DE" w:rsidRDefault="00062BC5" w:rsidP="00445624">
      <w:pPr>
        <w:keepLines/>
        <w:ind w:left="630"/>
        <w:jc w:val="right"/>
        <w:rPr>
          <w:b/>
        </w:rPr>
      </w:pPr>
    </w:p>
    <w:p w14:paraId="3A88E83E" w14:textId="77777777" w:rsidR="00062BC5" w:rsidRPr="00C471DE" w:rsidRDefault="00062BC5" w:rsidP="00445624">
      <w:pPr>
        <w:keepLines/>
        <w:ind w:left="630"/>
        <w:jc w:val="right"/>
        <w:rPr>
          <w:b/>
        </w:rPr>
      </w:pPr>
    </w:p>
    <w:p w14:paraId="3142720F" w14:textId="77777777" w:rsidR="00062BC5" w:rsidRPr="00C471DE" w:rsidRDefault="00062BC5" w:rsidP="00445624">
      <w:pPr>
        <w:keepLines/>
        <w:ind w:left="630"/>
        <w:jc w:val="right"/>
        <w:rPr>
          <w:b/>
        </w:rPr>
      </w:pPr>
    </w:p>
    <w:p w14:paraId="5D1E73A0" w14:textId="77777777" w:rsidR="00062BC5" w:rsidRPr="00C471DE" w:rsidRDefault="00062BC5" w:rsidP="00445624">
      <w:pPr>
        <w:keepLines/>
        <w:ind w:left="630"/>
        <w:jc w:val="right"/>
        <w:rPr>
          <w:b/>
        </w:rPr>
      </w:pPr>
    </w:p>
    <w:p w14:paraId="7446BA95" w14:textId="77777777" w:rsidR="00062BC5" w:rsidRPr="00C471DE" w:rsidRDefault="00062BC5" w:rsidP="00445624">
      <w:pPr>
        <w:keepLines/>
        <w:ind w:left="630"/>
        <w:jc w:val="right"/>
        <w:rPr>
          <w:b/>
        </w:rPr>
      </w:pPr>
    </w:p>
    <w:p w14:paraId="5870D0D3" w14:textId="77777777" w:rsidR="00062BC5" w:rsidRPr="00C471DE" w:rsidRDefault="00062BC5" w:rsidP="00445624">
      <w:pPr>
        <w:keepLines/>
        <w:ind w:left="630"/>
        <w:jc w:val="right"/>
        <w:rPr>
          <w:b/>
        </w:rPr>
      </w:pPr>
    </w:p>
    <w:p w14:paraId="7B0821AA" w14:textId="77777777" w:rsidR="00062BC5" w:rsidRPr="00C471DE" w:rsidRDefault="00062BC5" w:rsidP="00445624">
      <w:pPr>
        <w:keepLines/>
        <w:ind w:left="630"/>
        <w:jc w:val="right"/>
        <w:rPr>
          <w:b/>
        </w:rPr>
      </w:pPr>
    </w:p>
    <w:p w14:paraId="02006FFF" w14:textId="77777777" w:rsidR="00062BC5" w:rsidRPr="00C471DE" w:rsidRDefault="00062BC5" w:rsidP="00445624">
      <w:pPr>
        <w:keepLines/>
        <w:ind w:left="630"/>
        <w:jc w:val="right"/>
        <w:rPr>
          <w:b/>
        </w:rPr>
      </w:pPr>
    </w:p>
    <w:p w14:paraId="65D53937" w14:textId="77777777" w:rsidR="00062BC5" w:rsidRPr="00C471DE" w:rsidRDefault="00062BC5" w:rsidP="00445624">
      <w:pPr>
        <w:keepLines/>
        <w:ind w:left="630"/>
        <w:jc w:val="right"/>
        <w:rPr>
          <w:b/>
        </w:rPr>
      </w:pPr>
    </w:p>
    <w:p w14:paraId="4000D9EF" w14:textId="77777777" w:rsidR="00062BC5" w:rsidRPr="00C471DE" w:rsidRDefault="00062BC5" w:rsidP="00445624">
      <w:pPr>
        <w:keepLines/>
        <w:ind w:left="630"/>
        <w:jc w:val="right"/>
        <w:rPr>
          <w:b/>
        </w:rPr>
      </w:pPr>
    </w:p>
    <w:p w14:paraId="7BB58654" w14:textId="77777777" w:rsidR="0054578C" w:rsidRDefault="0054578C" w:rsidP="00FD2EA3">
      <w:pPr>
        <w:keepLines/>
        <w:rPr>
          <w:b/>
          <w:color w:val="993366"/>
          <w:sz w:val="28"/>
          <w:szCs w:val="28"/>
        </w:rPr>
      </w:pPr>
    </w:p>
    <w:p w14:paraId="7DEF42EB" w14:textId="77777777" w:rsidR="0054578C" w:rsidRDefault="0054578C" w:rsidP="00FD2EA3">
      <w:pPr>
        <w:keepLines/>
        <w:rPr>
          <w:b/>
          <w:color w:val="993366"/>
          <w:sz w:val="28"/>
          <w:szCs w:val="28"/>
        </w:rPr>
      </w:pPr>
    </w:p>
    <w:p w14:paraId="5EE71BB1" w14:textId="77777777" w:rsidR="0054578C" w:rsidRDefault="0054578C" w:rsidP="00FD2EA3">
      <w:pPr>
        <w:keepLines/>
        <w:rPr>
          <w:b/>
          <w:color w:val="993366"/>
          <w:sz w:val="28"/>
          <w:szCs w:val="28"/>
        </w:rPr>
      </w:pPr>
    </w:p>
    <w:p w14:paraId="631E4BE9" w14:textId="77777777" w:rsidR="0054578C" w:rsidRDefault="0054578C" w:rsidP="00FD2EA3">
      <w:pPr>
        <w:keepLines/>
        <w:rPr>
          <w:b/>
          <w:color w:val="993366"/>
          <w:sz w:val="28"/>
          <w:szCs w:val="28"/>
        </w:rPr>
      </w:pPr>
    </w:p>
    <w:p w14:paraId="1C531817" w14:textId="77777777" w:rsidR="0054578C" w:rsidRDefault="0054578C" w:rsidP="00FD2EA3">
      <w:pPr>
        <w:keepLines/>
        <w:rPr>
          <w:b/>
          <w:color w:val="993366"/>
          <w:sz w:val="28"/>
          <w:szCs w:val="28"/>
        </w:rPr>
      </w:pPr>
    </w:p>
    <w:p w14:paraId="78B354C8" w14:textId="77777777" w:rsidR="0054578C" w:rsidRDefault="0054578C" w:rsidP="00FD2EA3">
      <w:pPr>
        <w:keepLines/>
        <w:rPr>
          <w:b/>
          <w:color w:val="993366"/>
          <w:sz w:val="28"/>
          <w:szCs w:val="28"/>
        </w:rPr>
      </w:pPr>
    </w:p>
    <w:p w14:paraId="12C86569" w14:textId="77777777" w:rsidR="00062BC5" w:rsidRPr="00A624C8" w:rsidRDefault="00062BC5" w:rsidP="00FD2EA3">
      <w:pPr>
        <w:keepLines/>
        <w:rPr>
          <w:b/>
          <w:color w:val="993366"/>
          <w:sz w:val="28"/>
          <w:szCs w:val="28"/>
        </w:rPr>
      </w:pPr>
      <w:r w:rsidRPr="00A624C8">
        <w:rPr>
          <w:b/>
          <w:color w:val="993366"/>
          <w:sz w:val="28"/>
          <w:szCs w:val="28"/>
        </w:rPr>
        <w:t>CONTENTS</w:t>
      </w:r>
    </w:p>
    <w:p w14:paraId="397F4993" w14:textId="77777777" w:rsidR="00062BC5" w:rsidRPr="00A624C8" w:rsidRDefault="00062BC5" w:rsidP="00FD2EA3">
      <w:pPr>
        <w:keepLines/>
        <w:ind w:left="630"/>
        <w:rPr>
          <w:b/>
        </w:rPr>
      </w:pPr>
    </w:p>
    <w:p w14:paraId="63365036" w14:textId="77777777" w:rsidR="00062BC5" w:rsidRPr="00A624C8" w:rsidRDefault="00062BC5" w:rsidP="00FD2EA3">
      <w:pPr>
        <w:keepLines/>
        <w:ind w:left="630"/>
        <w:rPr>
          <w:b/>
        </w:rPr>
      </w:pPr>
    </w:p>
    <w:tbl>
      <w:tblPr>
        <w:tblW w:w="0" w:type="auto"/>
        <w:tblLook w:val="01E0" w:firstRow="1" w:lastRow="1" w:firstColumn="1" w:lastColumn="1" w:noHBand="0" w:noVBand="0"/>
      </w:tblPr>
      <w:tblGrid>
        <w:gridCol w:w="1548"/>
        <w:gridCol w:w="6500"/>
        <w:gridCol w:w="1773"/>
      </w:tblGrid>
      <w:tr w:rsidR="00062BC5" w:rsidRPr="005822C9" w14:paraId="1CE962D5" w14:textId="77777777" w:rsidTr="003B1AB3">
        <w:trPr>
          <w:trHeight w:val="567"/>
        </w:trPr>
        <w:tc>
          <w:tcPr>
            <w:tcW w:w="1548" w:type="dxa"/>
            <w:vAlign w:val="center"/>
          </w:tcPr>
          <w:p w14:paraId="35B01038" w14:textId="77777777" w:rsidR="00062BC5" w:rsidRPr="0048223C" w:rsidRDefault="00062BC5" w:rsidP="005B7B69">
            <w:pPr>
              <w:keepLines/>
              <w:rPr>
                <w:b/>
                <w:color w:val="993366"/>
              </w:rPr>
            </w:pPr>
            <w:r w:rsidRPr="0048223C">
              <w:rPr>
                <w:b/>
                <w:color w:val="993366"/>
              </w:rPr>
              <w:t>Section</w:t>
            </w:r>
          </w:p>
        </w:tc>
        <w:tc>
          <w:tcPr>
            <w:tcW w:w="6500" w:type="dxa"/>
            <w:vAlign w:val="center"/>
          </w:tcPr>
          <w:p w14:paraId="3E6AFDB3" w14:textId="77777777" w:rsidR="00062BC5" w:rsidRPr="0048223C" w:rsidRDefault="00062BC5" w:rsidP="003B1AB3">
            <w:pPr>
              <w:keepLines/>
              <w:rPr>
                <w:b/>
                <w:color w:val="993366"/>
              </w:rPr>
            </w:pPr>
          </w:p>
        </w:tc>
        <w:tc>
          <w:tcPr>
            <w:tcW w:w="1773" w:type="dxa"/>
            <w:vAlign w:val="center"/>
          </w:tcPr>
          <w:p w14:paraId="29938F33" w14:textId="77777777" w:rsidR="00062BC5" w:rsidRPr="005822C9" w:rsidRDefault="00062BC5" w:rsidP="003B1AB3">
            <w:pPr>
              <w:keepLines/>
              <w:ind w:right="247"/>
              <w:jc w:val="right"/>
              <w:rPr>
                <w:b/>
                <w:color w:val="993366"/>
                <w:highlight w:val="yellow"/>
              </w:rPr>
            </w:pPr>
            <w:r w:rsidRPr="0048223C">
              <w:rPr>
                <w:b/>
                <w:color w:val="993366"/>
              </w:rPr>
              <w:t>Page</w:t>
            </w:r>
          </w:p>
        </w:tc>
      </w:tr>
      <w:tr w:rsidR="00062BC5" w:rsidRPr="00104242" w14:paraId="4C6378DB" w14:textId="77777777" w:rsidTr="003B1AB3">
        <w:trPr>
          <w:trHeight w:val="567"/>
        </w:trPr>
        <w:tc>
          <w:tcPr>
            <w:tcW w:w="1548" w:type="dxa"/>
            <w:vAlign w:val="center"/>
          </w:tcPr>
          <w:p w14:paraId="40814DE9" w14:textId="77777777" w:rsidR="00062BC5" w:rsidRPr="00B535A5" w:rsidRDefault="00062BC5" w:rsidP="003B1AB3">
            <w:pPr>
              <w:keepLines/>
              <w:jc w:val="center"/>
            </w:pPr>
            <w:r w:rsidRPr="00B535A5">
              <w:t>1</w:t>
            </w:r>
          </w:p>
        </w:tc>
        <w:tc>
          <w:tcPr>
            <w:tcW w:w="6500" w:type="dxa"/>
            <w:vAlign w:val="center"/>
          </w:tcPr>
          <w:p w14:paraId="3B96B6E4" w14:textId="77777777" w:rsidR="00062BC5" w:rsidRPr="00B535A5" w:rsidRDefault="00062BC5" w:rsidP="003B1AB3">
            <w:pPr>
              <w:keepLines/>
            </w:pPr>
            <w:r w:rsidRPr="00B535A5">
              <w:t>Purpose and Scope</w:t>
            </w:r>
          </w:p>
        </w:tc>
        <w:tc>
          <w:tcPr>
            <w:tcW w:w="1773" w:type="dxa"/>
            <w:vAlign w:val="center"/>
          </w:tcPr>
          <w:p w14:paraId="1FF31B1A" w14:textId="77777777" w:rsidR="00062BC5" w:rsidRPr="00D26131" w:rsidRDefault="004974B4" w:rsidP="003B1AB3">
            <w:pPr>
              <w:keepLines/>
              <w:ind w:right="247"/>
              <w:jc w:val="right"/>
              <w:rPr>
                <w:highlight w:val="yellow"/>
              </w:rPr>
            </w:pPr>
            <w:r w:rsidRPr="008D040F">
              <w:t>3</w:t>
            </w:r>
          </w:p>
        </w:tc>
      </w:tr>
      <w:tr w:rsidR="00062BC5" w:rsidRPr="00104242" w14:paraId="69CA3BC3" w14:textId="77777777" w:rsidTr="003B1AB3">
        <w:trPr>
          <w:trHeight w:val="567"/>
        </w:trPr>
        <w:tc>
          <w:tcPr>
            <w:tcW w:w="1548" w:type="dxa"/>
            <w:vAlign w:val="center"/>
          </w:tcPr>
          <w:p w14:paraId="1F203D2E" w14:textId="77777777" w:rsidR="00062BC5" w:rsidRPr="00B535A5" w:rsidRDefault="00062BC5" w:rsidP="003B1AB3">
            <w:pPr>
              <w:keepLines/>
              <w:jc w:val="center"/>
            </w:pPr>
            <w:r w:rsidRPr="00B535A5">
              <w:t>2</w:t>
            </w:r>
          </w:p>
        </w:tc>
        <w:tc>
          <w:tcPr>
            <w:tcW w:w="6500" w:type="dxa"/>
            <w:vAlign w:val="center"/>
          </w:tcPr>
          <w:p w14:paraId="32D7DC76" w14:textId="77777777" w:rsidR="00062BC5" w:rsidRPr="00B535A5" w:rsidRDefault="00062BC5" w:rsidP="003B1AB3">
            <w:pPr>
              <w:keepLines/>
            </w:pPr>
            <w:r w:rsidRPr="00B535A5">
              <w:t>Background</w:t>
            </w:r>
          </w:p>
        </w:tc>
        <w:tc>
          <w:tcPr>
            <w:tcW w:w="1773" w:type="dxa"/>
            <w:vAlign w:val="center"/>
          </w:tcPr>
          <w:p w14:paraId="1E31710A" w14:textId="160B5472" w:rsidR="00062BC5" w:rsidRPr="00D26131" w:rsidRDefault="008D040F" w:rsidP="003B1AB3">
            <w:pPr>
              <w:keepLines/>
              <w:ind w:right="247"/>
              <w:jc w:val="right"/>
              <w:rPr>
                <w:highlight w:val="yellow"/>
              </w:rPr>
            </w:pPr>
            <w:r w:rsidRPr="008D040F">
              <w:t>7</w:t>
            </w:r>
          </w:p>
        </w:tc>
      </w:tr>
      <w:tr w:rsidR="00062BC5" w:rsidRPr="00104242" w14:paraId="0F4D1E29" w14:textId="77777777" w:rsidTr="003B1AB3">
        <w:trPr>
          <w:trHeight w:val="567"/>
        </w:trPr>
        <w:tc>
          <w:tcPr>
            <w:tcW w:w="1548" w:type="dxa"/>
            <w:vAlign w:val="center"/>
          </w:tcPr>
          <w:p w14:paraId="0E638B59" w14:textId="77777777" w:rsidR="00062BC5" w:rsidRPr="00B535A5" w:rsidRDefault="00062BC5" w:rsidP="003B1AB3">
            <w:pPr>
              <w:keepLines/>
              <w:jc w:val="center"/>
            </w:pPr>
            <w:r w:rsidRPr="00B535A5">
              <w:t>3</w:t>
            </w:r>
          </w:p>
        </w:tc>
        <w:tc>
          <w:tcPr>
            <w:tcW w:w="6500" w:type="dxa"/>
            <w:vAlign w:val="center"/>
          </w:tcPr>
          <w:p w14:paraId="1BE59134" w14:textId="2E6FEED1" w:rsidR="00062BC5" w:rsidRPr="00B535A5" w:rsidRDefault="00062BC5" w:rsidP="00D26131">
            <w:pPr>
              <w:keepLines/>
            </w:pPr>
            <w:r w:rsidRPr="00B535A5">
              <w:t xml:space="preserve">The Capital Prudential Indicators </w:t>
            </w:r>
            <w:r w:rsidR="00104242" w:rsidRPr="00B535A5">
              <w:t>20</w:t>
            </w:r>
            <w:r w:rsidR="00FD5AD3">
              <w:t>2</w:t>
            </w:r>
            <w:r w:rsidR="00850EA6">
              <w:t>4</w:t>
            </w:r>
            <w:r w:rsidR="00977FFB" w:rsidRPr="00B535A5">
              <w:t>/</w:t>
            </w:r>
            <w:r w:rsidR="00104242" w:rsidRPr="00B535A5">
              <w:t>2</w:t>
            </w:r>
            <w:r w:rsidR="00850EA6">
              <w:t>5</w:t>
            </w:r>
            <w:r w:rsidRPr="00B535A5">
              <w:t xml:space="preserve"> – </w:t>
            </w:r>
            <w:r w:rsidR="00977FFB" w:rsidRPr="00B535A5">
              <w:t>20</w:t>
            </w:r>
            <w:r w:rsidR="0048223C" w:rsidRPr="00B535A5">
              <w:t>2</w:t>
            </w:r>
            <w:r w:rsidR="006304EA">
              <w:t>8</w:t>
            </w:r>
            <w:r w:rsidR="00977FFB" w:rsidRPr="00B535A5">
              <w:t>/2</w:t>
            </w:r>
            <w:r w:rsidR="006304EA">
              <w:t>9</w:t>
            </w:r>
          </w:p>
        </w:tc>
        <w:tc>
          <w:tcPr>
            <w:tcW w:w="1773" w:type="dxa"/>
            <w:vAlign w:val="center"/>
          </w:tcPr>
          <w:p w14:paraId="51003063" w14:textId="01ADD6BA" w:rsidR="00062BC5" w:rsidRPr="00D26131" w:rsidRDefault="008D040F" w:rsidP="003B1AB3">
            <w:pPr>
              <w:keepLines/>
              <w:ind w:right="247"/>
              <w:jc w:val="right"/>
              <w:rPr>
                <w:highlight w:val="yellow"/>
              </w:rPr>
            </w:pPr>
            <w:r w:rsidRPr="008D040F">
              <w:t>8</w:t>
            </w:r>
          </w:p>
        </w:tc>
      </w:tr>
      <w:tr w:rsidR="00062BC5" w:rsidRPr="00104242" w14:paraId="4504A5C2" w14:textId="77777777" w:rsidTr="003B1AB3">
        <w:trPr>
          <w:trHeight w:val="567"/>
        </w:trPr>
        <w:tc>
          <w:tcPr>
            <w:tcW w:w="1548" w:type="dxa"/>
            <w:vAlign w:val="center"/>
          </w:tcPr>
          <w:p w14:paraId="1C8AB65B" w14:textId="77777777" w:rsidR="00062BC5" w:rsidRPr="00B535A5" w:rsidRDefault="00062BC5" w:rsidP="003B1AB3">
            <w:pPr>
              <w:keepLines/>
              <w:jc w:val="center"/>
            </w:pPr>
            <w:r w:rsidRPr="00B535A5">
              <w:t>4</w:t>
            </w:r>
          </w:p>
        </w:tc>
        <w:tc>
          <w:tcPr>
            <w:tcW w:w="6500" w:type="dxa"/>
            <w:vAlign w:val="center"/>
          </w:tcPr>
          <w:p w14:paraId="10828206" w14:textId="77777777" w:rsidR="00062BC5" w:rsidRPr="00B535A5" w:rsidRDefault="00062BC5" w:rsidP="003B1AB3">
            <w:pPr>
              <w:keepLines/>
            </w:pPr>
            <w:r w:rsidRPr="00B535A5">
              <w:t>Treasury Management Strategy</w:t>
            </w:r>
          </w:p>
        </w:tc>
        <w:tc>
          <w:tcPr>
            <w:tcW w:w="1773" w:type="dxa"/>
            <w:vAlign w:val="center"/>
          </w:tcPr>
          <w:p w14:paraId="79C2E629" w14:textId="3C795303" w:rsidR="00062BC5" w:rsidRPr="00D26131" w:rsidRDefault="005C23AD" w:rsidP="003B1AB3">
            <w:pPr>
              <w:keepLines/>
              <w:ind w:right="247"/>
              <w:jc w:val="right"/>
              <w:rPr>
                <w:highlight w:val="yellow"/>
              </w:rPr>
            </w:pPr>
            <w:r w:rsidRPr="008D040F">
              <w:t>1</w:t>
            </w:r>
            <w:r w:rsidR="008D040F" w:rsidRPr="008D040F">
              <w:t>2</w:t>
            </w:r>
          </w:p>
        </w:tc>
      </w:tr>
      <w:tr w:rsidR="00062BC5" w:rsidRPr="00104242" w14:paraId="0C5025B5" w14:textId="77777777" w:rsidTr="003B1AB3">
        <w:trPr>
          <w:trHeight w:val="567"/>
        </w:trPr>
        <w:tc>
          <w:tcPr>
            <w:tcW w:w="1548" w:type="dxa"/>
            <w:vAlign w:val="center"/>
          </w:tcPr>
          <w:p w14:paraId="5E57EED9" w14:textId="77777777" w:rsidR="00062BC5" w:rsidRPr="00B535A5" w:rsidRDefault="00062BC5" w:rsidP="003B1AB3">
            <w:pPr>
              <w:keepLines/>
              <w:jc w:val="center"/>
            </w:pPr>
            <w:r w:rsidRPr="00B535A5">
              <w:t>5</w:t>
            </w:r>
          </w:p>
        </w:tc>
        <w:tc>
          <w:tcPr>
            <w:tcW w:w="6500" w:type="dxa"/>
            <w:vAlign w:val="center"/>
          </w:tcPr>
          <w:p w14:paraId="6E72DFD5" w14:textId="77777777" w:rsidR="00062BC5" w:rsidRPr="00B535A5" w:rsidRDefault="00062BC5" w:rsidP="00C723E5">
            <w:pPr>
              <w:keepLines/>
            </w:pPr>
            <w:r w:rsidRPr="00B535A5">
              <w:t xml:space="preserve">Investment Strategy </w:t>
            </w:r>
          </w:p>
        </w:tc>
        <w:tc>
          <w:tcPr>
            <w:tcW w:w="1773" w:type="dxa"/>
            <w:vAlign w:val="center"/>
          </w:tcPr>
          <w:p w14:paraId="4801E8E3" w14:textId="0BC23EA5" w:rsidR="00062BC5" w:rsidRPr="00D26131" w:rsidRDefault="00324BCA" w:rsidP="005C23AD">
            <w:pPr>
              <w:keepLines/>
              <w:ind w:right="247"/>
              <w:jc w:val="right"/>
              <w:rPr>
                <w:highlight w:val="yellow"/>
              </w:rPr>
            </w:pPr>
            <w:r w:rsidRPr="00324BCA">
              <w:t>20</w:t>
            </w:r>
          </w:p>
        </w:tc>
      </w:tr>
      <w:tr w:rsidR="00062BC5" w:rsidRPr="00104242" w14:paraId="78E91B4B" w14:textId="77777777" w:rsidTr="003B1AB3">
        <w:trPr>
          <w:trHeight w:val="567"/>
        </w:trPr>
        <w:tc>
          <w:tcPr>
            <w:tcW w:w="1548" w:type="dxa"/>
            <w:vAlign w:val="center"/>
          </w:tcPr>
          <w:p w14:paraId="79C3510A" w14:textId="77777777" w:rsidR="00062BC5" w:rsidRPr="00B535A5" w:rsidRDefault="00062BC5" w:rsidP="003B1AB3">
            <w:pPr>
              <w:keepLines/>
              <w:jc w:val="center"/>
            </w:pPr>
            <w:r w:rsidRPr="00B535A5">
              <w:t>6</w:t>
            </w:r>
          </w:p>
        </w:tc>
        <w:tc>
          <w:tcPr>
            <w:tcW w:w="6500" w:type="dxa"/>
            <w:vAlign w:val="center"/>
          </w:tcPr>
          <w:p w14:paraId="5508E6FD" w14:textId="77777777" w:rsidR="00062BC5" w:rsidRPr="00B535A5" w:rsidRDefault="00062BC5" w:rsidP="003B1AB3">
            <w:pPr>
              <w:keepLines/>
            </w:pPr>
            <w:r w:rsidRPr="00B535A5">
              <w:t xml:space="preserve">Performance Indicators </w:t>
            </w:r>
          </w:p>
        </w:tc>
        <w:tc>
          <w:tcPr>
            <w:tcW w:w="1773" w:type="dxa"/>
            <w:vAlign w:val="center"/>
          </w:tcPr>
          <w:p w14:paraId="51926993" w14:textId="33AF3773" w:rsidR="00062BC5" w:rsidRPr="00D26131" w:rsidRDefault="005C23AD" w:rsidP="00FB7CE8">
            <w:pPr>
              <w:keepLines/>
              <w:ind w:right="247"/>
              <w:jc w:val="right"/>
              <w:rPr>
                <w:highlight w:val="yellow"/>
              </w:rPr>
            </w:pPr>
            <w:r w:rsidRPr="008D040F">
              <w:t>2</w:t>
            </w:r>
            <w:r w:rsidR="00324BCA">
              <w:t>6</w:t>
            </w:r>
          </w:p>
        </w:tc>
      </w:tr>
      <w:tr w:rsidR="00062BC5" w:rsidRPr="00104242" w14:paraId="03A829E6" w14:textId="77777777" w:rsidTr="003B1AB3">
        <w:trPr>
          <w:trHeight w:val="567"/>
        </w:trPr>
        <w:tc>
          <w:tcPr>
            <w:tcW w:w="1548" w:type="dxa"/>
            <w:vAlign w:val="center"/>
          </w:tcPr>
          <w:p w14:paraId="21C905DB" w14:textId="77777777" w:rsidR="00062BC5" w:rsidRPr="00B535A5" w:rsidRDefault="00062BC5" w:rsidP="003B1AB3">
            <w:pPr>
              <w:keepLines/>
              <w:jc w:val="center"/>
            </w:pPr>
          </w:p>
        </w:tc>
        <w:tc>
          <w:tcPr>
            <w:tcW w:w="6500" w:type="dxa"/>
            <w:vAlign w:val="center"/>
          </w:tcPr>
          <w:p w14:paraId="37F274E8" w14:textId="77777777" w:rsidR="00062BC5" w:rsidRPr="00B535A5" w:rsidRDefault="00062BC5" w:rsidP="003B1AB3">
            <w:pPr>
              <w:keepLines/>
            </w:pPr>
          </w:p>
        </w:tc>
        <w:tc>
          <w:tcPr>
            <w:tcW w:w="1773" w:type="dxa"/>
            <w:vAlign w:val="center"/>
          </w:tcPr>
          <w:p w14:paraId="6B7BB3A8" w14:textId="77777777" w:rsidR="00062BC5" w:rsidRPr="00D26131" w:rsidRDefault="00062BC5" w:rsidP="003B1AB3">
            <w:pPr>
              <w:keepLines/>
              <w:ind w:right="247"/>
              <w:jc w:val="right"/>
              <w:rPr>
                <w:highlight w:val="yellow"/>
              </w:rPr>
            </w:pPr>
          </w:p>
        </w:tc>
      </w:tr>
      <w:tr w:rsidR="00062BC5" w:rsidRPr="00104242" w14:paraId="7FC34EF6" w14:textId="77777777" w:rsidTr="003B1AB3">
        <w:trPr>
          <w:trHeight w:val="567"/>
        </w:trPr>
        <w:tc>
          <w:tcPr>
            <w:tcW w:w="1548" w:type="dxa"/>
            <w:vAlign w:val="center"/>
          </w:tcPr>
          <w:p w14:paraId="655C0563" w14:textId="77777777" w:rsidR="00062BC5" w:rsidRPr="00B535A5" w:rsidRDefault="00062BC5" w:rsidP="003B1AB3">
            <w:pPr>
              <w:keepLines/>
              <w:jc w:val="center"/>
            </w:pPr>
          </w:p>
        </w:tc>
        <w:tc>
          <w:tcPr>
            <w:tcW w:w="6500" w:type="dxa"/>
            <w:vAlign w:val="center"/>
          </w:tcPr>
          <w:p w14:paraId="1647A6F2" w14:textId="77777777" w:rsidR="00062BC5" w:rsidRPr="00B535A5" w:rsidRDefault="00062BC5" w:rsidP="003B1AB3">
            <w:pPr>
              <w:keepLines/>
            </w:pPr>
            <w:r w:rsidRPr="00B535A5">
              <w:t>ANNEXES</w:t>
            </w:r>
          </w:p>
        </w:tc>
        <w:tc>
          <w:tcPr>
            <w:tcW w:w="1773" w:type="dxa"/>
            <w:vAlign w:val="center"/>
          </w:tcPr>
          <w:p w14:paraId="55DC4EAE" w14:textId="77777777" w:rsidR="00062BC5" w:rsidRPr="00D26131" w:rsidRDefault="00062BC5" w:rsidP="003B1AB3">
            <w:pPr>
              <w:keepLines/>
              <w:ind w:right="247"/>
              <w:jc w:val="right"/>
              <w:rPr>
                <w:highlight w:val="yellow"/>
              </w:rPr>
            </w:pPr>
          </w:p>
        </w:tc>
      </w:tr>
      <w:tr w:rsidR="00062BC5" w:rsidRPr="00104242" w14:paraId="2B048BE0" w14:textId="77777777" w:rsidTr="003B1AB3">
        <w:trPr>
          <w:trHeight w:val="567"/>
        </w:trPr>
        <w:tc>
          <w:tcPr>
            <w:tcW w:w="1548" w:type="dxa"/>
            <w:vAlign w:val="center"/>
          </w:tcPr>
          <w:p w14:paraId="02B926D6" w14:textId="77777777" w:rsidR="00062BC5" w:rsidRPr="00B535A5" w:rsidRDefault="00062BC5" w:rsidP="003B1AB3">
            <w:pPr>
              <w:keepLines/>
              <w:jc w:val="center"/>
            </w:pPr>
            <w:r w:rsidRPr="00B535A5">
              <w:t>Annex A</w:t>
            </w:r>
          </w:p>
        </w:tc>
        <w:tc>
          <w:tcPr>
            <w:tcW w:w="6500" w:type="dxa"/>
            <w:vAlign w:val="center"/>
          </w:tcPr>
          <w:p w14:paraId="14138FC6" w14:textId="77777777" w:rsidR="00062BC5" w:rsidRPr="00B535A5" w:rsidRDefault="00062BC5" w:rsidP="003B1AB3">
            <w:pPr>
              <w:keepLines/>
            </w:pPr>
            <w:r w:rsidRPr="00B535A5">
              <w:t>Summary of Prudential and Treasury Indicators</w:t>
            </w:r>
          </w:p>
        </w:tc>
        <w:tc>
          <w:tcPr>
            <w:tcW w:w="1773" w:type="dxa"/>
            <w:vAlign w:val="center"/>
          </w:tcPr>
          <w:p w14:paraId="4D7F62F7" w14:textId="6515724D" w:rsidR="00062BC5" w:rsidRPr="00D26131" w:rsidRDefault="005C23AD" w:rsidP="00FB7CE8">
            <w:pPr>
              <w:keepLines/>
              <w:ind w:right="247"/>
              <w:jc w:val="right"/>
              <w:rPr>
                <w:highlight w:val="yellow"/>
              </w:rPr>
            </w:pPr>
            <w:r w:rsidRPr="008D040F">
              <w:t>2</w:t>
            </w:r>
            <w:r w:rsidR="00324BCA">
              <w:t>8</w:t>
            </w:r>
          </w:p>
        </w:tc>
      </w:tr>
      <w:tr w:rsidR="00062BC5" w:rsidRPr="00104242" w14:paraId="7A99A7E3" w14:textId="77777777" w:rsidTr="003B1AB3">
        <w:trPr>
          <w:trHeight w:val="567"/>
        </w:trPr>
        <w:tc>
          <w:tcPr>
            <w:tcW w:w="1548" w:type="dxa"/>
            <w:vAlign w:val="center"/>
          </w:tcPr>
          <w:p w14:paraId="6876EAA9" w14:textId="77777777" w:rsidR="00062BC5" w:rsidRPr="00B535A5" w:rsidRDefault="00062BC5" w:rsidP="003B1AB3">
            <w:pPr>
              <w:keepLines/>
              <w:jc w:val="center"/>
            </w:pPr>
            <w:r w:rsidRPr="00B535A5">
              <w:t>Annex B</w:t>
            </w:r>
          </w:p>
        </w:tc>
        <w:tc>
          <w:tcPr>
            <w:tcW w:w="6500" w:type="dxa"/>
            <w:vAlign w:val="center"/>
          </w:tcPr>
          <w:p w14:paraId="351550E1" w14:textId="445F0554" w:rsidR="00062BC5" w:rsidRPr="00B535A5" w:rsidRDefault="00062BC5" w:rsidP="00D26131">
            <w:pPr>
              <w:keepLines/>
            </w:pPr>
            <w:r w:rsidRPr="00B535A5">
              <w:t xml:space="preserve">Interest Rate Forecast </w:t>
            </w:r>
            <w:r w:rsidR="00977FFB" w:rsidRPr="00B535A5">
              <w:t>20</w:t>
            </w:r>
            <w:r w:rsidR="00B535A5" w:rsidRPr="00B535A5">
              <w:t>2</w:t>
            </w:r>
            <w:r w:rsidR="001C0827">
              <w:t>4</w:t>
            </w:r>
            <w:r w:rsidR="009F7117" w:rsidRPr="00B535A5">
              <w:t xml:space="preserve"> - </w:t>
            </w:r>
            <w:r w:rsidR="00977FFB" w:rsidRPr="00B535A5">
              <w:t>202</w:t>
            </w:r>
            <w:r w:rsidR="001C0827">
              <w:t>6</w:t>
            </w:r>
          </w:p>
        </w:tc>
        <w:tc>
          <w:tcPr>
            <w:tcW w:w="1773" w:type="dxa"/>
            <w:vAlign w:val="center"/>
          </w:tcPr>
          <w:p w14:paraId="0DCC8868" w14:textId="569A299E" w:rsidR="00062BC5" w:rsidRPr="00D26131" w:rsidRDefault="005C23AD" w:rsidP="00FB7CE8">
            <w:pPr>
              <w:keepLines/>
              <w:ind w:right="247"/>
              <w:jc w:val="right"/>
              <w:rPr>
                <w:highlight w:val="yellow"/>
              </w:rPr>
            </w:pPr>
            <w:r w:rsidRPr="008D040F">
              <w:t>3</w:t>
            </w:r>
            <w:r w:rsidR="00324BCA">
              <w:t>1</w:t>
            </w:r>
          </w:p>
        </w:tc>
      </w:tr>
      <w:tr w:rsidR="00062BC5" w:rsidRPr="00104242" w14:paraId="391FB438" w14:textId="77777777" w:rsidTr="003B1AB3">
        <w:trPr>
          <w:trHeight w:val="567"/>
        </w:trPr>
        <w:tc>
          <w:tcPr>
            <w:tcW w:w="1548" w:type="dxa"/>
            <w:vAlign w:val="center"/>
          </w:tcPr>
          <w:p w14:paraId="73CAB2D0" w14:textId="77777777" w:rsidR="00062BC5" w:rsidRPr="00B535A5" w:rsidRDefault="00062BC5" w:rsidP="003B1AB3">
            <w:pPr>
              <w:keepLines/>
              <w:jc w:val="center"/>
            </w:pPr>
            <w:r w:rsidRPr="00B535A5">
              <w:t>Annex C</w:t>
            </w:r>
          </w:p>
        </w:tc>
        <w:tc>
          <w:tcPr>
            <w:tcW w:w="6500" w:type="dxa"/>
            <w:vAlign w:val="center"/>
          </w:tcPr>
          <w:p w14:paraId="423ABF70" w14:textId="77777777" w:rsidR="00062BC5" w:rsidRPr="00B535A5" w:rsidRDefault="00062BC5" w:rsidP="003B1AB3">
            <w:pPr>
              <w:keepLines/>
            </w:pPr>
            <w:r w:rsidRPr="00B535A5">
              <w:t>Economic Background</w:t>
            </w:r>
          </w:p>
        </w:tc>
        <w:tc>
          <w:tcPr>
            <w:tcW w:w="1773" w:type="dxa"/>
            <w:vAlign w:val="center"/>
          </w:tcPr>
          <w:p w14:paraId="62CEF87D" w14:textId="4949ED9F" w:rsidR="00062BC5" w:rsidRPr="00D26131" w:rsidRDefault="005C23AD" w:rsidP="00FB7CE8">
            <w:pPr>
              <w:keepLines/>
              <w:ind w:right="247"/>
              <w:jc w:val="right"/>
              <w:rPr>
                <w:highlight w:val="yellow"/>
              </w:rPr>
            </w:pPr>
            <w:r w:rsidRPr="008D040F">
              <w:t>3</w:t>
            </w:r>
            <w:r w:rsidR="00324BCA">
              <w:t>2</w:t>
            </w:r>
          </w:p>
        </w:tc>
      </w:tr>
      <w:tr w:rsidR="00062BC5" w:rsidRPr="00104242" w14:paraId="3253BD44" w14:textId="77777777" w:rsidTr="003B1AB3">
        <w:trPr>
          <w:trHeight w:val="567"/>
        </w:trPr>
        <w:tc>
          <w:tcPr>
            <w:tcW w:w="1548" w:type="dxa"/>
            <w:vAlign w:val="center"/>
          </w:tcPr>
          <w:p w14:paraId="105195E6" w14:textId="77777777" w:rsidR="00062BC5" w:rsidRPr="00B535A5" w:rsidRDefault="00062BC5" w:rsidP="003B1AB3">
            <w:pPr>
              <w:keepLines/>
              <w:jc w:val="center"/>
            </w:pPr>
            <w:r w:rsidRPr="00B535A5">
              <w:t>Annex D</w:t>
            </w:r>
          </w:p>
        </w:tc>
        <w:tc>
          <w:tcPr>
            <w:tcW w:w="6500" w:type="dxa"/>
            <w:vAlign w:val="center"/>
          </w:tcPr>
          <w:p w14:paraId="24F04BF5" w14:textId="77777777" w:rsidR="00062BC5" w:rsidRPr="00B535A5" w:rsidRDefault="00A624C8" w:rsidP="003B1AB3">
            <w:pPr>
              <w:keepLines/>
            </w:pPr>
            <w:r w:rsidRPr="00B535A5">
              <w:t>Treasury Management Practice</w:t>
            </w:r>
            <w:r w:rsidR="00062BC5" w:rsidRPr="00B535A5">
              <w:t xml:space="preserve"> – Permitted Investments, Associated Controls and Limits</w:t>
            </w:r>
          </w:p>
        </w:tc>
        <w:tc>
          <w:tcPr>
            <w:tcW w:w="1773" w:type="dxa"/>
            <w:vAlign w:val="center"/>
          </w:tcPr>
          <w:p w14:paraId="319EC0B5" w14:textId="396C9039" w:rsidR="00062BC5" w:rsidRPr="00D26131" w:rsidRDefault="005C23AD" w:rsidP="00FB7CE8">
            <w:pPr>
              <w:keepLines/>
              <w:ind w:right="247"/>
              <w:jc w:val="right"/>
              <w:rPr>
                <w:highlight w:val="yellow"/>
              </w:rPr>
            </w:pPr>
            <w:r w:rsidRPr="008D040F">
              <w:t>3</w:t>
            </w:r>
            <w:r w:rsidR="00324BCA">
              <w:t>6</w:t>
            </w:r>
          </w:p>
        </w:tc>
      </w:tr>
      <w:tr w:rsidR="00062BC5" w:rsidRPr="00104242" w14:paraId="6A2434DF" w14:textId="77777777" w:rsidTr="003B1AB3">
        <w:trPr>
          <w:trHeight w:val="567"/>
        </w:trPr>
        <w:tc>
          <w:tcPr>
            <w:tcW w:w="1548" w:type="dxa"/>
            <w:vAlign w:val="center"/>
          </w:tcPr>
          <w:p w14:paraId="5190A78E" w14:textId="77777777" w:rsidR="00062BC5" w:rsidRPr="00B535A5" w:rsidRDefault="00062BC5" w:rsidP="003B1AB3">
            <w:pPr>
              <w:keepLines/>
              <w:jc w:val="center"/>
            </w:pPr>
            <w:r w:rsidRPr="00B535A5">
              <w:t>Annex E</w:t>
            </w:r>
          </w:p>
        </w:tc>
        <w:tc>
          <w:tcPr>
            <w:tcW w:w="6500" w:type="dxa"/>
            <w:vAlign w:val="center"/>
          </w:tcPr>
          <w:p w14:paraId="3578C1DC" w14:textId="77777777" w:rsidR="00062BC5" w:rsidRPr="00B535A5" w:rsidRDefault="00BD6A76" w:rsidP="003B1AB3">
            <w:pPr>
              <w:keepLines/>
            </w:pPr>
            <w:r w:rsidRPr="00B535A5">
              <w:t>Credit and Counterparty Risk Management – Permitted Investments, Associated Controls and Limits</w:t>
            </w:r>
          </w:p>
        </w:tc>
        <w:tc>
          <w:tcPr>
            <w:tcW w:w="1773" w:type="dxa"/>
            <w:vAlign w:val="center"/>
          </w:tcPr>
          <w:p w14:paraId="74B1F580" w14:textId="162FF244" w:rsidR="00062BC5" w:rsidRPr="00D26131" w:rsidRDefault="005C23AD" w:rsidP="00FB7CE8">
            <w:pPr>
              <w:keepLines/>
              <w:ind w:right="247"/>
              <w:jc w:val="right"/>
              <w:rPr>
                <w:highlight w:val="yellow"/>
              </w:rPr>
            </w:pPr>
            <w:r w:rsidRPr="008D040F">
              <w:t>3</w:t>
            </w:r>
            <w:r w:rsidR="008D040F" w:rsidRPr="008D040F">
              <w:t>7</w:t>
            </w:r>
          </w:p>
        </w:tc>
      </w:tr>
      <w:tr w:rsidR="00CB3D50" w:rsidRPr="00104242" w14:paraId="50EAB91C" w14:textId="77777777" w:rsidTr="003B1AB3">
        <w:trPr>
          <w:trHeight w:val="567"/>
        </w:trPr>
        <w:tc>
          <w:tcPr>
            <w:tcW w:w="1548" w:type="dxa"/>
            <w:vAlign w:val="center"/>
          </w:tcPr>
          <w:p w14:paraId="0A0D3525" w14:textId="77777777" w:rsidR="00CB3D50" w:rsidRPr="00B535A5" w:rsidRDefault="00CB3D50" w:rsidP="00CB3D50">
            <w:pPr>
              <w:keepLines/>
              <w:jc w:val="center"/>
            </w:pPr>
            <w:r w:rsidRPr="00B535A5">
              <w:t>Annex F</w:t>
            </w:r>
          </w:p>
        </w:tc>
        <w:tc>
          <w:tcPr>
            <w:tcW w:w="6500" w:type="dxa"/>
            <w:vAlign w:val="center"/>
          </w:tcPr>
          <w:p w14:paraId="37BC6FA9" w14:textId="77777777" w:rsidR="00CB3D50" w:rsidRPr="00B535A5" w:rsidRDefault="00BD6A76" w:rsidP="00CB3D50">
            <w:pPr>
              <w:keepLines/>
            </w:pPr>
            <w:r>
              <w:t xml:space="preserve">Approved Countries for Investments </w:t>
            </w:r>
          </w:p>
        </w:tc>
        <w:tc>
          <w:tcPr>
            <w:tcW w:w="1773" w:type="dxa"/>
            <w:vAlign w:val="center"/>
          </w:tcPr>
          <w:p w14:paraId="5314681B" w14:textId="4A237E78" w:rsidR="00CB3D50" w:rsidRPr="00D26131" w:rsidRDefault="005C23AD" w:rsidP="00FB7CE8">
            <w:pPr>
              <w:keepLines/>
              <w:ind w:right="247"/>
              <w:jc w:val="right"/>
              <w:rPr>
                <w:highlight w:val="yellow"/>
              </w:rPr>
            </w:pPr>
            <w:r w:rsidRPr="008D040F">
              <w:t>4</w:t>
            </w:r>
            <w:r w:rsidR="008D040F" w:rsidRPr="008D040F">
              <w:t>2</w:t>
            </w:r>
          </w:p>
        </w:tc>
      </w:tr>
      <w:tr w:rsidR="00BD6A76" w:rsidRPr="00104242" w14:paraId="29AA94AE" w14:textId="77777777" w:rsidTr="008D040F">
        <w:trPr>
          <w:trHeight w:val="567"/>
        </w:trPr>
        <w:tc>
          <w:tcPr>
            <w:tcW w:w="1548" w:type="dxa"/>
            <w:vAlign w:val="center"/>
          </w:tcPr>
          <w:p w14:paraId="57CC5730" w14:textId="77777777" w:rsidR="00BD6A76" w:rsidRPr="00B535A5" w:rsidRDefault="00BD6A76" w:rsidP="00BD6A76">
            <w:pPr>
              <w:keepLines/>
              <w:jc w:val="center"/>
            </w:pPr>
            <w:r w:rsidRPr="00B535A5">
              <w:t>Annex G</w:t>
            </w:r>
          </w:p>
        </w:tc>
        <w:tc>
          <w:tcPr>
            <w:tcW w:w="6500" w:type="dxa"/>
            <w:vAlign w:val="center"/>
          </w:tcPr>
          <w:p w14:paraId="5539BB7B" w14:textId="77777777" w:rsidR="00BD6A76" w:rsidRPr="00B535A5" w:rsidRDefault="00BD6A76" w:rsidP="00BD6A76">
            <w:pPr>
              <w:keepLines/>
            </w:pPr>
            <w:r w:rsidRPr="00B535A5">
              <w:t>Scheme of Delegation</w:t>
            </w:r>
          </w:p>
        </w:tc>
        <w:tc>
          <w:tcPr>
            <w:tcW w:w="1773" w:type="dxa"/>
            <w:shd w:val="clear" w:color="auto" w:fill="auto"/>
            <w:vAlign w:val="center"/>
          </w:tcPr>
          <w:p w14:paraId="22DA3EDE" w14:textId="316931C1" w:rsidR="00BD6A76" w:rsidRPr="00D26131" w:rsidRDefault="005C23AD" w:rsidP="00BD6A76">
            <w:pPr>
              <w:keepLines/>
              <w:ind w:right="247"/>
              <w:jc w:val="right"/>
              <w:rPr>
                <w:highlight w:val="yellow"/>
              </w:rPr>
            </w:pPr>
            <w:r w:rsidRPr="008D040F">
              <w:t>4</w:t>
            </w:r>
            <w:r w:rsidR="008D040F" w:rsidRPr="008D040F">
              <w:t>3</w:t>
            </w:r>
          </w:p>
        </w:tc>
      </w:tr>
      <w:tr w:rsidR="00CB3D50" w:rsidRPr="00104242" w14:paraId="5C6160E4" w14:textId="77777777" w:rsidTr="003B1AB3">
        <w:trPr>
          <w:trHeight w:val="567"/>
        </w:trPr>
        <w:tc>
          <w:tcPr>
            <w:tcW w:w="1548" w:type="dxa"/>
            <w:vAlign w:val="center"/>
          </w:tcPr>
          <w:p w14:paraId="10169C5F" w14:textId="77777777" w:rsidR="00CB3D50" w:rsidRPr="00B535A5" w:rsidRDefault="00CB3D50" w:rsidP="00CB3D50">
            <w:pPr>
              <w:keepLines/>
              <w:jc w:val="center"/>
            </w:pPr>
            <w:r w:rsidRPr="00B535A5">
              <w:t>Annex H</w:t>
            </w:r>
          </w:p>
        </w:tc>
        <w:tc>
          <w:tcPr>
            <w:tcW w:w="6500" w:type="dxa"/>
            <w:vAlign w:val="center"/>
          </w:tcPr>
          <w:p w14:paraId="4E79B516" w14:textId="77777777" w:rsidR="00CB3D50" w:rsidRPr="00B535A5" w:rsidRDefault="00CB3D50" w:rsidP="00CB3D50">
            <w:pPr>
              <w:keepLines/>
            </w:pPr>
            <w:r w:rsidRPr="00B535A5">
              <w:t>Long Term (30Yr) Loans Charges Analysis</w:t>
            </w:r>
          </w:p>
        </w:tc>
        <w:tc>
          <w:tcPr>
            <w:tcW w:w="1773" w:type="dxa"/>
            <w:vAlign w:val="center"/>
          </w:tcPr>
          <w:p w14:paraId="2E24FF42" w14:textId="2A09D91A" w:rsidR="00CB3D50" w:rsidRPr="00D26131" w:rsidRDefault="005F2F98" w:rsidP="00132091">
            <w:pPr>
              <w:keepLines/>
              <w:ind w:right="247"/>
              <w:jc w:val="right"/>
              <w:rPr>
                <w:highlight w:val="yellow"/>
              </w:rPr>
            </w:pPr>
            <w:r w:rsidRPr="008D040F">
              <w:t>4</w:t>
            </w:r>
            <w:r w:rsidR="008D040F" w:rsidRPr="008D040F">
              <w:t>5</w:t>
            </w:r>
          </w:p>
        </w:tc>
      </w:tr>
      <w:tr w:rsidR="00CB3D50" w:rsidRPr="00104242" w14:paraId="5B0947B2" w14:textId="77777777" w:rsidTr="003B1AB3">
        <w:trPr>
          <w:trHeight w:val="567"/>
        </w:trPr>
        <w:tc>
          <w:tcPr>
            <w:tcW w:w="1548" w:type="dxa"/>
            <w:vAlign w:val="center"/>
          </w:tcPr>
          <w:p w14:paraId="1ECEE378" w14:textId="77777777" w:rsidR="00CB3D50" w:rsidRPr="00B535A5" w:rsidRDefault="00CB3D50" w:rsidP="00CB3D50">
            <w:pPr>
              <w:keepLines/>
              <w:jc w:val="center"/>
            </w:pPr>
            <w:r>
              <w:t>Annex I</w:t>
            </w:r>
          </w:p>
        </w:tc>
        <w:tc>
          <w:tcPr>
            <w:tcW w:w="6500" w:type="dxa"/>
            <w:vAlign w:val="center"/>
          </w:tcPr>
          <w:p w14:paraId="01F947DE" w14:textId="77777777" w:rsidR="00CB3D50" w:rsidRPr="00B535A5" w:rsidRDefault="00CB3D50" w:rsidP="00CB3D50">
            <w:pPr>
              <w:keepLines/>
            </w:pPr>
            <w:r w:rsidRPr="00B535A5">
              <w:t>Credit Ratings, Benchmarking of Security, Liquidity and Yield</w:t>
            </w:r>
          </w:p>
        </w:tc>
        <w:tc>
          <w:tcPr>
            <w:tcW w:w="1773" w:type="dxa"/>
            <w:vAlign w:val="center"/>
          </w:tcPr>
          <w:p w14:paraId="5346B7E2" w14:textId="4296E2A5" w:rsidR="00CB3D50" w:rsidRPr="00D26131" w:rsidRDefault="005F2F98" w:rsidP="008D040F">
            <w:pPr>
              <w:keepLines/>
              <w:ind w:right="247"/>
              <w:jc w:val="right"/>
              <w:rPr>
                <w:highlight w:val="yellow"/>
              </w:rPr>
            </w:pPr>
            <w:r w:rsidRPr="008D040F">
              <w:t>4</w:t>
            </w:r>
            <w:r w:rsidR="008D040F" w:rsidRPr="008D040F">
              <w:t>6</w:t>
            </w:r>
          </w:p>
        </w:tc>
      </w:tr>
      <w:tr w:rsidR="00965519" w:rsidRPr="00104242" w14:paraId="78CF542B" w14:textId="77777777" w:rsidTr="003B1AB3">
        <w:trPr>
          <w:trHeight w:val="567"/>
        </w:trPr>
        <w:tc>
          <w:tcPr>
            <w:tcW w:w="1548" w:type="dxa"/>
            <w:vAlign w:val="center"/>
          </w:tcPr>
          <w:p w14:paraId="12391B6F" w14:textId="292B7905" w:rsidR="00965519" w:rsidRDefault="00965519" w:rsidP="00965519">
            <w:pPr>
              <w:keepLines/>
              <w:jc w:val="center"/>
            </w:pPr>
            <w:r>
              <w:t>Annex J</w:t>
            </w:r>
          </w:p>
        </w:tc>
        <w:tc>
          <w:tcPr>
            <w:tcW w:w="6500" w:type="dxa"/>
            <w:vAlign w:val="center"/>
          </w:tcPr>
          <w:p w14:paraId="33DE1BA9" w14:textId="3F3011AA" w:rsidR="00965519" w:rsidRPr="00B535A5" w:rsidRDefault="00965519" w:rsidP="00965519">
            <w:pPr>
              <w:keepLines/>
            </w:pPr>
            <w:r w:rsidRPr="00B535A5">
              <w:t>Benchmarking of Security, Liquidity and Yield</w:t>
            </w:r>
          </w:p>
        </w:tc>
        <w:tc>
          <w:tcPr>
            <w:tcW w:w="1773" w:type="dxa"/>
            <w:vAlign w:val="center"/>
          </w:tcPr>
          <w:p w14:paraId="6AD7EDEC" w14:textId="582B5689" w:rsidR="00965519" w:rsidRPr="008D040F" w:rsidRDefault="00965519" w:rsidP="00965519">
            <w:pPr>
              <w:keepLines/>
              <w:ind w:right="247"/>
              <w:jc w:val="right"/>
            </w:pPr>
            <w:r w:rsidRPr="008D040F">
              <w:t>4</w:t>
            </w:r>
            <w:r w:rsidR="005834B9">
              <w:t>9</w:t>
            </w:r>
          </w:p>
        </w:tc>
      </w:tr>
      <w:tr w:rsidR="00965519" w:rsidRPr="00104242" w14:paraId="0C67F8D9" w14:textId="77777777" w:rsidTr="003B1AB3">
        <w:trPr>
          <w:trHeight w:val="567"/>
        </w:trPr>
        <w:tc>
          <w:tcPr>
            <w:tcW w:w="1548" w:type="dxa"/>
            <w:vAlign w:val="center"/>
          </w:tcPr>
          <w:p w14:paraId="0E106C68" w14:textId="77777777" w:rsidR="00965519" w:rsidRPr="00B535A5" w:rsidRDefault="00965519" w:rsidP="00965519">
            <w:pPr>
              <w:keepLines/>
              <w:jc w:val="center"/>
            </w:pPr>
          </w:p>
        </w:tc>
        <w:tc>
          <w:tcPr>
            <w:tcW w:w="6500" w:type="dxa"/>
            <w:vAlign w:val="center"/>
          </w:tcPr>
          <w:p w14:paraId="271B851C" w14:textId="77777777" w:rsidR="00965519" w:rsidRPr="00B535A5" w:rsidRDefault="00965519" w:rsidP="00965519">
            <w:pPr>
              <w:keepLines/>
            </w:pPr>
          </w:p>
          <w:p w14:paraId="65CE46E8" w14:textId="77777777" w:rsidR="00965519" w:rsidRPr="00B535A5" w:rsidRDefault="00965519" w:rsidP="00965519">
            <w:pPr>
              <w:keepLines/>
            </w:pPr>
            <w:r w:rsidRPr="00B535A5">
              <w:t>Glossary of Terms</w:t>
            </w:r>
          </w:p>
          <w:p w14:paraId="358313EA" w14:textId="77777777" w:rsidR="00965519" w:rsidRPr="00B535A5" w:rsidRDefault="00965519" w:rsidP="00965519">
            <w:pPr>
              <w:keepLines/>
            </w:pPr>
          </w:p>
        </w:tc>
        <w:tc>
          <w:tcPr>
            <w:tcW w:w="1773" w:type="dxa"/>
            <w:vAlign w:val="center"/>
          </w:tcPr>
          <w:p w14:paraId="009FC57D" w14:textId="28DDD7FF" w:rsidR="00965519" w:rsidRPr="00D26131" w:rsidRDefault="005834B9" w:rsidP="00965519">
            <w:pPr>
              <w:keepLines/>
              <w:ind w:right="247"/>
              <w:jc w:val="right"/>
              <w:rPr>
                <w:highlight w:val="yellow"/>
              </w:rPr>
            </w:pPr>
            <w:r w:rsidRPr="005834B9">
              <w:t>50</w:t>
            </w:r>
          </w:p>
        </w:tc>
      </w:tr>
      <w:tr w:rsidR="00965519" w:rsidRPr="00104242" w14:paraId="7F39F583" w14:textId="77777777" w:rsidTr="003B1AB3">
        <w:trPr>
          <w:trHeight w:val="567"/>
        </w:trPr>
        <w:tc>
          <w:tcPr>
            <w:tcW w:w="1548" w:type="dxa"/>
            <w:vAlign w:val="center"/>
          </w:tcPr>
          <w:p w14:paraId="0BC2454C" w14:textId="77777777" w:rsidR="00965519" w:rsidRPr="00B535A5" w:rsidRDefault="00965519" w:rsidP="00965519">
            <w:pPr>
              <w:keepLines/>
              <w:jc w:val="center"/>
            </w:pPr>
          </w:p>
        </w:tc>
        <w:tc>
          <w:tcPr>
            <w:tcW w:w="6500" w:type="dxa"/>
            <w:vAlign w:val="center"/>
          </w:tcPr>
          <w:p w14:paraId="36E936E2" w14:textId="77777777" w:rsidR="00965519" w:rsidRPr="00B535A5" w:rsidRDefault="00965519" w:rsidP="00965519">
            <w:pPr>
              <w:keepLines/>
            </w:pPr>
          </w:p>
        </w:tc>
        <w:tc>
          <w:tcPr>
            <w:tcW w:w="1773" w:type="dxa"/>
            <w:vAlign w:val="center"/>
          </w:tcPr>
          <w:p w14:paraId="2BEB5C20" w14:textId="77777777" w:rsidR="00965519" w:rsidRPr="00036804" w:rsidRDefault="00965519" w:rsidP="00965519">
            <w:pPr>
              <w:keepLines/>
              <w:ind w:right="247"/>
              <w:jc w:val="right"/>
            </w:pPr>
          </w:p>
        </w:tc>
      </w:tr>
    </w:tbl>
    <w:p w14:paraId="6D8CA423" w14:textId="77777777" w:rsidR="00062BC5" w:rsidRDefault="00062BC5" w:rsidP="00445624">
      <w:pPr>
        <w:keepLines/>
        <w:ind w:left="630"/>
        <w:jc w:val="right"/>
        <w:rPr>
          <w:b/>
          <w:highlight w:val="yellow"/>
        </w:rPr>
      </w:pPr>
    </w:p>
    <w:p w14:paraId="0E101F88" w14:textId="1B966FB6" w:rsidR="001C0827" w:rsidRDefault="001C0827">
      <w:pPr>
        <w:rPr>
          <w:b/>
          <w:highlight w:val="yellow"/>
        </w:rPr>
      </w:pPr>
      <w:r>
        <w:rPr>
          <w:b/>
          <w:highlight w:val="yellow"/>
        </w:rPr>
        <w:br w:type="page"/>
      </w:r>
    </w:p>
    <w:p w14:paraId="754861A5" w14:textId="77777777" w:rsidR="001C0827" w:rsidRDefault="001C0827" w:rsidP="00445624">
      <w:pPr>
        <w:keepLines/>
        <w:ind w:left="630"/>
        <w:jc w:val="right"/>
        <w:rPr>
          <w:b/>
          <w:highlight w:val="yellow"/>
        </w:rPr>
      </w:pPr>
    </w:p>
    <w:p w14:paraId="3412EEFA" w14:textId="6CCBED4E" w:rsidR="00062BC5" w:rsidRPr="001C0827" w:rsidRDefault="00062BC5" w:rsidP="001C0827">
      <w:pPr>
        <w:pStyle w:val="ListParagraph"/>
        <w:numPr>
          <w:ilvl w:val="0"/>
          <w:numId w:val="4"/>
        </w:numPr>
        <w:rPr>
          <w:rFonts w:cs="Arial"/>
          <w:b/>
          <w:color w:val="993366"/>
          <w:sz w:val="28"/>
          <w:szCs w:val="28"/>
        </w:rPr>
      </w:pPr>
      <w:r w:rsidRPr="001C0827">
        <w:rPr>
          <w:rFonts w:cs="Arial"/>
          <w:b/>
          <w:color w:val="993366"/>
          <w:sz w:val="28"/>
          <w:szCs w:val="28"/>
        </w:rPr>
        <w:t>Purpose and Scope</w:t>
      </w:r>
      <w:r w:rsidRPr="001C0827">
        <w:rPr>
          <w:rFonts w:cs="Arial"/>
          <w:b/>
          <w:color w:val="993366"/>
          <w:sz w:val="28"/>
          <w:szCs w:val="28"/>
        </w:rPr>
        <w:br/>
      </w:r>
    </w:p>
    <w:p w14:paraId="5566C22A" w14:textId="77777777" w:rsidR="00062BC5" w:rsidRPr="005F3903" w:rsidRDefault="00062BC5" w:rsidP="00776C91">
      <w:pPr>
        <w:numPr>
          <w:ilvl w:val="1"/>
          <w:numId w:val="4"/>
        </w:numPr>
        <w:rPr>
          <w:rFonts w:cs="Arial"/>
          <w:sz w:val="22"/>
          <w:szCs w:val="22"/>
        </w:rPr>
      </w:pPr>
      <w:r w:rsidRPr="005F3903">
        <w:rPr>
          <w:rFonts w:cs="Arial"/>
          <w:sz w:val="22"/>
          <w:szCs w:val="22"/>
        </w:rPr>
        <w:t xml:space="preserve">The </w:t>
      </w:r>
      <w:r w:rsidRPr="005F3903">
        <w:rPr>
          <w:rFonts w:cs="Arial"/>
          <w:noProof/>
          <w:sz w:val="22"/>
          <w:szCs w:val="22"/>
        </w:rPr>
        <w:t xml:space="preserve">Council is </w:t>
      </w:r>
      <w:r w:rsidR="000B2187" w:rsidRPr="005F3903">
        <w:rPr>
          <w:rFonts w:cs="Arial"/>
          <w:noProof/>
          <w:sz w:val="22"/>
          <w:szCs w:val="22"/>
        </w:rPr>
        <w:t xml:space="preserve">currently </w:t>
      </w:r>
      <w:r w:rsidRPr="005F3903">
        <w:rPr>
          <w:rFonts w:cs="Arial"/>
          <w:noProof/>
          <w:sz w:val="22"/>
          <w:szCs w:val="22"/>
        </w:rPr>
        <w:t>required to receive and approve, as a minimum, three main reports on treasury activity each year, which incorporate a variety of policies, estimate</w:t>
      </w:r>
      <w:r w:rsidR="00331DBC" w:rsidRPr="005F3903">
        <w:rPr>
          <w:rFonts w:cs="Arial"/>
          <w:noProof/>
          <w:sz w:val="22"/>
          <w:szCs w:val="22"/>
        </w:rPr>
        <w:t>s</w:t>
      </w:r>
      <w:r w:rsidRPr="005F3903">
        <w:rPr>
          <w:rFonts w:cs="Arial"/>
          <w:noProof/>
          <w:sz w:val="22"/>
          <w:szCs w:val="22"/>
        </w:rPr>
        <w:t xml:space="preserve"> and actual figures.  </w:t>
      </w:r>
      <w:r w:rsidRPr="005F3903">
        <w:rPr>
          <w:rFonts w:cs="Arial"/>
          <w:noProof/>
          <w:sz w:val="22"/>
          <w:szCs w:val="22"/>
        </w:rPr>
        <w:br/>
      </w:r>
    </w:p>
    <w:p w14:paraId="62339AD3" w14:textId="77777777" w:rsidR="00483399" w:rsidRPr="005F3903" w:rsidRDefault="009C4AF9" w:rsidP="00776C91">
      <w:pPr>
        <w:numPr>
          <w:ilvl w:val="2"/>
          <w:numId w:val="11"/>
        </w:numPr>
        <w:tabs>
          <w:tab w:val="num" w:pos="720"/>
        </w:tabs>
        <w:ind w:hanging="283"/>
        <w:rPr>
          <w:rFonts w:cs="Arial"/>
          <w:sz w:val="22"/>
          <w:szCs w:val="22"/>
        </w:rPr>
      </w:pPr>
      <w:r w:rsidRPr="005F3903">
        <w:rPr>
          <w:rFonts w:cs="Arial"/>
          <w:b/>
          <w:noProof/>
          <w:color w:val="993366"/>
          <w:sz w:val="22"/>
          <w:szCs w:val="22"/>
        </w:rPr>
        <w:t xml:space="preserve">Treasury Management Strategy </w:t>
      </w:r>
      <w:r w:rsidR="00062BC5" w:rsidRPr="005F3903">
        <w:rPr>
          <w:rFonts w:cs="Arial"/>
          <w:noProof/>
          <w:sz w:val="22"/>
          <w:szCs w:val="22"/>
        </w:rPr>
        <w:t>(this report)</w:t>
      </w:r>
      <w:r w:rsidR="00331DBC" w:rsidRPr="005F3903">
        <w:rPr>
          <w:rFonts w:cs="Arial"/>
          <w:noProof/>
          <w:sz w:val="22"/>
          <w:szCs w:val="22"/>
        </w:rPr>
        <w:t xml:space="preserve"> – The first, and most import</w:t>
      </w:r>
      <w:r w:rsidR="00750E4D" w:rsidRPr="005F3903">
        <w:rPr>
          <w:rFonts w:cs="Arial"/>
          <w:noProof/>
          <w:sz w:val="22"/>
          <w:szCs w:val="22"/>
        </w:rPr>
        <w:t xml:space="preserve">ant of the three reports, is forward looking </w:t>
      </w:r>
      <w:r w:rsidR="00062BC5" w:rsidRPr="005F3903">
        <w:rPr>
          <w:rFonts w:cs="Arial"/>
          <w:noProof/>
          <w:sz w:val="22"/>
          <w:szCs w:val="22"/>
        </w:rPr>
        <w:t>and covers:</w:t>
      </w:r>
      <w:r w:rsidR="00062BC5" w:rsidRPr="005F3903">
        <w:rPr>
          <w:rFonts w:cs="Arial"/>
          <w:noProof/>
          <w:sz w:val="22"/>
          <w:szCs w:val="22"/>
        </w:rPr>
        <w:br/>
      </w:r>
    </w:p>
    <w:p w14:paraId="70C77B1F" w14:textId="77777777" w:rsidR="000B2187" w:rsidRPr="005F3903" w:rsidRDefault="00062BC5" w:rsidP="000B2187">
      <w:pPr>
        <w:numPr>
          <w:ilvl w:val="0"/>
          <w:numId w:val="15"/>
        </w:numPr>
        <w:tabs>
          <w:tab w:val="clear" w:pos="2520"/>
          <w:tab w:val="num" w:pos="567"/>
          <w:tab w:val="num" w:pos="1440"/>
        </w:tabs>
        <w:ind w:left="1620" w:hanging="540"/>
        <w:rPr>
          <w:rFonts w:cs="Arial"/>
          <w:noProof/>
          <w:sz w:val="22"/>
          <w:szCs w:val="22"/>
        </w:rPr>
      </w:pPr>
      <w:r w:rsidRPr="005F3903">
        <w:rPr>
          <w:rFonts w:cs="Arial"/>
          <w:noProof/>
          <w:sz w:val="22"/>
          <w:szCs w:val="22"/>
        </w:rPr>
        <w:t>The capital plans of the Council (including prudential indicators);</w:t>
      </w:r>
      <w:r w:rsidR="000B2187" w:rsidRPr="005F3903">
        <w:rPr>
          <w:rFonts w:cs="Arial"/>
          <w:noProof/>
          <w:sz w:val="22"/>
          <w:szCs w:val="22"/>
        </w:rPr>
        <w:t xml:space="preserve"> </w:t>
      </w:r>
    </w:p>
    <w:p w14:paraId="2FCB58BC" w14:textId="2A2F9353" w:rsidR="00062BC5" w:rsidRPr="005F3903" w:rsidRDefault="000B2187" w:rsidP="00FD5AD3">
      <w:pPr>
        <w:numPr>
          <w:ilvl w:val="0"/>
          <w:numId w:val="15"/>
        </w:numPr>
        <w:tabs>
          <w:tab w:val="clear" w:pos="2520"/>
          <w:tab w:val="num" w:pos="567"/>
          <w:tab w:val="num" w:pos="1440"/>
        </w:tabs>
        <w:ind w:left="1434" w:hanging="357"/>
        <w:rPr>
          <w:rFonts w:cs="Arial"/>
          <w:sz w:val="22"/>
          <w:szCs w:val="22"/>
        </w:rPr>
      </w:pPr>
      <w:r w:rsidRPr="005F3903">
        <w:rPr>
          <w:rFonts w:cs="Arial"/>
          <w:noProof/>
          <w:sz w:val="22"/>
          <w:szCs w:val="22"/>
        </w:rPr>
        <w:t xml:space="preserve">A policy for the statutory repayment of </w:t>
      </w:r>
      <w:r w:rsidR="00820F15">
        <w:rPr>
          <w:rFonts w:cs="Arial"/>
          <w:noProof/>
          <w:sz w:val="22"/>
          <w:szCs w:val="22"/>
        </w:rPr>
        <w:t>loans fund advances</w:t>
      </w:r>
      <w:r w:rsidRPr="005F3903">
        <w:rPr>
          <w:rFonts w:cs="Arial"/>
          <w:noProof/>
          <w:sz w:val="22"/>
          <w:szCs w:val="22"/>
        </w:rPr>
        <w:t>, (how residual capital expenditure is charged to revenue over time);</w:t>
      </w:r>
    </w:p>
    <w:p w14:paraId="27180388" w14:textId="1196C78C" w:rsidR="00062BC5" w:rsidRPr="005F3903" w:rsidRDefault="00062BC5" w:rsidP="00776C91">
      <w:pPr>
        <w:numPr>
          <w:ilvl w:val="0"/>
          <w:numId w:val="15"/>
        </w:numPr>
        <w:tabs>
          <w:tab w:val="clear" w:pos="2520"/>
          <w:tab w:val="num" w:pos="567"/>
          <w:tab w:val="num" w:pos="1440"/>
        </w:tabs>
        <w:ind w:left="1440"/>
        <w:rPr>
          <w:rFonts w:cs="Arial"/>
          <w:sz w:val="22"/>
          <w:szCs w:val="22"/>
        </w:rPr>
      </w:pPr>
      <w:r w:rsidRPr="005F3903">
        <w:rPr>
          <w:rFonts w:cs="Arial"/>
          <w:noProof/>
          <w:sz w:val="22"/>
          <w:szCs w:val="22"/>
        </w:rPr>
        <w:t xml:space="preserve">The </w:t>
      </w:r>
      <w:r w:rsidR="009166D1">
        <w:rPr>
          <w:rFonts w:cs="Arial"/>
          <w:noProof/>
          <w:sz w:val="22"/>
          <w:szCs w:val="22"/>
        </w:rPr>
        <w:t>T</w:t>
      </w:r>
      <w:r w:rsidRPr="005F3903">
        <w:rPr>
          <w:rFonts w:cs="Arial"/>
          <w:noProof/>
          <w:sz w:val="22"/>
          <w:szCs w:val="22"/>
        </w:rPr>
        <w:t xml:space="preserve">reasury </w:t>
      </w:r>
      <w:r w:rsidR="009166D1">
        <w:rPr>
          <w:rFonts w:cs="Arial"/>
          <w:noProof/>
          <w:sz w:val="22"/>
          <w:szCs w:val="22"/>
        </w:rPr>
        <w:t>M</w:t>
      </w:r>
      <w:r w:rsidRPr="005F3903">
        <w:rPr>
          <w:rFonts w:cs="Arial"/>
          <w:noProof/>
          <w:sz w:val="22"/>
          <w:szCs w:val="22"/>
        </w:rPr>
        <w:t xml:space="preserve">anagement </w:t>
      </w:r>
      <w:r w:rsidR="009166D1">
        <w:rPr>
          <w:rFonts w:cs="Arial"/>
          <w:noProof/>
          <w:sz w:val="22"/>
          <w:szCs w:val="22"/>
        </w:rPr>
        <w:t>S</w:t>
      </w:r>
      <w:r w:rsidRPr="005F3903">
        <w:rPr>
          <w:rFonts w:cs="Arial"/>
          <w:noProof/>
          <w:sz w:val="22"/>
          <w:szCs w:val="22"/>
        </w:rPr>
        <w:t>trategy (how the investments and borrowings are organised), including treasury indicators, and</w:t>
      </w:r>
    </w:p>
    <w:p w14:paraId="5F4C4D13" w14:textId="5EDD8008" w:rsidR="00062BC5" w:rsidRPr="005F3903" w:rsidRDefault="00062BC5" w:rsidP="00776C91">
      <w:pPr>
        <w:numPr>
          <w:ilvl w:val="0"/>
          <w:numId w:val="15"/>
        </w:numPr>
        <w:tabs>
          <w:tab w:val="clear" w:pos="2520"/>
          <w:tab w:val="num" w:pos="567"/>
          <w:tab w:val="num" w:pos="1440"/>
          <w:tab w:val="num" w:pos="1494"/>
        </w:tabs>
        <w:ind w:left="1620" w:hanging="540"/>
        <w:rPr>
          <w:rFonts w:cs="Arial"/>
          <w:sz w:val="22"/>
          <w:szCs w:val="22"/>
        </w:rPr>
      </w:pPr>
      <w:r w:rsidRPr="005F3903">
        <w:rPr>
          <w:rFonts w:cs="Arial"/>
          <w:noProof/>
          <w:sz w:val="22"/>
          <w:szCs w:val="22"/>
        </w:rPr>
        <w:t>A</w:t>
      </w:r>
      <w:r w:rsidR="009166D1">
        <w:rPr>
          <w:rFonts w:cs="Arial"/>
          <w:noProof/>
          <w:sz w:val="22"/>
          <w:szCs w:val="22"/>
        </w:rPr>
        <w:t>n Annual I</w:t>
      </w:r>
      <w:r w:rsidRPr="005F3903">
        <w:rPr>
          <w:rFonts w:cs="Arial"/>
          <w:noProof/>
          <w:sz w:val="22"/>
          <w:szCs w:val="22"/>
        </w:rPr>
        <w:t xml:space="preserve">nvestment </w:t>
      </w:r>
      <w:r w:rsidR="009166D1">
        <w:rPr>
          <w:rFonts w:cs="Arial"/>
          <w:noProof/>
          <w:sz w:val="22"/>
          <w:szCs w:val="22"/>
        </w:rPr>
        <w:t>S</w:t>
      </w:r>
      <w:r w:rsidRPr="005F3903">
        <w:rPr>
          <w:rFonts w:cs="Arial"/>
          <w:noProof/>
          <w:sz w:val="22"/>
          <w:szCs w:val="22"/>
        </w:rPr>
        <w:t>trategy (</w:t>
      </w:r>
      <w:r w:rsidR="00750E4D" w:rsidRPr="005F3903">
        <w:rPr>
          <w:rFonts w:cs="Arial"/>
          <w:noProof/>
          <w:sz w:val="22"/>
          <w:szCs w:val="22"/>
        </w:rPr>
        <w:t>the parameters on how investments are to be managed</w:t>
      </w:r>
      <w:r w:rsidRPr="005F3903">
        <w:rPr>
          <w:rFonts w:cs="Arial"/>
          <w:noProof/>
          <w:sz w:val="22"/>
          <w:szCs w:val="22"/>
        </w:rPr>
        <w:t>).</w:t>
      </w:r>
    </w:p>
    <w:p w14:paraId="0D35B57C" w14:textId="77777777" w:rsidR="00062BC5" w:rsidRPr="005F3903" w:rsidRDefault="00062BC5" w:rsidP="003F5767">
      <w:pPr>
        <w:tabs>
          <w:tab w:val="num" w:pos="567"/>
          <w:tab w:val="num" w:pos="900"/>
        </w:tabs>
        <w:ind w:left="720" w:hanging="540"/>
        <w:rPr>
          <w:rFonts w:cs="Arial"/>
          <w:sz w:val="22"/>
          <w:szCs w:val="22"/>
        </w:rPr>
      </w:pPr>
    </w:p>
    <w:p w14:paraId="608018E2" w14:textId="77777777" w:rsidR="00483399" w:rsidRPr="005F3903" w:rsidRDefault="009C4AF9" w:rsidP="0095204B">
      <w:pPr>
        <w:numPr>
          <w:ilvl w:val="2"/>
          <w:numId w:val="11"/>
        </w:numPr>
        <w:tabs>
          <w:tab w:val="clear" w:pos="567"/>
          <w:tab w:val="num" w:pos="709"/>
        </w:tabs>
        <w:ind w:left="540" w:hanging="256"/>
        <w:rPr>
          <w:rFonts w:cs="Arial"/>
          <w:noProof/>
          <w:sz w:val="22"/>
          <w:szCs w:val="22"/>
        </w:rPr>
      </w:pPr>
      <w:r w:rsidRPr="005F3903">
        <w:rPr>
          <w:rFonts w:cs="Arial"/>
          <w:b/>
          <w:noProof/>
          <w:color w:val="993366"/>
          <w:sz w:val="22"/>
          <w:szCs w:val="22"/>
        </w:rPr>
        <w:t>Mid Year Treasury Management Report</w:t>
      </w:r>
      <w:r w:rsidRPr="005F3903">
        <w:rPr>
          <w:rFonts w:cs="Arial"/>
          <w:noProof/>
          <w:color w:val="993366"/>
          <w:sz w:val="22"/>
          <w:szCs w:val="22"/>
        </w:rPr>
        <w:t xml:space="preserve"> </w:t>
      </w:r>
      <w:r w:rsidR="00062BC5" w:rsidRPr="005F3903">
        <w:rPr>
          <w:rFonts w:cs="Arial"/>
          <w:noProof/>
          <w:sz w:val="22"/>
          <w:szCs w:val="22"/>
        </w:rPr>
        <w:t xml:space="preserve">– </w:t>
      </w:r>
      <w:r w:rsidR="000B2187" w:rsidRPr="005F3903">
        <w:rPr>
          <w:rFonts w:cs="Arial"/>
          <w:spacing w:val="0"/>
          <w:sz w:val="22"/>
          <w:szCs w:val="22"/>
        </w:rPr>
        <w:t>This is primarily a progress report and will update members on the capital position, amending prudential indicators as necessary, and whether any policies require revision.</w:t>
      </w:r>
      <w:r w:rsidR="00754D1B" w:rsidRPr="005F3903">
        <w:rPr>
          <w:rFonts w:cs="Arial"/>
          <w:spacing w:val="0"/>
          <w:sz w:val="22"/>
          <w:szCs w:val="22"/>
        </w:rPr>
        <w:t xml:space="preserve">  </w:t>
      </w:r>
    </w:p>
    <w:p w14:paraId="2D4770D7" w14:textId="77777777" w:rsidR="00062BC5" w:rsidRPr="005F3903" w:rsidRDefault="00062BC5" w:rsidP="003F5767">
      <w:pPr>
        <w:tabs>
          <w:tab w:val="num" w:pos="567"/>
          <w:tab w:val="num" w:pos="720"/>
        </w:tabs>
        <w:ind w:left="153"/>
        <w:rPr>
          <w:rFonts w:cs="Arial"/>
          <w:noProof/>
          <w:sz w:val="22"/>
          <w:szCs w:val="22"/>
        </w:rPr>
      </w:pPr>
    </w:p>
    <w:p w14:paraId="28C0C0AC" w14:textId="08C009B3" w:rsidR="005F3903" w:rsidRDefault="009C4AF9" w:rsidP="005F3903">
      <w:pPr>
        <w:numPr>
          <w:ilvl w:val="2"/>
          <w:numId w:val="11"/>
        </w:numPr>
        <w:tabs>
          <w:tab w:val="num" w:pos="540"/>
        </w:tabs>
        <w:ind w:left="540" w:hanging="256"/>
        <w:rPr>
          <w:rFonts w:cs="Arial"/>
          <w:noProof/>
          <w:sz w:val="22"/>
          <w:szCs w:val="22"/>
        </w:rPr>
      </w:pPr>
      <w:r w:rsidRPr="005F3903">
        <w:rPr>
          <w:rFonts w:cs="Arial"/>
          <w:b/>
          <w:noProof/>
          <w:color w:val="993366"/>
          <w:sz w:val="22"/>
          <w:szCs w:val="22"/>
        </w:rPr>
        <w:t>Annual Treasury Report</w:t>
      </w:r>
      <w:r w:rsidRPr="005F3903">
        <w:rPr>
          <w:rFonts w:cs="Arial"/>
          <w:noProof/>
          <w:color w:val="993366"/>
          <w:sz w:val="22"/>
          <w:szCs w:val="22"/>
        </w:rPr>
        <w:t xml:space="preserve"> </w:t>
      </w:r>
      <w:r w:rsidR="000B2187" w:rsidRPr="005F3903">
        <w:rPr>
          <w:rFonts w:cs="Arial"/>
          <w:noProof/>
          <w:sz w:val="22"/>
          <w:szCs w:val="22"/>
        </w:rPr>
        <w:t>–</w:t>
      </w:r>
      <w:r w:rsidR="00062BC5" w:rsidRPr="005F3903">
        <w:rPr>
          <w:rFonts w:cs="Arial"/>
          <w:noProof/>
          <w:sz w:val="22"/>
          <w:szCs w:val="22"/>
        </w:rPr>
        <w:t xml:space="preserve"> </w:t>
      </w:r>
      <w:r w:rsidR="000B2187" w:rsidRPr="005F3903">
        <w:rPr>
          <w:rFonts w:cs="Arial"/>
          <w:noProof/>
          <w:sz w:val="22"/>
          <w:szCs w:val="22"/>
        </w:rPr>
        <w:t xml:space="preserve">This </w:t>
      </w:r>
      <w:r w:rsidR="000B2187" w:rsidRPr="005F3903">
        <w:rPr>
          <w:rFonts w:cs="Arial"/>
          <w:spacing w:val="0"/>
          <w:sz w:val="22"/>
          <w:szCs w:val="22"/>
        </w:rPr>
        <w:t>is a backward</w:t>
      </w:r>
      <w:r w:rsidR="009166D1">
        <w:rPr>
          <w:rFonts w:cs="Arial"/>
          <w:spacing w:val="0"/>
          <w:sz w:val="22"/>
          <w:szCs w:val="22"/>
        </w:rPr>
        <w:t>-</w:t>
      </w:r>
      <w:r w:rsidR="000B2187" w:rsidRPr="005F3903">
        <w:rPr>
          <w:rFonts w:cs="Arial"/>
          <w:spacing w:val="0"/>
          <w:sz w:val="22"/>
          <w:szCs w:val="22"/>
        </w:rPr>
        <w:t>looking review document and provides details of a selection of actual prudential and treasury indicators and actual treasury operations compared to the estimates within the strategy</w:t>
      </w:r>
      <w:r w:rsidR="00062BC5" w:rsidRPr="005F3903">
        <w:rPr>
          <w:rFonts w:cs="Arial"/>
          <w:noProof/>
          <w:sz w:val="22"/>
          <w:szCs w:val="22"/>
        </w:rPr>
        <w:t>.</w:t>
      </w:r>
    </w:p>
    <w:p w14:paraId="05AC54CA" w14:textId="77777777" w:rsidR="005F3903" w:rsidRDefault="005F3903" w:rsidP="005F3903">
      <w:pPr>
        <w:pStyle w:val="ListParagraph"/>
        <w:rPr>
          <w:rFonts w:cs="Arial"/>
          <w:b/>
          <w:noProof/>
          <w:color w:val="993366"/>
          <w:sz w:val="22"/>
          <w:szCs w:val="22"/>
        </w:rPr>
      </w:pPr>
    </w:p>
    <w:p w14:paraId="3F3D75BE" w14:textId="4C4EFBA4" w:rsidR="005F3903" w:rsidRPr="005F3903" w:rsidRDefault="005F3903" w:rsidP="005F3903">
      <w:pPr>
        <w:numPr>
          <w:ilvl w:val="2"/>
          <w:numId w:val="11"/>
        </w:numPr>
        <w:tabs>
          <w:tab w:val="num" w:pos="540"/>
        </w:tabs>
        <w:ind w:left="540" w:hanging="256"/>
        <w:rPr>
          <w:rFonts w:cs="Arial"/>
          <w:noProof/>
          <w:sz w:val="22"/>
          <w:szCs w:val="22"/>
        </w:rPr>
      </w:pPr>
      <w:r w:rsidRPr="005F3903">
        <w:rPr>
          <w:rFonts w:cs="Arial"/>
          <w:b/>
          <w:noProof/>
          <w:color w:val="993366"/>
          <w:sz w:val="22"/>
          <w:szCs w:val="22"/>
        </w:rPr>
        <w:t>Quarterly reports</w:t>
      </w:r>
      <w:r w:rsidRPr="005F3903">
        <w:rPr>
          <w:rFonts w:cs="Arial"/>
          <w:sz w:val="22"/>
          <w:szCs w:val="22"/>
        </w:rPr>
        <w:t xml:space="preserve"> – In addition to the three major reports detailed above, from 2023/24 quarterly reporting (end of June/end of December) is also required.  However, these additional reports do not have to be reported to Council but do require to be adequately scrutinised.  This</w:t>
      </w:r>
      <w:r>
        <w:rPr>
          <w:rFonts w:cs="Arial"/>
          <w:sz w:val="22"/>
          <w:szCs w:val="22"/>
        </w:rPr>
        <w:t xml:space="preserve"> role is undertaken by the </w:t>
      </w:r>
      <w:r w:rsidRPr="005F3903">
        <w:rPr>
          <w:rFonts w:cs="Arial"/>
          <w:b/>
          <w:sz w:val="22"/>
          <w:szCs w:val="22"/>
        </w:rPr>
        <w:t>Executive Committee</w:t>
      </w:r>
      <w:r w:rsidR="00D35173">
        <w:rPr>
          <w:rFonts w:cs="Arial"/>
          <w:b/>
          <w:sz w:val="22"/>
          <w:szCs w:val="22"/>
        </w:rPr>
        <w:t xml:space="preserve"> </w:t>
      </w:r>
      <w:r w:rsidR="00D35173" w:rsidRPr="00D35173">
        <w:rPr>
          <w:rFonts w:cs="Arial"/>
          <w:bCs/>
          <w:sz w:val="22"/>
          <w:szCs w:val="22"/>
        </w:rPr>
        <w:t>and the information is contained within the quarterly Capital Report</w:t>
      </w:r>
      <w:r w:rsidRPr="00D35173">
        <w:rPr>
          <w:rFonts w:cs="Arial"/>
          <w:bCs/>
          <w:sz w:val="22"/>
          <w:szCs w:val="22"/>
        </w:rPr>
        <w:t>.</w:t>
      </w:r>
      <w:r w:rsidRPr="005F3903">
        <w:rPr>
          <w:rFonts w:cs="Arial"/>
          <w:sz w:val="22"/>
          <w:szCs w:val="22"/>
        </w:rPr>
        <w:t xml:space="preserve">  (The</w:t>
      </w:r>
      <w:r w:rsidR="00D35173">
        <w:rPr>
          <w:rFonts w:cs="Arial"/>
          <w:sz w:val="22"/>
          <w:szCs w:val="22"/>
        </w:rPr>
        <w:t>se</w:t>
      </w:r>
      <w:r w:rsidRPr="005F3903">
        <w:rPr>
          <w:rFonts w:cs="Arial"/>
          <w:sz w:val="22"/>
          <w:szCs w:val="22"/>
        </w:rPr>
        <w:t xml:space="preserve"> reports, specifically, should comprise updated Treasury/Prudential Indicators.)</w:t>
      </w:r>
    </w:p>
    <w:p w14:paraId="33DAC1E1" w14:textId="77777777" w:rsidR="005F3903" w:rsidRPr="00D26131" w:rsidRDefault="005F3903" w:rsidP="005F3903">
      <w:pPr>
        <w:tabs>
          <w:tab w:val="num" w:pos="567"/>
        </w:tabs>
        <w:ind w:left="540"/>
        <w:rPr>
          <w:rFonts w:cs="Arial"/>
          <w:noProof/>
          <w:sz w:val="22"/>
          <w:szCs w:val="22"/>
          <w:highlight w:val="yellow"/>
        </w:rPr>
      </w:pPr>
    </w:p>
    <w:p w14:paraId="6A4CB5FE" w14:textId="5CA02804" w:rsidR="00062BC5" w:rsidRPr="009166D1" w:rsidRDefault="00062BC5" w:rsidP="001B6829">
      <w:pPr>
        <w:pStyle w:val="ListParagraph"/>
        <w:numPr>
          <w:ilvl w:val="1"/>
          <w:numId w:val="4"/>
        </w:numPr>
        <w:tabs>
          <w:tab w:val="num" w:pos="900"/>
        </w:tabs>
        <w:rPr>
          <w:rFonts w:cs="Arial"/>
          <w:noProof/>
          <w:sz w:val="22"/>
          <w:szCs w:val="22"/>
        </w:rPr>
      </w:pPr>
      <w:bookmarkStart w:id="0" w:name="_Hlk157093289"/>
      <w:r w:rsidRPr="009166D1">
        <w:rPr>
          <w:rFonts w:cs="Arial"/>
          <w:b/>
          <w:noProof/>
          <w:color w:val="993366"/>
          <w:sz w:val="22"/>
          <w:szCs w:val="22"/>
        </w:rPr>
        <w:t>Scrutiny</w:t>
      </w:r>
      <w:bookmarkEnd w:id="0"/>
    </w:p>
    <w:p w14:paraId="15A5A36A" w14:textId="74B71A5A" w:rsidR="009166D1" w:rsidRDefault="00062BC5" w:rsidP="009166D1">
      <w:pPr>
        <w:tabs>
          <w:tab w:val="num" w:pos="900"/>
        </w:tabs>
        <w:ind w:left="567"/>
        <w:rPr>
          <w:rFonts w:cs="Arial"/>
          <w:noProof/>
          <w:sz w:val="22"/>
          <w:szCs w:val="22"/>
        </w:rPr>
      </w:pPr>
      <w:r w:rsidRPr="00226C3C">
        <w:rPr>
          <w:rFonts w:cs="Arial"/>
          <w:noProof/>
          <w:sz w:val="22"/>
          <w:szCs w:val="22"/>
        </w:rPr>
        <w:t>The</w:t>
      </w:r>
      <w:r w:rsidR="00D35173">
        <w:rPr>
          <w:rFonts w:cs="Arial"/>
          <w:noProof/>
          <w:sz w:val="22"/>
          <w:szCs w:val="22"/>
        </w:rPr>
        <w:t xml:space="preserve"> 3 main</w:t>
      </w:r>
      <w:r w:rsidRPr="00226C3C">
        <w:rPr>
          <w:rFonts w:cs="Arial"/>
          <w:noProof/>
          <w:sz w:val="22"/>
          <w:szCs w:val="22"/>
        </w:rPr>
        <w:t xml:space="preserve"> reports are required to be adequately scrutinised by committee before being recommended to the Council. This role is undertaken by the </w:t>
      </w:r>
      <w:r w:rsidR="00226C3C" w:rsidRPr="00226C3C">
        <w:rPr>
          <w:rFonts w:cs="Arial"/>
          <w:b/>
          <w:noProof/>
          <w:sz w:val="22"/>
          <w:szCs w:val="22"/>
        </w:rPr>
        <w:t xml:space="preserve">Audit </w:t>
      </w:r>
      <w:r w:rsidR="009B7AB5" w:rsidRPr="00226C3C">
        <w:rPr>
          <w:rFonts w:cs="Arial"/>
          <w:b/>
          <w:noProof/>
          <w:sz w:val="22"/>
          <w:szCs w:val="22"/>
        </w:rPr>
        <w:t>Committee</w:t>
      </w:r>
      <w:r w:rsidRPr="00226C3C">
        <w:rPr>
          <w:rFonts w:cs="Arial"/>
          <w:noProof/>
          <w:sz w:val="22"/>
          <w:szCs w:val="22"/>
        </w:rPr>
        <w:t xml:space="preserve">.  </w:t>
      </w:r>
    </w:p>
    <w:p w14:paraId="18D7488E" w14:textId="77777777" w:rsidR="009166D1" w:rsidRDefault="009166D1" w:rsidP="009166D1">
      <w:pPr>
        <w:tabs>
          <w:tab w:val="num" w:pos="900"/>
        </w:tabs>
        <w:ind w:left="567"/>
        <w:rPr>
          <w:rFonts w:cs="Arial"/>
          <w:noProof/>
          <w:sz w:val="22"/>
          <w:szCs w:val="22"/>
        </w:rPr>
      </w:pPr>
    </w:p>
    <w:p w14:paraId="089922F3" w14:textId="23AAEC54" w:rsidR="009166D1" w:rsidRPr="001B6829" w:rsidRDefault="009166D1" w:rsidP="001B6829">
      <w:pPr>
        <w:tabs>
          <w:tab w:val="left" w:pos="567"/>
          <w:tab w:val="num" w:pos="900"/>
        </w:tabs>
        <w:rPr>
          <w:rFonts w:cs="Arial"/>
          <w:b/>
          <w:noProof/>
          <w:color w:val="993366"/>
          <w:sz w:val="22"/>
          <w:szCs w:val="22"/>
        </w:rPr>
      </w:pPr>
      <w:r w:rsidRPr="001B6829">
        <w:rPr>
          <w:rFonts w:cs="Arial"/>
          <w:b/>
          <w:noProof/>
          <w:color w:val="993366"/>
          <w:sz w:val="22"/>
          <w:szCs w:val="22"/>
        </w:rPr>
        <w:t>1.3</w:t>
      </w:r>
      <w:r w:rsidR="001B6829">
        <w:rPr>
          <w:rFonts w:cs="Arial"/>
          <w:b/>
          <w:noProof/>
          <w:color w:val="993366"/>
          <w:sz w:val="22"/>
          <w:szCs w:val="22"/>
        </w:rPr>
        <w:tab/>
      </w:r>
      <w:r w:rsidRPr="001B6829">
        <w:rPr>
          <w:rFonts w:cs="Arial"/>
          <w:b/>
          <w:noProof/>
          <w:color w:val="993366"/>
          <w:sz w:val="22"/>
          <w:szCs w:val="22"/>
        </w:rPr>
        <w:t>Treasury Management Strategy for 2024/25</w:t>
      </w:r>
    </w:p>
    <w:p w14:paraId="6C8F4890" w14:textId="19C91AE4" w:rsidR="00062BC5" w:rsidRPr="009166D1" w:rsidRDefault="001B6829" w:rsidP="00E031BC">
      <w:pPr>
        <w:tabs>
          <w:tab w:val="left" w:pos="567"/>
        </w:tabs>
        <w:rPr>
          <w:rFonts w:cs="Arial"/>
          <w:noProof/>
          <w:sz w:val="22"/>
          <w:szCs w:val="22"/>
        </w:rPr>
      </w:pPr>
      <w:r>
        <w:rPr>
          <w:rFonts w:cs="Arial"/>
          <w:b/>
          <w:noProof/>
          <w:color w:val="993366"/>
          <w:sz w:val="22"/>
          <w:szCs w:val="22"/>
        </w:rPr>
        <w:tab/>
      </w:r>
      <w:r>
        <w:rPr>
          <w:rFonts w:cs="Arial"/>
          <w:sz w:val="22"/>
          <w:szCs w:val="22"/>
        </w:rPr>
        <w:t>The strategy for 2024/25 covers two main areas</w:t>
      </w:r>
      <w:r w:rsidR="00062BC5" w:rsidRPr="009166D1">
        <w:rPr>
          <w:rFonts w:cs="Arial"/>
          <w:sz w:val="22"/>
          <w:szCs w:val="22"/>
        </w:rPr>
        <w:t>:</w:t>
      </w:r>
    </w:p>
    <w:p w14:paraId="4FDFAB0E" w14:textId="77777777" w:rsidR="00062BC5" w:rsidRPr="00226C3C" w:rsidRDefault="00062BC5" w:rsidP="003F5767">
      <w:pPr>
        <w:tabs>
          <w:tab w:val="num" w:pos="900"/>
        </w:tabs>
        <w:ind w:left="567"/>
        <w:rPr>
          <w:rFonts w:cs="Arial"/>
          <w:sz w:val="22"/>
          <w:szCs w:val="22"/>
        </w:rPr>
      </w:pPr>
    </w:p>
    <w:p w14:paraId="52B223E8" w14:textId="77777777" w:rsidR="00062BC5" w:rsidRPr="00226C3C" w:rsidRDefault="00062BC5" w:rsidP="000144FB">
      <w:pPr>
        <w:tabs>
          <w:tab w:val="num" w:pos="900"/>
        </w:tabs>
        <w:ind w:left="567"/>
        <w:rPr>
          <w:rFonts w:cs="Arial"/>
          <w:b/>
          <w:sz w:val="22"/>
          <w:szCs w:val="22"/>
        </w:rPr>
      </w:pPr>
      <w:r w:rsidRPr="00226C3C">
        <w:rPr>
          <w:rFonts w:cs="Arial"/>
          <w:b/>
          <w:sz w:val="22"/>
          <w:szCs w:val="22"/>
        </w:rPr>
        <w:t>Capital Issues</w:t>
      </w:r>
    </w:p>
    <w:p w14:paraId="171863BC" w14:textId="77777777" w:rsidR="00062BC5" w:rsidRPr="00226C3C" w:rsidRDefault="00062BC5" w:rsidP="000144FB">
      <w:pPr>
        <w:numPr>
          <w:ilvl w:val="0"/>
          <w:numId w:val="10"/>
        </w:numPr>
        <w:tabs>
          <w:tab w:val="num" w:pos="1276"/>
        </w:tabs>
        <w:ind w:left="567" w:firstLine="0"/>
        <w:rPr>
          <w:rFonts w:cs="Arial"/>
          <w:noProof/>
          <w:sz w:val="22"/>
          <w:szCs w:val="22"/>
        </w:rPr>
      </w:pPr>
      <w:r w:rsidRPr="00226C3C">
        <w:rPr>
          <w:rFonts w:cs="Arial"/>
          <w:noProof/>
          <w:sz w:val="22"/>
          <w:szCs w:val="22"/>
        </w:rPr>
        <w:t xml:space="preserve">the capital </w:t>
      </w:r>
      <w:r w:rsidR="00182FBB" w:rsidRPr="00226C3C">
        <w:rPr>
          <w:rFonts w:cs="Arial"/>
          <w:sz w:val="22"/>
          <w:szCs w:val="22"/>
        </w:rPr>
        <w:t>expenditure plans and the associated prudential indicators</w:t>
      </w:r>
      <w:r w:rsidR="00750E4D" w:rsidRPr="00226C3C">
        <w:rPr>
          <w:rFonts w:cs="Arial"/>
          <w:sz w:val="22"/>
          <w:szCs w:val="22"/>
        </w:rPr>
        <w:t>;</w:t>
      </w:r>
    </w:p>
    <w:p w14:paraId="1DB6DEB8" w14:textId="41D521B1" w:rsidR="00182FBB" w:rsidRPr="00226C3C" w:rsidRDefault="00182FBB" w:rsidP="000144FB">
      <w:pPr>
        <w:numPr>
          <w:ilvl w:val="0"/>
          <w:numId w:val="10"/>
        </w:numPr>
        <w:tabs>
          <w:tab w:val="num" w:pos="1276"/>
        </w:tabs>
        <w:ind w:left="567" w:firstLine="0"/>
        <w:rPr>
          <w:rFonts w:cs="Arial"/>
          <w:noProof/>
          <w:sz w:val="22"/>
          <w:szCs w:val="22"/>
        </w:rPr>
      </w:pPr>
      <w:r w:rsidRPr="00226C3C">
        <w:rPr>
          <w:rFonts w:cs="Arial"/>
          <w:sz w:val="22"/>
          <w:szCs w:val="22"/>
        </w:rPr>
        <w:t xml:space="preserve">the </w:t>
      </w:r>
      <w:r w:rsidR="001B6829">
        <w:rPr>
          <w:rFonts w:cs="Arial"/>
          <w:sz w:val="22"/>
          <w:szCs w:val="22"/>
        </w:rPr>
        <w:t xml:space="preserve">statutory </w:t>
      </w:r>
      <w:r w:rsidRPr="00226C3C">
        <w:rPr>
          <w:rFonts w:cs="Arial"/>
          <w:sz w:val="22"/>
          <w:szCs w:val="22"/>
        </w:rPr>
        <w:t>loan</w:t>
      </w:r>
      <w:r w:rsidR="00750E4D" w:rsidRPr="00226C3C">
        <w:rPr>
          <w:rFonts w:cs="Arial"/>
          <w:sz w:val="22"/>
          <w:szCs w:val="22"/>
        </w:rPr>
        <w:t>s</w:t>
      </w:r>
      <w:r w:rsidRPr="00226C3C">
        <w:rPr>
          <w:rFonts w:cs="Arial"/>
          <w:sz w:val="22"/>
          <w:szCs w:val="22"/>
        </w:rPr>
        <w:t xml:space="preserve"> fund repayment policy</w:t>
      </w:r>
      <w:r w:rsidR="00750E4D" w:rsidRPr="00226C3C">
        <w:rPr>
          <w:rFonts w:cs="Arial"/>
          <w:sz w:val="22"/>
          <w:szCs w:val="22"/>
        </w:rPr>
        <w:t>.</w:t>
      </w:r>
    </w:p>
    <w:p w14:paraId="0B8AEDE6" w14:textId="77777777" w:rsidR="00062BC5" w:rsidRPr="00226C3C" w:rsidRDefault="00062BC5" w:rsidP="000144FB">
      <w:pPr>
        <w:tabs>
          <w:tab w:val="num" w:pos="900"/>
          <w:tab w:val="num" w:pos="1276"/>
        </w:tabs>
        <w:ind w:left="567"/>
        <w:rPr>
          <w:rFonts w:cs="Arial"/>
          <w:noProof/>
          <w:sz w:val="22"/>
          <w:szCs w:val="22"/>
        </w:rPr>
      </w:pPr>
    </w:p>
    <w:p w14:paraId="6BD534BE" w14:textId="77777777" w:rsidR="00062BC5" w:rsidRPr="00226C3C" w:rsidRDefault="00062BC5" w:rsidP="000144FB">
      <w:pPr>
        <w:tabs>
          <w:tab w:val="num" w:pos="900"/>
          <w:tab w:val="num" w:pos="1276"/>
        </w:tabs>
        <w:ind w:left="567"/>
        <w:rPr>
          <w:rFonts w:cs="Arial"/>
          <w:b/>
          <w:noProof/>
          <w:sz w:val="22"/>
          <w:szCs w:val="22"/>
        </w:rPr>
      </w:pPr>
      <w:r w:rsidRPr="00226C3C">
        <w:rPr>
          <w:rFonts w:cs="Arial"/>
          <w:b/>
          <w:noProof/>
          <w:sz w:val="22"/>
          <w:szCs w:val="22"/>
        </w:rPr>
        <w:t>Treasury management issues</w:t>
      </w:r>
    </w:p>
    <w:p w14:paraId="6D5552F5" w14:textId="77777777" w:rsidR="00062BC5" w:rsidRPr="00226C3C" w:rsidRDefault="00062BC5" w:rsidP="000144FB">
      <w:pPr>
        <w:numPr>
          <w:ilvl w:val="0"/>
          <w:numId w:val="5"/>
        </w:numPr>
        <w:tabs>
          <w:tab w:val="clear" w:pos="360"/>
          <w:tab w:val="num" w:pos="1276"/>
          <w:tab w:val="num" w:pos="1800"/>
        </w:tabs>
        <w:ind w:left="567" w:firstLine="0"/>
        <w:jc w:val="both"/>
        <w:rPr>
          <w:rFonts w:cs="Arial"/>
          <w:noProof/>
          <w:sz w:val="22"/>
          <w:szCs w:val="22"/>
        </w:rPr>
      </w:pPr>
      <w:r w:rsidRPr="00226C3C">
        <w:rPr>
          <w:rFonts w:cs="Arial"/>
          <w:noProof/>
          <w:sz w:val="22"/>
          <w:szCs w:val="22"/>
        </w:rPr>
        <w:t>the current treasury position</w:t>
      </w:r>
      <w:r w:rsidR="00750E4D" w:rsidRPr="00226C3C">
        <w:rPr>
          <w:rFonts w:cs="Arial"/>
          <w:noProof/>
          <w:sz w:val="22"/>
          <w:szCs w:val="22"/>
        </w:rPr>
        <w:t>;</w:t>
      </w:r>
    </w:p>
    <w:p w14:paraId="7D5C7D9B" w14:textId="77777777" w:rsidR="00062BC5" w:rsidRPr="00226C3C" w:rsidRDefault="00062BC5" w:rsidP="000144FB">
      <w:pPr>
        <w:numPr>
          <w:ilvl w:val="0"/>
          <w:numId w:val="5"/>
        </w:numPr>
        <w:tabs>
          <w:tab w:val="clear" w:pos="360"/>
          <w:tab w:val="num" w:pos="1276"/>
          <w:tab w:val="num" w:pos="1800"/>
        </w:tabs>
        <w:ind w:left="567" w:firstLine="0"/>
        <w:jc w:val="both"/>
        <w:rPr>
          <w:rFonts w:cs="Arial"/>
          <w:noProof/>
          <w:sz w:val="22"/>
          <w:szCs w:val="22"/>
        </w:rPr>
      </w:pPr>
      <w:r w:rsidRPr="00226C3C">
        <w:rPr>
          <w:rFonts w:cs="Arial"/>
          <w:noProof/>
          <w:sz w:val="22"/>
          <w:szCs w:val="22"/>
        </w:rPr>
        <w:t>treasury indicators which will limit the treasury risk and activities of the Council</w:t>
      </w:r>
      <w:r w:rsidR="00750E4D" w:rsidRPr="00226C3C">
        <w:rPr>
          <w:rFonts w:cs="Arial"/>
          <w:noProof/>
          <w:sz w:val="22"/>
          <w:szCs w:val="22"/>
        </w:rPr>
        <w:t>;</w:t>
      </w:r>
    </w:p>
    <w:p w14:paraId="604BA635" w14:textId="77777777" w:rsidR="00062BC5" w:rsidRPr="00226C3C" w:rsidRDefault="00062BC5" w:rsidP="000144FB">
      <w:pPr>
        <w:numPr>
          <w:ilvl w:val="0"/>
          <w:numId w:val="5"/>
        </w:numPr>
        <w:tabs>
          <w:tab w:val="clear" w:pos="360"/>
          <w:tab w:val="num" w:pos="1276"/>
          <w:tab w:val="num" w:pos="1800"/>
        </w:tabs>
        <w:ind w:left="567" w:firstLine="0"/>
        <w:jc w:val="both"/>
        <w:rPr>
          <w:rFonts w:cs="Arial"/>
          <w:noProof/>
          <w:sz w:val="22"/>
          <w:szCs w:val="22"/>
        </w:rPr>
      </w:pPr>
      <w:r w:rsidRPr="00226C3C">
        <w:rPr>
          <w:rFonts w:cs="Arial"/>
          <w:noProof/>
          <w:sz w:val="22"/>
          <w:szCs w:val="22"/>
        </w:rPr>
        <w:t>prospects for interest rates</w:t>
      </w:r>
      <w:r w:rsidR="00750E4D" w:rsidRPr="00226C3C">
        <w:rPr>
          <w:rFonts w:cs="Arial"/>
          <w:noProof/>
          <w:sz w:val="22"/>
          <w:szCs w:val="22"/>
        </w:rPr>
        <w:t>;</w:t>
      </w:r>
    </w:p>
    <w:p w14:paraId="513425AE" w14:textId="77777777" w:rsidR="00062BC5" w:rsidRPr="00226C3C" w:rsidRDefault="00062BC5"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the borrowing strategy</w:t>
      </w:r>
      <w:r w:rsidR="00750E4D" w:rsidRPr="00226C3C">
        <w:rPr>
          <w:rFonts w:cs="Arial"/>
          <w:noProof/>
          <w:sz w:val="22"/>
          <w:szCs w:val="22"/>
        </w:rPr>
        <w:t>;</w:t>
      </w:r>
    </w:p>
    <w:p w14:paraId="589669AA" w14:textId="77777777" w:rsidR="00062BC5" w:rsidRPr="00226C3C" w:rsidRDefault="00062BC5"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policy on borrowing in advance of need</w:t>
      </w:r>
      <w:r w:rsidR="00750E4D" w:rsidRPr="00226C3C">
        <w:rPr>
          <w:rFonts w:cs="Arial"/>
          <w:noProof/>
          <w:sz w:val="22"/>
          <w:szCs w:val="22"/>
        </w:rPr>
        <w:t>;</w:t>
      </w:r>
    </w:p>
    <w:p w14:paraId="1D60765A" w14:textId="77777777" w:rsidR="00062BC5" w:rsidRPr="00226C3C" w:rsidRDefault="00062BC5"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debt rescheduling</w:t>
      </w:r>
      <w:r w:rsidR="00750E4D" w:rsidRPr="00226C3C">
        <w:rPr>
          <w:rFonts w:cs="Arial"/>
          <w:noProof/>
          <w:sz w:val="22"/>
          <w:szCs w:val="22"/>
        </w:rPr>
        <w:t>;</w:t>
      </w:r>
    </w:p>
    <w:p w14:paraId="18A91B23" w14:textId="77777777" w:rsidR="00062BC5" w:rsidRPr="00226C3C" w:rsidRDefault="00062BC5"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the investment strategy</w:t>
      </w:r>
      <w:r w:rsidR="00750E4D" w:rsidRPr="00226C3C">
        <w:rPr>
          <w:rFonts w:cs="Arial"/>
          <w:noProof/>
          <w:sz w:val="22"/>
          <w:szCs w:val="22"/>
        </w:rPr>
        <w:t>;</w:t>
      </w:r>
    </w:p>
    <w:p w14:paraId="2A82C949" w14:textId="77777777" w:rsidR="00062BC5" w:rsidRPr="00226C3C" w:rsidRDefault="00062BC5"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creditworthiness policy</w:t>
      </w:r>
      <w:r w:rsidR="00750E4D" w:rsidRPr="00226C3C">
        <w:rPr>
          <w:rFonts w:cs="Arial"/>
          <w:noProof/>
          <w:sz w:val="22"/>
          <w:szCs w:val="22"/>
        </w:rPr>
        <w:t>;</w:t>
      </w:r>
      <w:r w:rsidRPr="00226C3C">
        <w:rPr>
          <w:rFonts w:cs="Arial"/>
          <w:noProof/>
          <w:sz w:val="22"/>
          <w:szCs w:val="22"/>
        </w:rPr>
        <w:t xml:space="preserve"> and</w:t>
      </w:r>
    </w:p>
    <w:p w14:paraId="7670B881" w14:textId="77777777" w:rsidR="00062BC5" w:rsidRPr="00226C3C" w:rsidRDefault="00750E4D" w:rsidP="000144FB">
      <w:pPr>
        <w:numPr>
          <w:ilvl w:val="0"/>
          <w:numId w:val="5"/>
        </w:numPr>
        <w:tabs>
          <w:tab w:val="clear" w:pos="360"/>
          <w:tab w:val="num" w:pos="1276"/>
          <w:tab w:val="num" w:pos="1800"/>
        </w:tabs>
        <w:ind w:left="567" w:firstLine="0"/>
        <w:rPr>
          <w:rFonts w:cs="Arial"/>
          <w:noProof/>
          <w:sz w:val="22"/>
          <w:szCs w:val="22"/>
        </w:rPr>
      </w:pPr>
      <w:r w:rsidRPr="00226C3C">
        <w:rPr>
          <w:rFonts w:cs="Arial"/>
          <w:noProof/>
          <w:sz w:val="22"/>
          <w:szCs w:val="22"/>
        </w:rPr>
        <w:t xml:space="preserve">the </w:t>
      </w:r>
      <w:r w:rsidR="00062BC5" w:rsidRPr="00226C3C">
        <w:rPr>
          <w:rFonts w:cs="Arial"/>
          <w:noProof/>
          <w:sz w:val="22"/>
          <w:szCs w:val="22"/>
        </w:rPr>
        <w:t>policy on use of external service providers</w:t>
      </w:r>
    </w:p>
    <w:p w14:paraId="5D631589" w14:textId="77777777" w:rsidR="00062BC5" w:rsidRPr="00226C3C" w:rsidRDefault="00062BC5" w:rsidP="000D08C9">
      <w:pPr>
        <w:tabs>
          <w:tab w:val="num" w:pos="900"/>
        </w:tabs>
        <w:ind w:left="720"/>
        <w:rPr>
          <w:rFonts w:cs="Arial"/>
          <w:noProof/>
          <w:sz w:val="22"/>
          <w:szCs w:val="22"/>
        </w:rPr>
      </w:pPr>
    </w:p>
    <w:p w14:paraId="3D3E1F88" w14:textId="0ECC0EAC" w:rsidR="00062BC5" w:rsidRDefault="00062BC5" w:rsidP="00776C91">
      <w:pPr>
        <w:numPr>
          <w:ilvl w:val="1"/>
          <w:numId w:val="9"/>
        </w:numPr>
        <w:tabs>
          <w:tab w:val="num" w:pos="720"/>
        </w:tabs>
        <w:rPr>
          <w:rFonts w:cs="Arial"/>
          <w:noProof/>
          <w:sz w:val="22"/>
          <w:szCs w:val="22"/>
        </w:rPr>
      </w:pPr>
      <w:r w:rsidRPr="00226C3C">
        <w:rPr>
          <w:rFonts w:cs="Arial"/>
          <w:noProof/>
          <w:sz w:val="22"/>
          <w:szCs w:val="22"/>
        </w:rPr>
        <w:t xml:space="preserve">These elements cover the requirements of the Local Government in Scotland Act 2003, the CIFPA </w:t>
      </w:r>
      <w:r w:rsidR="00FE26F7" w:rsidRPr="00FE26F7">
        <w:rPr>
          <w:sz w:val="22"/>
          <w:szCs w:val="22"/>
        </w:rPr>
        <w:t>(Chartered Institute of Public Finance and Accountancy)</w:t>
      </w:r>
      <w:r w:rsidR="00FE26F7" w:rsidRPr="00232176">
        <w:t xml:space="preserve"> </w:t>
      </w:r>
      <w:r w:rsidRPr="00226C3C">
        <w:rPr>
          <w:rFonts w:cs="Arial"/>
          <w:noProof/>
          <w:sz w:val="22"/>
          <w:szCs w:val="22"/>
        </w:rPr>
        <w:t xml:space="preserve">Prudential Code (the Prudential Code),  the CIPFA Treasury Management Code (the Code) and Scottish Government </w:t>
      </w:r>
      <w:r w:rsidR="00182FBB" w:rsidRPr="00226C3C">
        <w:rPr>
          <w:rFonts w:cs="Arial"/>
          <w:sz w:val="22"/>
          <w:szCs w:val="22"/>
        </w:rPr>
        <w:t>loans fund repayment regulations and investment regulations</w:t>
      </w:r>
      <w:r w:rsidR="001B6829">
        <w:rPr>
          <w:rFonts w:cs="Arial"/>
          <w:noProof/>
          <w:sz w:val="22"/>
          <w:szCs w:val="22"/>
        </w:rPr>
        <w:t>, particularly Finance Circulars 5/2010 and 7/2016</w:t>
      </w:r>
      <w:r w:rsidR="00E031BC">
        <w:rPr>
          <w:rFonts w:cs="Arial"/>
          <w:noProof/>
          <w:sz w:val="22"/>
          <w:szCs w:val="22"/>
        </w:rPr>
        <w:t>.</w:t>
      </w:r>
    </w:p>
    <w:p w14:paraId="5770D957" w14:textId="77777777" w:rsidR="00D16EC9" w:rsidRDefault="00D16EC9" w:rsidP="00D16EC9">
      <w:pPr>
        <w:tabs>
          <w:tab w:val="num" w:pos="720"/>
        </w:tabs>
        <w:ind w:left="567"/>
        <w:rPr>
          <w:rFonts w:cs="Arial"/>
          <w:noProof/>
          <w:sz w:val="22"/>
          <w:szCs w:val="22"/>
        </w:rPr>
      </w:pPr>
    </w:p>
    <w:p w14:paraId="2E53AD8E" w14:textId="77777777" w:rsidR="00D16EC9" w:rsidRDefault="00D16EC9" w:rsidP="00D16EC9">
      <w:pPr>
        <w:tabs>
          <w:tab w:val="num" w:pos="720"/>
        </w:tabs>
        <w:ind w:left="567"/>
        <w:rPr>
          <w:rFonts w:cs="Arial"/>
          <w:noProof/>
          <w:sz w:val="22"/>
          <w:szCs w:val="22"/>
        </w:rPr>
      </w:pPr>
    </w:p>
    <w:p w14:paraId="3FF1E37D" w14:textId="77777777" w:rsidR="00D16EC9" w:rsidRDefault="00D16EC9" w:rsidP="00D16EC9">
      <w:pPr>
        <w:tabs>
          <w:tab w:val="num" w:pos="720"/>
        </w:tabs>
        <w:ind w:left="567"/>
        <w:rPr>
          <w:rFonts w:cs="Arial"/>
          <w:noProof/>
          <w:sz w:val="22"/>
          <w:szCs w:val="22"/>
        </w:rPr>
      </w:pPr>
    </w:p>
    <w:p w14:paraId="78016F27" w14:textId="72362A86" w:rsidR="00182FBB" w:rsidRPr="00D16EC9" w:rsidRDefault="007E0A62" w:rsidP="00D16EC9">
      <w:pPr>
        <w:numPr>
          <w:ilvl w:val="1"/>
          <w:numId w:val="9"/>
        </w:numPr>
        <w:tabs>
          <w:tab w:val="num" w:pos="720"/>
        </w:tabs>
        <w:rPr>
          <w:rFonts w:cs="Arial"/>
          <w:noProof/>
          <w:sz w:val="22"/>
          <w:szCs w:val="22"/>
        </w:rPr>
      </w:pPr>
      <w:r w:rsidRPr="00D16EC9">
        <w:rPr>
          <w:sz w:val="22"/>
          <w:szCs w:val="22"/>
        </w:rPr>
        <w:t>The increased Member consideration of treasury management matters and the need to ensure tha</w:t>
      </w:r>
      <w:r w:rsidR="00D16EC9" w:rsidRPr="00D16EC9">
        <w:rPr>
          <w:sz w:val="22"/>
          <w:szCs w:val="22"/>
        </w:rPr>
        <w:t xml:space="preserve">t </w:t>
      </w:r>
      <w:r w:rsidRPr="00D16EC9">
        <w:rPr>
          <w:sz w:val="22"/>
          <w:szCs w:val="22"/>
        </w:rPr>
        <w:t xml:space="preserve">officers dealing with treasury management are trained and kept up to date requires a suitable training process for Members and officers. This Council will </w:t>
      </w:r>
      <w:r w:rsidR="004C0EBC" w:rsidRPr="00D16EC9">
        <w:rPr>
          <w:sz w:val="22"/>
          <w:szCs w:val="22"/>
        </w:rPr>
        <w:t xml:space="preserve">continue to </w:t>
      </w:r>
      <w:r w:rsidRPr="00D16EC9">
        <w:rPr>
          <w:sz w:val="22"/>
          <w:szCs w:val="22"/>
        </w:rPr>
        <w:t>address this important issue by:</w:t>
      </w:r>
    </w:p>
    <w:p w14:paraId="5305F0A3" w14:textId="77777777" w:rsidR="00A932EC" w:rsidRPr="00D26131" w:rsidRDefault="00A932EC" w:rsidP="000144FB">
      <w:pPr>
        <w:tabs>
          <w:tab w:val="num" w:pos="720"/>
        </w:tabs>
        <w:rPr>
          <w:rFonts w:cs="Arial"/>
          <w:noProof/>
          <w:sz w:val="22"/>
          <w:szCs w:val="22"/>
          <w:highlight w:val="yellow"/>
        </w:rPr>
      </w:pPr>
    </w:p>
    <w:p w14:paraId="25ED910E" w14:textId="77777777" w:rsidR="007E0A62" w:rsidRPr="00226C3C" w:rsidRDefault="007E0A62" w:rsidP="00D35173">
      <w:pPr>
        <w:numPr>
          <w:ilvl w:val="3"/>
          <w:numId w:val="27"/>
        </w:numPr>
        <w:tabs>
          <w:tab w:val="right" w:pos="709"/>
        </w:tabs>
        <w:rPr>
          <w:sz w:val="22"/>
          <w:szCs w:val="22"/>
        </w:rPr>
      </w:pPr>
      <w:r w:rsidRPr="00226C3C">
        <w:rPr>
          <w:b/>
          <w:sz w:val="22"/>
          <w:szCs w:val="22"/>
        </w:rPr>
        <w:t>Elected Members</w:t>
      </w:r>
    </w:p>
    <w:p w14:paraId="25E298E2" w14:textId="77777777" w:rsidR="007E0A62" w:rsidRPr="00226C3C" w:rsidRDefault="007E0A62" w:rsidP="000144FB">
      <w:pPr>
        <w:numPr>
          <w:ilvl w:val="4"/>
          <w:numId w:val="24"/>
        </w:numPr>
        <w:tabs>
          <w:tab w:val="clear" w:pos="3240"/>
          <w:tab w:val="right" w:pos="540"/>
        </w:tabs>
        <w:ind w:left="1620" w:hanging="540"/>
        <w:rPr>
          <w:sz w:val="22"/>
          <w:szCs w:val="22"/>
        </w:rPr>
      </w:pPr>
      <w:r w:rsidRPr="00226C3C">
        <w:rPr>
          <w:sz w:val="22"/>
          <w:szCs w:val="22"/>
        </w:rPr>
        <w:t>Working with members of the Audit Committee to identify their training needs</w:t>
      </w:r>
    </w:p>
    <w:p w14:paraId="010FE4EE" w14:textId="77777777" w:rsidR="007E0A62" w:rsidRPr="00226C3C" w:rsidRDefault="007E0A62" w:rsidP="000144FB">
      <w:pPr>
        <w:numPr>
          <w:ilvl w:val="4"/>
          <w:numId w:val="24"/>
        </w:numPr>
        <w:tabs>
          <w:tab w:val="clear" w:pos="3240"/>
          <w:tab w:val="right" w:pos="540"/>
        </w:tabs>
        <w:ind w:left="1620" w:hanging="540"/>
        <w:rPr>
          <w:sz w:val="22"/>
          <w:szCs w:val="22"/>
        </w:rPr>
      </w:pPr>
      <w:r w:rsidRPr="00226C3C">
        <w:rPr>
          <w:sz w:val="22"/>
          <w:szCs w:val="22"/>
        </w:rPr>
        <w:t xml:space="preserve">Working with </w:t>
      </w:r>
      <w:r w:rsidR="00282A43" w:rsidRPr="00226C3C">
        <w:rPr>
          <w:sz w:val="22"/>
          <w:szCs w:val="22"/>
        </w:rPr>
        <w:t>Link</w:t>
      </w:r>
      <w:r w:rsidR="00754D1B">
        <w:rPr>
          <w:sz w:val="22"/>
          <w:szCs w:val="22"/>
        </w:rPr>
        <w:t xml:space="preserve"> Treasury</w:t>
      </w:r>
      <w:r w:rsidR="005F3903">
        <w:rPr>
          <w:sz w:val="22"/>
          <w:szCs w:val="22"/>
        </w:rPr>
        <w:t xml:space="preserve"> </w:t>
      </w:r>
      <w:r w:rsidRPr="00226C3C">
        <w:rPr>
          <w:sz w:val="22"/>
          <w:szCs w:val="22"/>
        </w:rPr>
        <w:t>Services to identify appropriate training provision for elected members</w:t>
      </w:r>
      <w:r w:rsidRPr="00226C3C">
        <w:rPr>
          <w:sz w:val="22"/>
          <w:szCs w:val="22"/>
        </w:rPr>
        <w:br/>
      </w:r>
    </w:p>
    <w:p w14:paraId="59CE353B" w14:textId="49C42AF9" w:rsidR="007E0A62" w:rsidRPr="00226C3C" w:rsidRDefault="007E0A62" w:rsidP="00D35173">
      <w:pPr>
        <w:numPr>
          <w:ilvl w:val="3"/>
          <w:numId w:val="24"/>
        </w:numPr>
        <w:tabs>
          <w:tab w:val="right" w:pos="709"/>
        </w:tabs>
        <w:rPr>
          <w:rFonts w:cs="Arial"/>
          <w:iCs/>
          <w:sz w:val="22"/>
          <w:szCs w:val="22"/>
        </w:rPr>
      </w:pPr>
      <w:r w:rsidRPr="00226C3C">
        <w:rPr>
          <w:b/>
          <w:sz w:val="22"/>
          <w:szCs w:val="22"/>
        </w:rPr>
        <w:t>Officers</w:t>
      </w:r>
      <w:r w:rsidRPr="00226C3C">
        <w:rPr>
          <w:sz w:val="22"/>
          <w:szCs w:val="22"/>
        </w:rPr>
        <w:t xml:space="preserve"> dealing with treasury management matters will have the option of various levels of training</w:t>
      </w:r>
      <w:r w:rsidR="00D35173">
        <w:rPr>
          <w:sz w:val="22"/>
          <w:szCs w:val="22"/>
        </w:rPr>
        <w:t>, depending on need,</w:t>
      </w:r>
      <w:r w:rsidRPr="00226C3C">
        <w:rPr>
          <w:sz w:val="22"/>
          <w:szCs w:val="22"/>
        </w:rPr>
        <w:t xml:space="preserve"> including:</w:t>
      </w:r>
    </w:p>
    <w:p w14:paraId="79C230F6" w14:textId="77777777" w:rsidR="007E0A62" w:rsidRPr="00226C3C" w:rsidRDefault="007E0A62" w:rsidP="000144FB">
      <w:pPr>
        <w:numPr>
          <w:ilvl w:val="4"/>
          <w:numId w:val="24"/>
        </w:numPr>
        <w:tabs>
          <w:tab w:val="clear" w:pos="3240"/>
          <w:tab w:val="right" w:pos="1620"/>
        </w:tabs>
        <w:ind w:left="1620" w:hanging="540"/>
        <w:rPr>
          <w:sz w:val="22"/>
          <w:szCs w:val="22"/>
        </w:rPr>
      </w:pPr>
      <w:r w:rsidRPr="00226C3C">
        <w:rPr>
          <w:sz w:val="22"/>
          <w:szCs w:val="22"/>
        </w:rPr>
        <w:t>Treasury courses run by the Council’s advisers</w:t>
      </w:r>
    </w:p>
    <w:p w14:paraId="29DD4A6D" w14:textId="77777777" w:rsidR="007E0A62" w:rsidRPr="00226C3C" w:rsidRDefault="007E0A62" w:rsidP="000144FB">
      <w:pPr>
        <w:numPr>
          <w:ilvl w:val="4"/>
          <w:numId w:val="24"/>
        </w:numPr>
        <w:tabs>
          <w:tab w:val="clear" w:pos="3240"/>
          <w:tab w:val="right" w:pos="1620"/>
        </w:tabs>
        <w:ind w:left="1620" w:hanging="540"/>
        <w:rPr>
          <w:sz w:val="22"/>
          <w:szCs w:val="22"/>
        </w:rPr>
      </w:pPr>
      <w:r w:rsidRPr="00226C3C">
        <w:rPr>
          <w:sz w:val="22"/>
          <w:szCs w:val="22"/>
        </w:rPr>
        <w:t xml:space="preserve">Attendance at CIPFA treasury management training events </w:t>
      </w:r>
    </w:p>
    <w:p w14:paraId="297CF138" w14:textId="77777777" w:rsidR="007E0A62" w:rsidRPr="00226C3C" w:rsidRDefault="007E0A62" w:rsidP="000144FB">
      <w:pPr>
        <w:numPr>
          <w:ilvl w:val="4"/>
          <w:numId w:val="24"/>
        </w:numPr>
        <w:tabs>
          <w:tab w:val="clear" w:pos="3240"/>
          <w:tab w:val="right" w:pos="1620"/>
        </w:tabs>
        <w:ind w:left="1620" w:hanging="540"/>
        <w:rPr>
          <w:rFonts w:cs="Arial"/>
          <w:sz w:val="22"/>
          <w:szCs w:val="22"/>
        </w:rPr>
      </w:pPr>
      <w:r w:rsidRPr="00226C3C">
        <w:rPr>
          <w:sz w:val="22"/>
          <w:szCs w:val="22"/>
        </w:rPr>
        <w:t>Attendance at the CIPFA Scottish Treasury Management Forum and information exchanged via the Treasury Management Forum network</w:t>
      </w:r>
    </w:p>
    <w:p w14:paraId="393EBEF8" w14:textId="77777777" w:rsidR="007E0A62" w:rsidRPr="00226C3C" w:rsidRDefault="007E0A62" w:rsidP="000144FB">
      <w:pPr>
        <w:numPr>
          <w:ilvl w:val="4"/>
          <w:numId w:val="24"/>
        </w:numPr>
        <w:tabs>
          <w:tab w:val="clear" w:pos="3240"/>
          <w:tab w:val="right" w:pos="1620"/>
        </w:tabs>
        <w:ind w:left="1620" w:hanging="540"/>
        <w:rPr>
          <w:sz w:val="22"/>
          <w:szCs w:val="22"/>
        </w:rPr>
      </w:pPr>
      <w:r w:rsidRPr="00226C3C">
        <w:rPr>
          <w:sz w:val="22"/>
          <w:szCs w:val="22"/>
        </w:rPr>
        <w:t>On the job training in line with the approved Treasury Management Practices (TMPs).</w:t>
      </w:r>
    </w:p>
    <w:p w14:paraId="373110D4" w14:textId="77777777" w:rsidR="007E0A62" w:rsidRPr="00D26131" w:rsidRDefault="007E0A62" w:rsidP="007E0A62">
      <w:pPr>
        <w:tabs>
          <w:tab w:val="num" w:pos="720"/>
          <w:tab w:val="right" w:pos="1620"/>
        </w:tabs>
        <w:ind w:left="1620"/>
        <w:rPr>
          <w:sz w:val="22"/>
          <w:szCs w:val="22"/>
          <w:highlight w:val="yellow"/>
        </w:rPr>
      </w:pPr>
    </w:p>
    <w:p w14:paraId="705F5B98" w14:textId="77777777" w:rsidR="00062BC5" w:rsidRPr="00226C3C" w:rsidRDefault="00062BC5" w:rsidP="00776C91">
      <w:pPr>
        <w:numPr>
          <w:ilvl w:val="1"/>
          <w:numId w:val="9"/>
        </w:numPr>
        <w:tabs>
          <w:tab w:val="num" w:pos="720"/>
        </w:tabs>
        <w:ind w:left="720" w:hanging="720"/>
        <w:rPr>
          <w:rFonts w:cs="Arial"/>
          <w:b/>
          <w:color w:val="993366"/>
          <w:sz w:val="22"/>
          <w:szCs w:val="22"/>
        </w:rPr>
      </w:pPr>
      <w:r w:rsidRPr="00226C3C">
        <w:rPr>
          <w:rFonts w:cs="Arial"/>
          <w:b/>
          <w:color w:val="993366"/>
          <w:sz w:val="22"/>
          <w:szCs w:val="22"/>
        </w:rPr>
        <w:t>Treasury Management Consultants</w:t>
      </w:r>
    </w:p>
    <w:p w14:paraId="4D4EF7FF" w14:textId="717A8E8B" w:rsidR="00062BC5" w:rsidRPr="00226C3C" w:rsidRDefault="00062BC5" w:rsidP="00E031BC">
      <w:pPr>
        <w:tabs>
          <w:tab w:val="num" w:pos="567"/>
        </w:tabs>
        <w:ind w:left="567"/>
        <w:rPr>
          <w:rFonts w:cs="Arial"/>
          <w:sz w:val="22"/>
          <w:szCs w:val="22"/>
        </w:rPr>
      </w:pPr>
      <w:r w:rsidRPr="00226C3C">
        <w:rPr>
          <w:rFonts w:cs="Arial"/>
          <w:sz w:val="22"/>
          <w:szCs w:val="22"/>
        </w:rPr>
        <w:t xml:space="preserve">The Council uses </w:t>
      </w:r>
      <w:r w:rsidR="00282A43" w:rsidRPr="00226C3C">
        <w:rPr>
          <w:rFonts w:cs="Arial"/>
          <w:sz w:val="22"/>
          <w:szCs w:val="22"/>
        </w:rPr>
        <w:t>Link</w:t>
      </w:r>
      <w:r w:rsidRPr="00226C3C">
        <w:rPr>
          <w:rFonts w:cs="Arial"/>
          <w:sz w:val="22"/>
          <w:szCs w:val="22"/>
        </w:rPr>
        <w:t xml:space="preserve"> </w:t>
      </w:r>
      <w:r w:rsidR="00750E4D" w:rsidRPr="00226C3C">
        <w:rPr>
          <w:rFonts w:cs="Arial"/>
          <w:sz w:val="22"/>
          <w:szCs w:val="22"/>
        </w:rPr>
        <w:t>Group</w:t>
      </w:r>
      <w:r w:rsidR="0031213A" w:rsidRPr="00226C3C">
        <w:rPr>
          <w:rFonts w:cs="Arial"/>
          <w:sz w:val="22"/>
          <w:szCs w:val="22"/>
        </w:rPr>
        <w:t xml:space="preserve">, </w:t>
      </w:r>
      <w:r w:rsidR="00E031BC">
        <w:rPr>
          <w:rFonts w:cs="Arial"/>
          <w:sz w:val="22"/>
          <w:szCs w:val="22"/>
        </w:rPr>
        <w:t>Link Treasury Services Limited</w:t>
      </w:r>
      <w:r w:rsidRPr="00226C3C">
        <w:rPr>
          <w:rFonts w:cs="Arial"/>
          <w:sz w:val="22"/>
          <w:szCs w:val="22"/>
        </w:rPr>
        <w:t xml:space="preserve"> as its external treasury management advisors. </w:t>
      </w:r>
    </w:p>
    <w:p w14:paraId="698CD9A3" w14:textId="77777777" w:rsidR="00062BC5" w:rsidRPr="00226C3C" w:rsidRDefault="00062BC5" w:rsidP="00E031BC">
      <w:pPr>
        <w:tabs>
          <w:tab w:val="num" w:pos="720"/>
        </w:tabs>
        <w:ind w:left="567"/>
        <w:rPr>
          <w:rFonts w:cs="Arial"/>
          <w:sz w:val="22"/>
          <w:szCs w:val="22"/>
        </w:rPr>
      </w:pPr>
    </w:p>
    <w:p w14:paraId="5B86208C" w14:textId="27CC52F6" w:rsidR="00062BC5" w:rsidRPr="00226C3C" w:rsidRDefault="00062BC5" w:rsidP="00E031BC">
      <w:pPr>
        <w:tabs>
          <w:tab w:val="num" w:pos="567"/>
        </w:tabs>
        <w:ind w:left="567"/>
        <w:rPr>
          <w:rFonts w:cs="Arial"/>
          <w:sz w:val="22"/>
          <w:szCs w:val="22"/>
        </w:rPr>
      </w:pPr>
      <w:r w:rsidRPr="00226C3C">
        <w:rPr>
          <w:rFonts w:cs="Arial"/>
          <w:sz w:val="22"/>
          <w:szCs w:val="22"/>
        </w:rPr>
        <w:t xml:space="preserve">The Council recognises that responsibility for treasury management decisions </w:t>
      </w:r>
      <w:r w:rsidR="00D16EC9" w:rsidRPr="00226C3C">
        <w:rPr>
          <w:rFonts w:cs="Arial"/>
          <w:sz w:val="22"/>
          <w:szCs w:val="22"/>
        </w:rPr>
        <w:t>always remains with the Council</w:t>
      </w:r>
      <w:r w:rsidR="0031213A" w:rsidRPr="00226C3C">
        <w:rPr>
          <w:rFonts w:cs="Arial"/>
          <w:sz w:val="22"/>
          <w:szCs w:val="22"/>
        </w:rPr>
        <w:t xml:space="preserve"> and will ensure that undue reliance is not placed upon the services of our external service providers. All decisions will be undertaken with regards to all available information, including, but not solely, our treasury advisers</w:t>
      </w:r>
      <w:r w:rsidRPr="00226C3C">
        <w:rPr>
          <w:rFonts w:cs="Arial"/>
          <w:sz w:val="22"/>
          <w:szCs w:val="22"/>
        </w:rPr>
        <w:t>.</w:t>
      </w:r>
    </w:p>
    <w:p w14:paraId="439B8F00" w14:textId="77777777" w:rsidR="00062BC5" w:rsidRPr="00226C3C" w:rsidRDefault="00062BC5" w:rsidP="00E031BC">
      <w:pPr>
        <w:tabs>
          <w:tab w:val="num" w:pos="567"/>
        </w:tabs>
        <w:ind w:left="567"/>
        <w:rPr>
          <w:rFonts w:cs="Arial"/>
          <w:noProof/>
          <w:sz w:val="22"/>
          <w:szCs w:val="22"/>
        </w:rPr>
      </w:pPr>
    </w:p>
    <w:p w14:paraId="41C9BB4E" w14:textId="77777777" w:rsidR="00062BC5" w:rsidRPr="00226C3C" w:rsidRDefault="00062BC5" w:rsidP="00E031BC">
      <w:pPr>
        <w:tabs>
          <w:tab w:val="num" w:pos="567"/>
        </w:tabs>
        <w:ind w:left="567"/>
        <w:rPr>
          <w:rFonts w:cs="Arial"/>
          <w:sz w:val="22"/>
          <w:szCs w:val="22"/>
        </w:rPr>
      </w:pPr>
      <w:r w:rsidRPr="00226C3C">
        <w:rPr>
          <w:rFonts w:cs="Arial"/>
          <w:noProof/>
          <w:sz w:val="22"/>
          <w:szCs w:val="22"/>
        </w:rPr>
        <w:t xml:space="preserve">It also recognises that </w:t>
      </w:r>
      <w:r w:rsidRPr="00226C3C">
        <w:rPr>
          <w:rStyle w:val="bodyChar"/>
        </w:rPr>
        <w:t xml:space="preserve">there is value in employing external providers of treasury management services in order to </w:t>
      </w:r>
      <w:r w:rsidR="0031213A" w:rsidRPr="00226C3C">
        <w:rPr>
          <w:rStyle w:val="bodyChar"/>
        </w:rPr>
        <w:t>acquire</w:t>
      </w:r>
      <w:r w:rsidRPr="00226C3C">
        <w:rPr>
          <w:rStyle w:val="bodyChar"/>
        </w:rPr>
        <w:t xml:space="preserve"> access to specialist skills and resources. The Council will ensure that the terms of their appointment and the methods by which their value will be assessed are properly agreed</w:t>
      </w:r>
      <w:r w:rsidRPr="00226C3C">
        <w:rPr>
          <w:rFonts w:cs="Arial"/>
          <w:noProof/>
          <w:sz w:val="22"/>
          <w:szCs w:val="22"/>
        </w:rPr>
        <w:t xml:space="preserve"> and documented, and subjected to regular review.</w:t>
      </w:r>
    </w:p>
    <w:p w14:paraId="73238409" w14:textId="77777777" w:rsidR="00062BC5" w:rsidRPr="00D26131" w:rsidRDefault="00062BC5" w:rsidP="00CE7BAE">
      <w:pPr>
        <w:tabs>
          <w:tab w:val="num" w:pos="720"/>
        </w:tabs>
        <w:ind w:left="567"/>
        <w:rPr>
          <w:rFonts w:cs="Arial"/>
          <w:sz w:val="22"/>
          <w:szCs w:val="22"/>
          <w:highlight w:val="yellow"/>
        </w:rPr>
      </w:pPr>
    </w:p>
    <w:p w14:paraId="348D5245" w14:textId="11652AD3" w:rsidR="00062BC5" w:rsidRPr="00850EA6" w:rsidRDefault="00062BC5" w:rsidP="00526216">
      <w:pPr>
        <w:numPr>
          <w:ilvl w:val="1"/>
          <w:numId w:val="9"/>
        </w:numPr>
        <w:tabs>
          <w:tab w:val="num" w:pos="720"/>
        </w:tabs>
        <w:rPr>
          <w:rFonts w:ascii="Calibri" w:hAnsi="Calibri" w:cs="Arial"/>
          <w:b/>
          <w:noProof/>
          <w:sz w:val="22"/>
          <w:szCs w:val="22"/>
        </w:rPr>
      </w:pPr>
      <w:r w:rsidRPr="00850EA6">
        <w:rPr>
          <w:rFonts w:cs="Arial"/>
          <w:sz w:val="22"/>
          <w:szCs w:val="22"/>
        </w:rPr>
        <w:t>The Treasury Management Strategy covers the treasury management activities for the Council</w:t>
      </w:r>
      <w:r w:rsidR="00D142C9" w:rsidRPr="00850EA6">
        <w:rPr>
          <w:rFonts w:cs="Arial"/>
          <w:sz w:val="22"/>
          <w:szCs w:val="22"/>
        </w:rPr>
        <w:t xml:space="preserve"> (including any subsidiary organisations)</w:t>
      </w:r>
      <w:r w:rsidR="00526216" w:rsidRPr="00850EA6">
        <w:rPr>
          <w:rFonts w:cs="Arial"/>
          <w:sz w:val="22"/>
          <w:szCs w:val="22"/>
        </w:rPr>
        <w:t xml:space="preserve"> and </w:t>
      </w:r>
      <w:r w:rsidRPr="00850EA6">
        <w:rPr>
          <w:rFonts w:cs="Arial"/>
          <w:sz w:val="22"/>
          <w:szCs w:val="22"/>
        </w:rPr>
        <w:t>the cash managed by the Council on behalf of the Scottish Borders Council Pension</w:t>
      </w:r>
      <w:r w:rsidR="007010CD" w:rsidRPr="00850EA6">
        <w:rPr>
          <w:rFonts w:cs="Arial"/>
          <w:sz w:val="22"/>
          <w:szCs w:val="22"/>
        </w:rPr>
        <w:t>,</w:t>
      </w:r>
      <w:r w:rsidRPr="00850EA6">
        <w:rPr>
          <w:rFonts w:cs="Arial"/>
          <w:sz w:val="22"/>
          <w:szCs w:val="22"/>
        </w:rPr>
        <w:t xml:space="preserve"> Common Good and Trust Funds.</w:t>
      </w:r>
    </w:p>
    <w:p w14:paraId="2C99E46E" w14:textId="77777777" w:rsidR="00140E64" w:rsidRPr="00226C3C" w:rsidRDefault="00140E64" w:rsidP="00140E64">
      <w:pPr>
        <w:tabs>
          <w:tab w:val="num" w:pos="720"/>
        </w:tabs>
        <w:ind w:left="567"/>
        <w:rPr>
          <w:rFonts w:ascii="Calibri" w:hAnsi="Calibri" w:cs="Arial"/>
          <w:b/>
          <w:noProof/>
          <w:sz w:val="22"/>
          <w:szCs w:val="22"/>
        </w:rPr>
      </w:pPr>
    </w:p>
    <w:p w14:paraId="26DD0EC1" w14:textId="722A10C8" w:rsidR="00140E64" w:rsidRPr="00226C3C" w:rsidRDefault="00140E64" w:rsidP="00140E64">
      <w:pPr>
        <w:numPr>
          <w:ilvl w:val="1"/>
          <w:numId w:val="9"/>
        </w:numPr>
        <w:tabs>
          <w:tab w:val="num" w:pos="720"/>
        </w:tabs>
        <w:rPr>
          <w:b/>
          <w:noProof/>
          <w:color w:val="993366"/>
          <w:sz w:val="28"/>
          <w:szCs w:val="28"/>
        </w:rPr>
      </w:pPr>
      <w:r w:rsidRPr="00226C3C">
        <w:rPr>
          <w:rFonts w:cs="Arial"/>
          <w:b/>
          <w:color w:val="993366"/>
          <w:sz w:val="22"/>
          <w:szCs w:val="22"/>
        </w:rPr>
        <w:t>2021 revised</w:t>
      </w:r>
      <w:r w:rsidRPr="00226C3C">
        <w:t xml:space="preserve"> </w:t>
      </w:r>
      <w:r w:rsidRPr="00226C3C">
        <w:rPr>
          <w:rFonts w:cs="Arial"/>
          <w:b/>
          <w:color w:val="993366"/>
          <w:sz w:val="22"/>
          <w:szCs w:val="22"/>
        </w:rPr>
        <w:t xml:space="preserve">CIPFA Treasury Management Code and Prudential Code – changes which will impact on future TMSS/AIS reports and the risk management framework </w:t>
      </w:r>
      <w:r w:rsidR="007521F5">
        <w:rPr>
          <w:rFonts w:cs="Arial"/>
          <w:b/>
          <w:color w:val="993366"/>
          <w:sz w:val="22"/>
          <w:szCs w:val="22"/>
        </w:rPr>
        <w:t xml:space="preserve"> </w:t>
      </w:r>
    </w:p>
    <w:p w14:paraId="098BBDD6" w14:textId="77777777" w:rsidR="00140E64" w:rsidRPr="00D26131" w:rsidRDefault="00140E64" w:rsidP="00140E64">
      <w:pPr>
        <w:pStyle w:val="ListParagraph"/>
        <w:rPr>
          <w:b/>
          <w:noProof/>
          <w:color w:val="993366"/>
          <w:sz w:val="22"/>
          <w:szCs w:val="22"/>
          <w:highlight w:val="yellow"/>
        </w:rPr>
      </w:pPr>
    </w:p>
    <w:p w14:paraId="50FE654D" w14:textId="1E686DB1" w:rsidR="001A3EB4" w:rsidRDefault="005F3903" w:rsidP="001A3EB4">
      <w:pPr>
        <w:pStyle w:val="subhead"/>
        <w:spacing w:before="0" w:after="0"/>
        <w:ind w:left="567"/>
        <w:jc w:val="left"/>
        <w:rPr>
          <w:b w:val="0"/>
          <w:noProof w:val="0"/>
          <w:spacing w:val="-5"/>
        </w:rPr>
      </w:pPr>
      <w:bookmarkStart w:id="1" w:name="_Toc120727203"/>
      <w:r w:rsidRPr="005F3903">
        <w:rPr>
          <w:b w:val="0"/>
          <w:noProof w:val="0"/>
          <w:spacing w:val="-5"/>
        </w:rPr>
        <w:t xml:space="preserve">CIPFA published the revised Codes on 20th December 2021 and has stated that revisions need to be included in the reporting framework from the 2023/24 financial year. This </w:t>
      </w:r>
      <w:r w:rsidR="00FF6991">
        <w:rPr>
          <w:b w:val="0"/>
          <w:noProof w:val="0"/>
          <w:spacing w:val="-5"/>
        </w:rPr>
        <w:t>Council</w:t>
      </w:r>
      <w:r w:rsidRPr="005F3903">
        <w:rPr>
          <w:b w:val="0"/>
          <w:noProof w:val="0"/>
          <w:spacing w:val="-5"/>
        </w:rPr>
        <w:t>, therefore, has to have regard to these Codes of Practice when it prepares the Treasury Management Strategy Statement and Annual Investment Strategy, and also related reports during the financial year, which are taken to Full Council for approval.</w:t>
      </w:r>
      <w:bookmarkEnd w:id="1"/>
    </w:p>
    <w:p w14:paraId="4A811B68" w14:textId="77777777" w:rsidR="005F3903" w:rsidRPr="005F3903" w:rsidRDefault="005F3903" w:rsidP="001A3EB4">
      <w:pPr>
        <w:pStyle w:val="subhead"/>
        <w:spacing w:before="0" w:after="0"/>
        <w:ind w:left="567"/>
        <w:jc w:val="left"/>
        <w:rPr>
          <w:b w:val="0"/>
          <w:noProof w:val="0"/>
          <w:spacing w:val="-5"/>
        </w:rPr>
      </w:pPr>
    </w:p>
    <w:p w14:paraId="560535DA" w14:textId="77777777" w:rsidR="005F3903" w:rsidRPr="005F3903" w:rsidRDefault="005F3903" w:rsidP="005F3903">
      <w:pPr>
        <w:ind w:left="567"/>
        <w:rPr>
          <w:rFonts w:cs="Arial"/>
          <w:b/>
          <w:sz w:val="22"/>
          <w:szCs w:val="22"/>
        </w:rPr>
      </w:pPr>
      <w:r w:rsidRPr="005F3903">
        <w:rPr>
          <w:rFonts w:cs="Arial"/>
          <w:b/>
          <w:sz w:val="22"/>
          <w:szCs w:val="22"/>
        </w:rPr>
        <w:t>The revised Treasury Management Code requires all investments and investment income to be attributed to one of the following three purposes: -</w:t>
      </w:r>
    </w:p>
    <w:p w14:paraId="20EFDA91" w14:textId="77777777" w:rsidR="001A3EB4" w:rsidRPr="00D26131" w:rsidRDefault="001A3EB4" w:rsidP="001A3EB4">
      <w:pPr>
        <w:tabs>
          <w:tab w:val="num" w:pos="540"/>
        </w:tabs>
        <w:ind w:left="567"/>
        <w:rPr>
          <w:highlight w:val="yellow"/>
        </w:rPr>
      </w:pPr>
    </w:p>
    <w:p w14:paraId="2CA0B582" w14:textId="77777777" w:rsidR="005F3903" w:rsidRPr="009D5F52" w:rsidRDefault="005F3903" w:rsidP="005F3903">
      <w:pPr>
        <w:ind w:firstLine="567"/>
        <w:rPr>
          <w:b/>
          <w:bCs/>
          <w:sz w:val="22"/>
          <w:szCs w:val="22"/>
        </w:rPr>
      </w:pPr>
      <w:r w:rsidRPr="009D5F52">
        <w:rPr>
          <w:b/>
          <w:bCs/>
          <w:sz w:val="22"/>
          <w:szCs w:val="22"/>
        </w:rPr>
        <w:t>Treasury management</w:t>
      </w:r>
    </w:p>
    <w:p w14:paraId="2C6004FC" w14:textId="77777777" w:rsidR="005F3903" w:rsidRDefault="005F3903" w:rsidP="005F3903">
      <w:pPr>
        <w:ind w:left="567"/>
        <w:rPr>
          <w:sz w:val="22"/>
          <w:szCs w:val="22"/>
        </w:rPr>
      </w:pPr>
      <w:r w:rsidRPr="009D5F52">
        <w:rPr>
          <w:sz w:val="22"/>
          <w:szCs w:val="22"/>
        </w:rPr>
        <w:t>Arising from the organisation’s cash flows or treasury risk management activity, this type of investment represents balances which are only held until the cash is required for use.  Treasury investments may also arise from other treasury risk management activity which seeks to prudently manage the risks, costs or income relating to existing or forecast debt or treasury investments.</w:t>
      </w:r>
    </w:p>
    <w:p w14:paraId="7E5AD460" w14:textId="77777777" w:rsidR="00D16EC9" w:rsidRDefault="00D16EC9" w:rsidP="005F3903">
      <w:pPr>
        <w:ind w:left="567"/>
        <w:rPr>
          <w:sz w:val="22"/>
          <w:szCs w:val="22"/>
        </w:rPr>
      </w:pPr>
    </w:p>
    <w:p w14:paraId="763B5F7C" w14:textId="77777777" w:rsidR="00D16EC9" w:rsidRPr="009D5F52" w:rsidRDefault="00D16EC9" w:rsidP="005F3903">
      <w:pPr>
        <w:ind w:left="567"/>
        <w:rPr>
          <w:sz w:val="22"/>
          <w:szCs w:val="22"/>
        </w:rPr>
      </w:pPr>
    </w:p>
    <w:p w14:paraId="7AABF955" w14:textId="77777777" w:rsidR="005F3903" w:rsidRPr="00C7522A" w:rsidRDefault="005F3903" w:rsidP="005F3903">
      <w:pPr>
        <w:jc w:val="both"/>
        <w:rPr>
          <w:rFonts w:cs="Arial"/>
          <w:sz w:val="22"/>
          <w:szCs w:val="22"/>
        </w:rPr>
      </w:pPr>
    </w:p>
    <w:p w14:paraId="000A3125" w14:textId="77777777" w:rsidR="007521F5" w:rsidRDefault="007521F5" w:rsidP="005F3903">
      <w:pPr>
        <w:ind w:left="359" w:firstLine="208"/>
        <w:rPr>
          <w:b/>
          <w:bCs/>
          <w:sz w:val="22"/>
          <w:szCs w:val="22"/>
        </w:rPr>
      </w:pPr>
    </w:p>
    <w:p w14:paraId="12EAF9A6" w14:textId="77777777" w:rsidR="004F3198" w:rsidRDefault="004F3198" w:rsidP="005F3903">
      <w:pPr>
        <w:ind w:left="359" w:firstLine="208"/>
        <w:rPr>
          <w:b/>
          <w:bCs/>
          <w:sz w:val="22"/>
          <w:szCs w:val="22"/>
        </w:rPr>
      </w:pPr>
    </w:p>
    <w:p w14:paraId="1E765748" w14:textId="77777777" w:rsidR="00D16EC9" w:rsidRDefault="00D16EC9" w:rsidP="005F3903">
      <w:pPr>
        <w:ind w:left="359" w:firstLine="208"/>
        <w:rPr>
          <w:b/>
          <w:bCs/>
          <w:sz w:val="22"/>
          <w:szCs w:val="22"/>
        </w:rPr>
      </w:pPr>
    </w:p>
    <w:p w14:paraId="3D5ED226" w14:textId="77777777" w:rsidR="00DD30BA" w:rsidRDefault="00DD30BA" w:rsidP="005F3903">
      <w:pPr>
        <w:ind w:left="359" w:firstLine="208"/>
        <w:rPr>
          <w:b/>
          <w:bCs/>
          <w:sz w:val="22"/>
          <w:szCs w:val="22"/>
        </w:rPr>
      </w:pPr>
    </w:p>
    <w:p w14:paraId="32891E27" w14:textId="47C7218C" w:rsidR="005F3903" w:rsidRPr="009D5F52" w:rsidRDefault="005F3903" w:rsidP="005F3903">
      <w:pPr>
        <w:ind w:left="359" w:firstLine="208"/>
        <w:rPr>
          <w:b/>
          <w:bCs/>
          <w:sz w:val="22"/>
          <w:szCs w:val="22"/>
        </w:rPr>
      </w:pPr>
      <w:r w:rsidRPr="009D5F52">
        <w:rPr>
          <w:b/>
          <w:bCs/>
          <w:sz w:val="22"/>
          <w:szCs w:val="22"/>
        </w:rPr>
        <w:t>Service delivery</w:t>
      </w:r>
    </w:p>
    <w:p w14:paraId="515683C7" w14:textId="77777777" w:rsidR="005F3903" w:rsidRPr="009D5F52" w:rsidRDefault="005F3903" w:rsidP="005F3903">
      <w:pPr>
        <w:ind w:left="567"/>
      </w:pPr>
      <w:r w:rsidRPr="009D5F52">
        <w:rPr>
          <w:sz w:val="22"/>
          <w:szCs w:val="22"/>
        </w:rPr>
        <w:t>Investments held primarily and directly for the delivery of public services including housing, regeneration and local infrastructure.  Returns on this category of investment which are funded by borrowing are permitted only in cases where the income is “either related to the financial viability of the project in question or otherwise incidental to the primary purpose”.</w:t>
      </w:r>
    </w:p>
    <w:p w14:paraId="7F0A3950" w14:textId="77777777" w:rsidR="005F3903" w:rsidRPr="00C7522A" w:rsidRDefault="005F3903" w:rsidP="005F3903">
      <w:pPr>
        <w:jc w:val="both"/>
        <w:rPr>
          <w:rFonts w:cs="Arial"/>
          <w:sz w:val="22"/>
          <w:szCs w:val="22"/>
        </w:rPr>
      </w:pPr>
    </w:p>
    <w:p w14:paraId="4645B1F7" w14:textId="77777777" w:rsidR="005F3903" w:rsidRPr="009D5F52" w:rsidRDefault="005F3903" w:rsidP="005F3903">
      <w:pPr>
        <w:ind w:left="359" w:firstLine="208"/>
        <w:rPr>
          <w:b/>
          <w:bCs/>
          <w:sz w:val="22"/>
          <w:szCs w:val="22"/>
        </w:rPr>
      </w:pPr>
      <w:r w:rsidRPr="009D5F52">
        <w:rPr>
          <w:b/>
          <w:bCs/>
          <w:sz w:val="22"/>
          <w:szCs w:val="22"/>
        </w:rPr>
        <w:t>Commercial return</w:t>
      </w:r>
    </w:p>
    <w:p w14:paraId="7AC92CF7" w14:textId="39CAF12B" w:rsidR="005F3903" w:rsidRPr="009D5F52" w:rsidRDefault="005F3903" w:rsidP="005F3903">
      <w:pPr>
        <w:ind w:left="567"/>
        <w:rPr>
          <w:sz w:val="22"/>
          <w:szCs w:val="22"/>
        </w:rPr>
      </w:pPr>
      <w:r w:rsidRPr="009D5F52">
        <w:rPr>
          <w:sz w:val="22"/>
          <w:szCs w:val="22"/>
        </w:rPr>
        <w:t>Investments held primarily for financial return with no treasury management or direct service provision purpose.  Risks on such investments should be proportionate to an authority’s financial capacity – i.e., that ‘plausible losses’ could be absorbed in budgets or reserves without unmanageable detriment to local services. A</w:t>
      </w:r>
      <w:r w:rsidR="00A30D0F">
        <w:rPr>
          <w:sz w:val="22"/>
          <w:szCs w:val="22"/>
        </w:rPr>
        <w:t xml:space="preserve"> Council</w:t>
      </w:r>
      <w:r w:rsidRPr="009D5F52">
        <w:rPr>
          <w:sz w:val="22"/>
          <w:szCs w:val="22"/>
        </w:rPr>
        <w:t xml:space="preserve"> must not borrow to invest primarily for financial return.</w:t>
      </w:r>
    </w:p>
    <w:p w14:paraId="12CEF093" w14:textId="77777777" w:rsidR="001A3EB4" w:rsidRPr="00D26131" w:rsidRDefault="001A3EB4" w:rsidP="001A3EB4">
      <w:pPr>
        <w:ind w:left="567"/>
        <w:rPr>
          <w:sz w:val="22"/>
          <w:szCs w:val="22"/>
          <w:highlight w:val="yellow"/>
        </w:rPr>
      </w:pPr>
    </w:p>
    <w:p w14:paraId="27F00029" w14:textId="180FCEEB" w:rsidR="005F3903" w:rsidRDefault="005F3903" w:rsidP="005F3903">
      <w:pPr>
        <w:ind w:firstLine="567"/>
        <w:rPr>
          <w:b/>
          <w:bCs/>
          <w:sz w:val="22"/>
          <w:szCs w:val="22"/>
        </w:rPr>
      </w:pPr>
      <w:bookmarkStart w:id="2" w:name="_Toc120727204"/>
      <w:r w:rsidRPr="009D5F52">
        <w:rPr>
          <w:b/>
          <w:bCs/>
          <w:sz w:val="22"/>
          <w:szCs w:val="22"/>
        </w:rPr>
        <w:t xml:space="preserve">The revised Treasury Management Code </w:t>
      </w:r>
      <w:r w:rsidR="004F3198">
        <w:rPr>
          <w:b/>
          <w:bCs/>
          <w:sz w:val="22"/>
          <w:szCs w:val="22"/>
        </w:rPr>
        <w:t>requires</w:t>
      </w:r>
      <w:r w:rsidRPr="009D5F52">
        <w:rPr>
          <w:b/>
          <w:bCs/>
          <w:sz w:val="22"/>
          <w:szCs w:val="22"/>
        </w:rPr>
        <w:t xml:space="preserve"> an authority to implement the following: -</w:t>
      </w:r>
      <w:bookmarkEnd w:id="2"/>
    </w:p>
    <w:p w14:paraId="3D42E6AF" w14:textId="77777777" w:rsidR="002A694A" w:rsidRPr="00D26131" w:rsidRDefault="002A694A" w:rsidP="001A3EB4">
      <w:pPr>
        <w:pStyle w:val="subhead"/>
        <w:spacing w:before="0" w:after="0"/>
        <w:ind w:left="567"/>
        <w:jc w:val="left"/>
        <w:rPr>
          <w:b w:val="0"/>
          <w:bCs/>
          <w:highlight w:val="yellow"/>
        </w:rPr>
      </w:pPr>
    </w:p>
    <w:p w14:paraId="4A988D7B" w14:textId="77777777" w:rsidR="005F3903" w:rsidRPr="005F3903" w:rsidRDefault="005F3903" w:rsidP="00493D08">
      <w:pPr>
        <w:pStyle w:val="ListParagraph"/>
        <w:numPr>
          <w:ilvl w:val="0"/>
          <w:numId w:val="52"/>
        </w:numPr>
        <w:rPr>
          <w:sz w:val="22"/>
          <w:szCs w:val="22"/>
        </w:rPr>
      </w:pPr>
      <w:bookmarkStart w:id="3" w:name="_Toc120727205"/>
      <w:r w:rsidRPr="004F3198">
        <w:rPr>
          <w:b/>
          <w:bCs/>
          <w:sz w:val="22"/>
          <w:szCs w:val="22"/>
        </w:rPr>
        <w:t>Adopt a new liability benchmark treasury indicator</w:t>
      </w:r>
      <w:r w:rsidRPr="005F3903">
        <w:rPr>
          <w:sz w:val="22"/>
          <w:szCs w:val="22"/>
        </w:rPr>
        <w:t xml:space="preserve"> to support the financing risk management of the capital financing requirement; this is to be shown in chart form for a minimum of ten years, with material differences between the liability benchmark and actual loans to be explained;</w:t>
      </w:r>
      <w:bookmarkEnd w:id="3"/>
    </w:p>
    <w:p w14:paraId="59789394" w14:textId="77777777" w:rsidR="005F3903" w:rsidRPr="005F3903" w:rsidRDefault="005F3903" w:rsidP="005F3903">
      <w:pPr>
        <w:pStyle w:val="ListParagraph"/>
        <w:rPr>
          <w:sz w:val="22"/>
          <w:szCs w:val="22"/>
        </w:rPr>
      </w:pPr>
    </w:p>
    <w:p w14:paraId="01C28430" w14:textId="77777777" w:rsidR="005F3903" w:rsidRPr="005F3903" w:rsidRDefault="005F3903" w:rsidP="00493D08">
      <w:pPr>
        <w:pStyle w:val="ListParagraph"/>
        <w:numPr>
          <w:ilvl w:val="0"/>
          <w:numId w:val="52"/>
        </w:numPr>
        <w:rPr>
          <w:sz w:val="22"/>
          <w:szCs w:val="22"/>
        </w:rPr>
      </w:pPr>
      <w:bookmarkStart w:id="4" w:name="_Toc120727206"/>
      <w:r w:rsidRPr="004F3198">
        <w:rPr>
          <w:b/>
          <w:bCs/>
          <w:sz w:val="22"/>
          <w:szCs w:val="22"/>
        </w:rPr>
        <w:t>Long-term treasury investments</w:t>
      </w:r>
      <w:r w:rsidRPr="005F3903">
        <w:rPr>
          <w:sz w:val="22"/>
          <w:szCs w:val="22"/>
        </w:rPr>
        <w:t>, (including pooled funds), are to be classed as commercial investments unless justified by a cash flow business case;</w:t>
      </w:r>
      <w:bookmarkEnd w:id="4"/>
    </w:p>
    <w:p w14:paraId="1E55DCBD" w14:textId="77777777" w:rsidR="005F3903" w:rsidRPr="005F3903" w:rsidRDefault="005F3903" w:rsidP="005F3903">
      <w:pPr>
        <w:rPr>
          <w:sz w:val="22"/>
          <w:szCs w:val="22"/>
        </w:rPr>
      </w:pPr>
    </w:p>
    <w:p w14:paraId="5F01F416" w14:textId="77777777" w:rsidR="005F3903" w:rsidRPr="005F3903" w:rsidRDefault="005F3903" w:rsidP="00493D08">
      <w:pPr>
        <w:pStyle w:val="ListParagraph"/>
        <w:numPr>
          <w:ilvl w:val="0"/>
          <w:numId w:val="52"/>
        </w:numPr>
        <w:rPr>
          <w:sz w:val="22"/>
          <w:szCs w:val="22"/>
        </w:rPr>
      </w:pPr>
      <w:bookmarkStart w:id="5" w:name="_Toc120727207"/>
      <w:r w:rsidRPr="004F3198">
        <w:rPr>
          <w:b/>
          <w:bCs/>
          <w:sz w:val="22"/>
          <w:szCs w:val="22"/>
        </w:rPr>
        <w:t>Pooled funds</w:t>
      </w:r>
      <w:r w:rsidRPr="005F3903">
        <w:rPr>
          <w:sz w:val="22"/>
          <w:szCs w:val="22"/>
        </w:rPr>
        <w:t xml:space="preserve"> are to be included in the indicator for principal sums maturing in years beyond the initial budget year;</w:t>
      </w:r>
      <w:bookmarkEnd w:id="5"/>
    </w:p>
    <w:p w14:paraId="68FDCE06" w14:textId="77777777" w:rsidR="005F3903" w:rsidRPr="005F3903" w:rsidRDefault="005F3903" w:rsidP="005F3903">
      <w:pPr>
        <w:rPr>
          <w:sz w:val="22"/>
          <w:szCs w:val="22"/>
        </w:rPr>
      </w:pPr>
    </w:p>
    <w:p w14:paraId="6BD5BACE" w14:textId="77777777" w:rsidR="005F3903" w:rsidRPr="005F3903" w:rsidRDefault="005F3903" w:rsidP="00493D08">
      <w:pPr>
        <w:pStyle w:val="ListParagraph"/>
        <w:numPr>
          <w:ilvl w:val="0"/>
          <w:numId w:val="52"/>
        </w:numPr>
        <w:rPr>
          <w:sz w:val="22"/>
          <w:szCs w:val="22"/>
        </w:rPr>
      </w:pPr>
      <w:bookmarkStart w:id="6" w:name="_Toc120727208"/>
      <w:r w:rsidRPr="005F3903">
        <w:rPr>
          <w:sz w:val="22"/>
          <w:szCs w:val="22"/>
        </w:rPr>
        <w:t xml:space="preserve">Amendment to the </w:t>
      </w:r>
      <w:r w:rsidRPr="004F3198">
        <w:rPr>
          <w:b/>
          <w:bCs/>
          <w:sz w:val="22"/>
          <w:szCs w:val="22"/>
        </w:rPr>
        <w:t xml:space="preserve">knowledge and skills register </w:t>
      </w:r>
      <w:r w:rsidRPr="005F3903">
        <w:rPr>
          <w:sz w:val="22"/>
          <w:szCs w:val="22"/>
        </w:rPr>
        <w:t>for officers and members involved in the treasury management function - to be proportionate to the size and complexity of the treasury management conducted by each authority;</w:t>
      </w:r>
      <w:bookmarkEnd w:id="6"/>
      <w:r w:rsidRPr="005F3903">
        <w:rPr>
          <w:sz w:val="22"/>
          <w:szCs w:val="22"/>
        </w:rPr>
        <w:t xml:space="preserve"> </w:t>
      </w:r>
    </w:p>
    <w:p w14:paraId="016C6FFE" w14:textId="77777777" w:rsidR="005F3903" w:rsidRPr="005F3903" w:rsidRDefault="005F3903" w:rsidP="005F3903">
      <w:pPr>
        <w:rPr>
          <w:sz w:val="22"/>
          <w:szCs w:val="22"/>
        </w:rPr>
      </w:pPr>
    </w:p>
    <w:p w14:paraId="38112031" w14:textId="5D3BB6CD" w:rsidR="005F3903" w:rsidRPr="005F3903" w:rsidRDefault="005F3903" w:rsidP="00493D08">
      <w:pPr>
        <w:pStyle w:val="ListParagraph"/>
        <w:numPr>
          <w:ilvl w:val="0"/>
          <w:numId w:val="52"/>
        </w:numPr>
        <w:rPr>
          <w:sz w:val="22"/>
          <w:szCs w:val="22"/>
        </w:rPr>
      </w:pPr>
      <w:r w:rsidRPr="004F3198">
        <w:rPr>
          <w:b/>
          <w:bCs/>
          <w:sz w:val="22"/>
          <w:szCs w:val="22"/>
        </w:rPr>
        <w:t>Reporting to members is to be done quarterly</w:t>
      </w:r>
      <w:r w:rsidRPr="005F3903">
        <w:rPr>
          <w:sz w:val="22"/>
          <w:szCs w:val="22"/>
        </w:rPr>
        <w:t xml:space="preserve">.  Specifically, the </w:t>
      </w:r>
      <w:r w:rsidR="00D16EC9">
        <w:rPr>
          <w:sz w:val="22"/>
          <w:szCs w:val="22"/>
        </w:rPr>
        <w:t>Director of Finance and Procurement</w:t>
      </w:r>
      <w:r w:rsidRPr="005F3903">
        <w:rPr>
          <w:sz w:val="22"/>
          <w:szCs w:val="22"/>
        </w:rPr>
        <w:t xml:space="preserve"> is required to establish procedures to monitor and report performance against all forward-looking prudential indicators at least quarterly. The </w:t>
      </w:r>
      <w:r w:rsidR="00D16EC9">
        <w:rPr>
          <w:sz w:val="22"/>
          <w:szCs w:val="22"/>
        </w:rPr>
        <w:t>Director</w:t>
      </w:r>
      <w:r w:rsidRPr="005F3903">
        <w:rPr>
          <w:sz w:val="22"/>
          <w:szCs w:val="22"/>
        </w:rPr>
        <w:t xml:space="preserve"> is expected to establish a measurement and reporting process that highlights significant actual or forecast deviations from the approved indicators.  However, monitoring of prudential indicators, including forecast debt and investments, is not required to be taken to Full Council and should be reported as part of </w:t>
      </w:r>
      <w:r w:rsidR="00D16EC9">
        <w:rPr>
          <w:sz w:val="22"/>
          <w:szCs w:val="22"/>
        </w:rPr>
        <w:t>Council</w:t>
      </w:r>
      <w:r w:rsidRPr="005F3903">
        <w:rPr>
          <w:sz w:val="22"/>
          <w:szCs w:val="22"/>
        </w:rPr>
        <w:t>’s integrated revenue, capital and balance sheet monitoring;</w:t>
      </w:r>
    </w:p>
    <w:p w14:paraId="040CC522" w14:textId="77777777" w:rsidR="005F3903" w:rsidRPr="005F3903" w:rsidRDefault="005F3903" w:rsidP="005F3903">
      <w:pPr>
        <w:rPr>
          <w:sz w:val="22"/>
          <w:szCs w:val="22"/>
        </w:rPr>
      </w:pPr>
    </w:p>
    <w:p w14:paraId="78F3534F" w14:textId="508C5D72" w:rsidR="005F3903" w:rsidRDefault="005F3903" w:rsidP="00493D08">
      <w:pPr>
        <w:pStyle w:val="ListParagraph"/>
        <w:numPr>
          <w:ilvl w:val="0"/>
          <w:numId w:val="52"/>
        </w:numPr>
        <w:rPr>
          <w:sz w:val="22"/>
          <w:szCs w:val="22"/>
        </w:rPr>
      </w:pPr>
      <w:bookmarkStart w:id="7" w:name="_Toc120727209"/>
      <w:r w:rsidRPr="004F3198">
        <w:rPr>
          <w:b/>
          <w:bCs/>
          <w:sz w:val="22"/>
          <w:szCs w:val="22"/>
        </w:rPr>
        <w:t>Enviro</w:t>
      </w:r>
      <w:r w:rsidR="00076AC9" w:rsidRPr="004F3198">
        <w:rPr>
          <w:b/>
          <w:bCs/>
          <w:sz w:val="22"/>
          <w:szCs w:val="22"/>
        </w:rPr>
        <w:t>n</w:t>
      </w:r>
      <w:r w:rsidRPr="004F3198">
        <w:rPr>
          <w:b/>
          <w:bCs/>
          <w:sz w:val="22"/>
          <w:szCs w:val="22"/>
        </w:rPr>
        <w:t>mental, social and governance (ESG)</w:t>
      </w:r>
      <w:r w:rsidRPr="005F3903">
        <w:rPr>
          <w:sz w:val="22"/>
          <w:szCs w:val="22"/>
        </w:rPr>
        <w:t xml:space="preserve"> issues to be addressed within </w:t>
      </w:r>
      <w:r w:rsidR="00A30D0F">
        <w:rPr>
          <w:sz w:val="22"/>
          <w:szCs w:val="22"/>
        </w:rPr>
        <w:t>a Council</w:t>
      </w:r>
      <w:r w:rsidRPr="005F3903">
        <w:rPr>
          <w:sz w:val="22"/>
          <w:szCs w:val="22"/>
        </w:rPr>
        <w:t>’s treasury management policies and practices (</w:t>
      </w:r>
      <w:r w:rsidR="007C20D6">
        <w:rPr>
          <w:sz w:val="22"/>
          <w:szCs w:val="22"/>
        </w:rPr>
        <w:t>Annex D</w:t>
      </w:r>
      <w:r w:rsidRPr="005F3903">
        <w:rPr>
          <w:sz w:val="22"/>
          <w:szCs w:val="22"/>
        </w:rPr>
        <w:t>).</w:t>
      </w:r>
      <w:bookmarkEnd w:id="7"/>
      <w:r w:rsidRPr="005F3903">
        <w:rPr>
          <w:sz w:val="22"/>
          <w:szCs w:val="22"/>
        </w:rPr>
        <w:t xml:space="preserve"> </w:t>
      </w:r>
    </w:p>
    <w:p w14:paraId="29CFF31D" w14:textId="77777777" w:rsidR="005F3903" w:rsidRPr="005F3903" w:rsidRDefault="005F3903" w:rsidP="005F3903">
      <w:pPr>
        <w:rPr>
          <w:sz w:val="22"/>
          <w:szCs w:val="22"/>
        </w:rPr>
      </w:pPr>
    </w:p>
    <w:p w14:paraId="29AE6B4A" w14:textId="77777777" w:rsidR="005F3903" w:rsidRDefault="005F3903" w:rsidP="005F3903">
      <w:pPr>
        <w:ind w:left="567"/>
        <w:rPr>
          <w:b/>
          <w:bCs/>
          <w:sz w:val="22"/>
          <w:szCs w:val="22"/>
        </w:rPr>
      </w:pPr>
      <w:bookmarkStart w:id="8" w:name="_Toc120727210"/>
      <w:r w:rsidRPr="009D5F52">
        <w:rPr>
          <w:b/>
          <w:bCs/>
          <w:sz w:val="22"/>
          <w:szCs w:val="22"/>
        </w:rPr>
        <w:t>The main requirements of the Prudential Code relating to service and commercial investments are: -</w:t>
      </w:r>
      <w:bookmarkEnd w:id="8"/>
      <w:r w:rsidRPr="009D5F52">
        <w:rPr>
          <w:b/>
          <w:bCs/>
          <w:sz w:val="22"/>
          <w:szCs w:val="22"/>
        </w:rPr>
        <w:t xml:space="preserve"> </w:t>
      </w:r>
    </w:p>
    <w:p w14:paraId="2356C1DD" w14:textId="77777777" w:rsidR="005F3903" w:rsidRDefault="005F3903" w:rsidP="005F3903">
      <w:pPr>
        <w:ind w:left="567"/>
        <w:rPr>
          <w:b/>
          <w:bCs/>
          <w:sz w:val="22"/>
          <w:szCs w:val="22"/>
        </w:rPr>
      </w:pPr>
    </w:p>
    <w:p w14:paraId="5257F5CE" w14:textId="77777777" w:rsidR="00F96795" w:rsidRPr="00F96795" w:rsidRDefault="00F96795" w:rsidP="00493D08">
      <w:pPr>
        <w:pStyle w:val="ListParagraph"/>
        <w:numPr>
          <w:ilvl w:val="0"/>
          <w:numId w:val="53"/>
        </w:numPr>
        <w:rPr>
          <w:sz w:val="22"/>
          <w:szCs w:val="22"/>
        </w:rPr>
      </w:pPr>
      <w:bookmarkStart w:id="9" w:name="_Toc120727211"/>
      <w:r w:rsidRPr="00F96795">
        <w:rPr>
          <w:sz w:val="22"/>
          <w:szCs w:val="22"/>
        </w:rPr>
        <w:t>The risks associated with service and commercial investments should be proportionate to their financial capacity – i.e. that plausible losses could be absorbed in budgets or reserves without unmanageable detriment to local services;</w:t>
      </w:r>
      <w:bookmarkEnd w:id="9"/>
    </w:p>
    <w:p w14:paraId="137DB45C" w14:textId="77777777" w:rsidR="00F96795" w:rsidRPr="00F96795" w:rsidRDefault="00F96795" w:rsidP="00F96795">
      <w:pPr>
        <w:pStyle w:val="ListParagraph"/>
        <w:rPr>
          <w:sz w:val="22"/>
          <w:szCs w:val="22"/>
        </w:rPr>
      </w:pPr>
    </w:p>
    <w:p w14:paraId="587CDCB3" w14:textId="77777777" w:rsidR="00F96795" w:rsidRDefault="00F96795" w:rsidP="00493D08">
      <w:pPr>
        <w:pStyle w:val="ListParagraph"/>
        <w:numPr>
          <w:ilvl w:val="0"/>
          <w:numId w:val="53"/>
        </w:numPr>
        <w:rPr>
          <w:sz w:val="22"/>
          <w:szCs w:val="22"/>
        </w:rPr>
      </w:pPr>
      <w:bookmarkStart w:id="10" w:name="_Toc120727212"/>
      <w:r w:rsidRPr="00F96795">
        <w:rPr>
          <w:sz w:val="22"/>
          <w:szCs w:val="22"/>
        </w:rPr>
        <w:t>An authority must not borrow to invest for the primary purpose of commercial return;</w:t>
      </w:r>
      <w:bookmarkEnd w:id="10"/>
    </w:p>
    <w:p w14:paraId="2C02A457" w14:textId="77777777" w:rsidR="009D275E" w:rsidRPr="009D275E" w:rsidRDefault="009D275E" w:rsidP="009D275E">
      <w:pPr>
        <w:pStyle w:val="ListParagraph"/>
        <w:rPr>
          <w:sz w:val="22"/>
          <w:szCs w:val="22"/>
        </w:rPr>
      </w:pPr>
    </w:p>
    <w:p w14:paraId="2C1DC596" w14:textId="77777777" w:rsidR="00F96795" w:rsidRDefault="00F96795" w:rsidP="00493D08">
      <w:pPr>
        <w:pStyle w:val="ListParagraph"/>
        <w:numPr>
          <w:ilvl w:val="0"/>
          <w:numId w:val="53"/>
        </w:numPr>
        <w:rPr>
          <w:sz w:val="22"/>
          <w:szCs w:val="22"/>
        </w:rPr>
      </w:pPr>
      <w:bookmarkStart w:id="11" w:name="_Toc120727213"/>
      <w:bookmarkStart w:id="12" w:name="_Hlk157098155"/>
      <w:r w:rsidRPr="00F96795">
        <w:rPr>
          <w:sz w:val="22"/>
          <w:szCs w:val="22"/>
        </w:rPr>
        <w:t>It is not prudent for local authorities to make any investment or spending decision that will increase the CFR, and so may lead to new borrowing, unless directly and primarily related to the functions of the authority, and where any commercial returns are either related to the financial viability of the project in question or otherwise incidental to the primary purpose;</w:t>
      </w:r>
      <w:bookmarkEnd w:id="11"/>
    </w:p>
    <w:p w14:paraId="2F64CCFE" w14:textId="77777777" w:rsidR="009D275E" w:rsidRDefault="009D275E" w:rsidP="009D275E">
      <w:pPr>
        <w:rPr>
          <w:sz w:val="22"/>
          <w:szCs w:val="22"/>
        </w:rPr>
      </w:pPr>
    </w:p>
    <w:p w14:paraId="789F26FA" w14:textId="77777777" w:rsidR="009D275E" w:rsidRPr="009D275E" w:rsidRDefault="009D275E" w:rsidP="009D275E">
      <w:pPr>
        <w:rPr>
          <w:sz w:val="22"/>
          <w:szCs w:val="22"/>
        </w:rPr>
      </w:pPr>
    </w:p>
    <w:p w14:paraId="07C2AACA" w14:textId="77777777" w:rsidR="009D275E" w:rsidRDefault="009D275E" w:rsidP="009D275E">
      <w:pPr>
        <w:pStyle w:val="ListParagraph"/>
        <w:rPr>
          <w:sz w:val="22"/>
          <w:szCs w:val="22"/>
        </w:rPr>
      </w:pPr>
    </w:p>
    <w:p w14:paraId="20E534B3" w14:textId="77777777" w:rsidR="009D275E" w:rsidRDefault="009D275E" w:rsidP="009D275E">
      <w:pPr>
        <w:pStyle w:val="ListParagraph"/>
        <w:rPr>
          <w:sz w:val="22"/>
          <w:szCs w:val="22"/>
        </w:rPr>
      </w:pPr>
    </w:p>
    <w:p w14:paraId="028CF965" w14:textId="77777777" w:rsidR="009D275E" w:rsidRPr="009D275E" w:rsidRDefault="009D275E" w:rsidP="009D275E">
      <w:pPr>
        <w:pStyle w:val="ListParagraph"/>
        <w:rPr>
          <w:sz w:val="22"/>
          <w:szCs w:val="22"/>
        </w:rPr>
      </w:pPr>
    </w:p>
    <w:p w14:paraId="63882C14" w14:textId="77777777" w:rsidR="009D275E" w:rsidRPr="009D275E" w:rsidRDefault="009D275E" w:rsidP="009D275E">
      <w:pPr>
        <w:rPr>
          <w:sz w:val="22"/>
          <w:szCs w:val="22"/>
        </w:rPr>
      </w:pPr>
    </w:p>
    <w:bookmarkEnd w:id="12"/>
    <w:p w14:paraId="0D31C4BE" w14:textId="77777777" w:rsidR="00F96795" w:rsidRPr="00F96795" w:rsidRDefault="00F96795" w:rsidP="00F96795">
      <w:pPr>
        <w:rPr>
          <w:sz w:val="22"/>
          <w:szCs w:val="22"/>
        </w:rPr>
      </w:pPr>
    </w:p>
    <w:p w14:paraId="495557CF" w14:textId="77777777" w:rsidR="00F96795" w:rsidRDefault="00F96795" w:rsidP="00493D08">
      <w:pPr>
        <w:pStyle w:val="ListParagraph"/>
        <w:numPr>
          <w:ilvl w:val="0"/>
          <w:numId w:val="53"/>
        </w:numPr>
        <w:rPr>
          <w:sz w:val="22"/>
          <w:szCs w:val="22"/>
        </w:rPr>
      </w:pPr>
      <w:r w:rsidRPr="00F96795">
        <w:rPr>
          <w:sz w:val="22"/>
          <w:szCs w:val="22"/>
        </w:rPr>
        <w:t>An annual review should be conducted to evaluate whether commercial investments should be sold to release funds to finance new capital expenditure or refinance maturing debt;</w:t>
      </w:r>
    </w:p>
    <w:p w14:paraId="61D7514F" w14:textId="77777777" w:rsidR="004F3198" w:rsidRPr="004F3198" w:rsidRDefault="004F3198" w:rsidP="004F3198">
      <w:pPr>
        <w:pStyle w:val="ListParagraph"/>
        <w:rPr>
          <w:sz w:val="22"/>
          <w:szCs w:val="22"/>
        </w:rPr>
      </w:pPr>
    </w:p>
    <w:p w14:paraId="79B3D60E" w14:textId="77777777" w:rsidR="00F96795" w:rsidRPr="00F96795" w:rsidRDefault="00F96795" w:rsidP="00493D08">
      <w:pPr>
        <w:pStyle w:val="ListParagraph"/>
        <w:numPr>
          <w:ilvl w:val="0"/>
          <w:numId w:val="53"/>
        </w:numPr>
        <w:rPr>
          <w:sz w:val="22"/>
          <w:szCs w:val="22"/>
        </w:rPr>
      </w:pPr>
      <w:bookmarkStart w:id="13" w:name="_Toc120727214"/>
      <w:r w:rsidRPr="00F96795">
        <w:rPr>
          <w:sz w:val="22"/>
          <w:szCs w:val="22"/>
        </w:rPr>
        <w:t>A prudential indicator is required for the net income from commercial and service investments as a proportion of the net revenue stream;</w:t>
      </w:r>
      <w:bookmarkEnd w:id="13"/>
    </w:p>
    <w:p w14:paraId="0327C695" w14:textId="77777777" w:rsidR="00F96795" w:rsidRPr="009D5F52" w:rsidRDefault="00F96795" w:rsidP="00F96795">
      <w:pPr>
        <w:rPr>
          <w:rFonts w:cs="Arial"/>
        </w:rPr>
      </w:pPr>
    </w:p>
    <w:p w14:paraId="27FA0065" w14:textId="77777777" w:rsidR="00F96795" w:rsidRDefault="00F96795" w:rsidP="00493D08">
      <w:pPr>
        <w:pStyle w:val="ListParagraph"/>
        <w:numPr>
          <w:ilvl w:val="0"/>
          <w:numId w:val="53"/>
        </w:numPr>
        <w:rPr>
          <w:sz w:val="22"/>
          <w:szCs w:val="22"/>
        </w:rPr>
      </w:pPr>
      <w:bookmarkStart w:id="14" w:name="_Toc120727215"/>
      <w:r w:rsidRPr="00F96795">
        <w:rPr>
          <w:sz w:val="22"/>
          <w:szCs w:val="22"/>
        </w:rPr>
        <w:t>Create new Investment Management Practices to manage risks associated with non-treasury investments, (similar to the current Treasury Management Practices).</w:t>
      </w:r>
      <w:bookmarkEnd w:id="14"/>
    </w:p>
    <w:p w14:paraId="3CEDFA5C" w14:textId="77777777" w:rsidR="00F96795" w:rsidRPr="00F96795" w:rsidRDefault="00F96795" w:rsidP="00F96795">
      <w:pPr>
        <w:pStyle w:val="ListParagraph"/>
        <w:rPr>
          <w:sz w:val="22"/>
          <w:szCs w:val="22"/>
        </w:rPr>
      </w:pPr>
    </w:p>
    <w:p w14:paraId="10AA79D6" w14:textId="77777777" w:rsidR="00F96795" w:rsidRDefault="00F96795" w:rsidP="00F96795">
      <w:pPr>
        <w:ind w:firstLine="567"/>
        <w:rPr>
          <w:b/>
          <w:bCs/>
          <w:sz w:val="22"/>
          <w:szCs w:val="22"/>
        </w:rPr>
      </w:pPr>
      <w:bookmarkStart w:id="15" w:name="_Toc120727216"/>
      <w:r w:rsidRPr="009D5F52">
        <w:rPr>
          <w:b/>
          <w:bCs/>
          <w:sz w:val="22"/>
          <w:szCs w:val="22"/>
        </w:rPr>
        <w:t>An authority’s Capital Strategy or Annual Investment Strategy should include: -</w:t>
      </w:r>
      <w:bookmarkEnd w:id="15"/>
    </w:p>
    <w:p w14:paraId="7710B51F" w14:textId="77777777" w:rsidR="00F96795" w:rsidRPr="009D5F52" w:rsidRDefault="00F96795" w:rsidP="00F96795">
      <w:pPr>
        <w:ind w:firstLine="567"/>
        <w:rPr>
          <w:b/>
          <w:bCs/>
          <w:sz w:val="22"/>
          <w:szCs w:val="22"/>
        </w:rPr>
      </w:pPr>
    </w:p>
    <w:p w14:paraId="570150CF" w14:textId="77777777" w:rsidR="00F96795" w:rsidRPr="00F96795" w:rsidRDefault="00F96795" w:rsidP="00493D08">
      <w:pPr>
        <w:pStyle w:val="ListParagraph"/>
        <w:numPr>
          <w:ilvl w:val="0"/>
          <w:numId w:val="54"/>
        </w:numPr>
        <w:rPr>
          <w:sz w:val="22"/>
          <w:szCs w:val="22"/>
        </w:rPr>
      </w:pPr>
      <w:bookmarkStart w:id="16" w:name="_Toc120727217"/>
      <w:r w:rsidRPr="00F96795">
        <w:rPr>
          <w:sz w:val="22"/>
          <w:szCs w:val="22"/>
        </w:rPr>
        <w:t>The authority’s approach to investments for service or commercial purposes (together referred to as non-treasury investments), including defining the authority’s objectives, risk appetite and risk management in respect of these investments, and processes ensuring effective due diligence;</w:t>
      </w:r>
      <w:bookmarkEnd w:id="16"/>
      <w:r w:rsidRPr="00F96795">
        <w:rPr>
          <w:sz w:val="22"/>
          <w:szCs w:val="22"/>
        </w:rPr>
        <w:t xml:space="preserve"> </w:t>
      </w:r>
    </w:p>
    <w:p w14:paraId="6885FA6D" w14:textId="77777777" w:rsidR="00F96795" w:rsidRPr="00F96795" w:rsidRDefault="00F96795" w:rsidP="00F96795">
      <w:pPr>
        <w:pStyle w:val="ListParagraph"/>
        <w:rPr>
          <w:sz w:val="22"/>
          <w:szCs w:val="22"/>
        </w:rPr>
      </w:pPr>
    </w:p>
    <w:p w14:paraId="76E510A5" w14:textId="77777777" w:rsidR="00F96795" w:rsidRPr="00F96795" w:rsidRDefault="00F96795" w:rsidP="00493D08">
      <w:pPr>
        <w:pStyle w:val="ListParagraph"/>
        <w:numPr>
          <w:ilvl w:val="0"/>
          <w:numId w:val="54"/>
        </w:numPr>
        <w:rPr>
          <w:sz w:val="22"/>
          <w:szCs w:val="22"/>
        </w:rPr>
      </w:pPr>
      <w:bookmarkStart w:id="17" w:name="_Toc120727218"/>
      <w:r w:rsidRPr="00F96795">
        <w:rPr>
          <w:sz w:val="22"/>
          <w:szCs w:val="22"/>
        </w:rPr>
        <w:t>An assessment of affordability, prudence and proportionality in respect of the authority’s overall financial capacity (i.e. whether plausible losses could be absorbed in budgets or reserves without unmanageable detriment to local services);</w:t>
      </w:r>
      <w:bookmarkEnd w:id="17"/>
    </w:p>
    <w:p w14:paraId="4CBC7D1B" w14:textId="77777777" w:rsidR="00F96795" w:rsidRPr="00F96795" w:rsidRDefault="00F96795" w:rsidP="00F96795">
      <w:pPr>
        <w:rPr>
          <w:sz w:val="22"/>
          <w:szCs w:val="22"/>
        </w:rPr>
      </w:pPr>
    </w:p>
    <w:p w14:paraId="761855B0" w14:textId="77777777" w:rsidR="00F96795" w:rsidRPr="00F96795" w:rsidRDefault="00F96795" w:rsidP="00493D08">
      <w:pPr>
        <w:pStyle w:val="ListParagraph"/>
        <w:numPr>
          <w:ilvl w:val="0"/>
          <w:numId w:val="54"/>
        </w:numPr>
        <w:rPr>
          <w:sz w:val="22"/>
          <w:szCs w:val="22"/>
        </w:rPr>
      </w:pPr>
      <w:bookmarkStart w:id="18" w:name="_Toc120727219"/>
      <w:r w:rsidRPr="00F96795">
        <w:rPr>
          <w:sz w:val="22"/>
          <w:szCs w:val="22"/>
        </w:rPr>
        <w:t>Details of financial and other risks of undertaking investments for service or commercial purposes and how these are managed;</w:t>
      </w:r>
      <w:bookmarkEnd w:id="18"/>
      <w:r w:rsidRPr="00F96795">
        <w:rPr>
          <w:sz w:val="22"/>
          <w:szCs w:val="22"/>
        </w:rPr>
        <w:t xml:space="preserve"> </w:t>
      </w:r>
    </w:p>
    <w:p w14:paraId="1E9C3BD2" w14:textId="77777777" w:rsidR="00F96795" w:rsidRPr="00F96795" w:rsidRDefault="00F96795" w:rsidP="00F96795">
      <w:pPr>
        <w:rPr>
          <w:sz w:val="22"/>
          <w:szCs w:val="22"/>
        </w:rPr>
      </w:pPr>
    </w:p>
    <w:p w14:paraId="6AAFBCEE" w14:textId="77777777" w:rsidR="00F96795" w:rsidRPr="00F96795" w:rsidRDefault="00F96795" w:rsidP="00493D08">
      <w:pPr>
        <w:pStyle w:val="ListParagraph"/>
        <w:numPr>
          <w:ilvl w:val="0"/>
          <w:numId w:val="54"/>
        </w:numPr>
        <w:rPr>
          <w:sz w:val="22"/>
          <w:szCs w:val="22"/>
        </w:rPr>
      </w:pPr>
      <w:bookmarkStart w:id="19" w:name="_Toc120727220"/>
      <w:r w:rsidRPr="00F96795">
        <w:rPr>
          <w:sz w:val="22"/>
          <w:szCs w:val="22"/>
        </w:rPr>
        <w:t>Limits on total investments for service purposes and for commercial purposes respectively (consistent with any limits required by other statutory guidance on investments);</w:t>
      </w:r>
      <w:bookmarkEnd w:id="19"/>
    </w:p>
    <w:p w14:paraId="72EFE7E6" w14:textId="77777777" w:rsidR="00F96795" w:rsidRPr="00F96795" w:rsidRDefault="00F96795" w:rsidP="00F96795">
      <w:pPr>
        <w:rPr>
          <w:sz w:val="22"/>
          <w:szCs w:val="22"/>
        </w:rPr>
      </w:pPr>
    </w:p>
    <w:p w14:paraId="78A062E7" w14:textId="77777777" w:rsidR="00F96795" w:rsidRPr="00F96795" w:rsidRDefault="00F96795" w:rsidP="00493D08">
      <w:pPr>
        <w:pStyle w:val="ListParagraph"/>
        <w:numPr>
          <w:ilvl w:val="0"/>
          <w:numId w:val="54"/>
        </w:numPr>
        <w:rPr>
          <w:sz w:val="22"/>
          <w:szCs w:val="22"/>
        </w:rPr>
      </w:pPr>
      <w:bookmarkStart w:id="20" w:name="_Toc120727221"/>
      <w:r w:rsidRPr="00F96795">
        <w:rPr>
          <w:sz w:val="22"/>
          <w:szCs w:val="22"/>
        </w:rPr>
        <w:t>Requirements for independent and expert advice and scrutiny arrangements (while business cases may provide some of this material, the information contained in them will need to be periodically re-evaluated to inform the authority’s overall strategy);</w:t>
      </w:r>
      <w:bookmarkEnd w:id="20"/>
    </w:p>
    <w:p w14:paraId="3BFF3DF7" w14:textId="77777777" w:rsidR="00F96795" w:rsidRPr="00F96795" w:rsidRDefault="00F96795" w:rsidP="00F96795">
      <w:pPr>
        <w:rPr>
          <w:sz w:val="22"/>
          <w:szCs w:val="22"/>
        </w:rPr>
      </w:pPr>
    </w:p>
    <w:p w14:paraId="49F904EC" w14:textId="77777777" w:rsidR="00F96795" w:rsidRPr="00F96795" w:rsidRDefault="00F96795" w:rsidP="00493D08">
      <w:pPr>
        <w:pStyle w:val="ListParagraph"/>
        <w:numPr>
          <w:ilvl w:val="0"/>
          <w:numId w:val="54"/>
        </w:numPr>
        <w:rPr>
          <w:sz w:val="22"/>
          <w:szCs w:val="22"/>
        </w:rPr>
      </w:pPr>
      <w:bookmarkStart w:id="21" w:name="_Toc120727222"/>
      <w:r w:rsidRPr="00F96795">
        <w:rPr>
          <w:sz w:val="22"/>
          <w:szCs w:val="22"/>
        </w:rPr>
        <w:t>State compliance with paragraph 51 of the Prudential Code in relation to investments for commercial purposes, in particular the requirement that an authority must not borrow to invest primarily for financial return</w:t>
      </w:r>
      <w:bookmarkEnd w:id="21"/>
      <w:r>
        <w:rPr>
          <w:sz w:val="22"/>
          <w:szCs w:val="22"/>
        </w:rPr>
        <w:t>.</w:t>
      </w:r>
    </w:p>
    <w:p w14:paraId="713EA38E" w14:textId="77777777" w:rsidR="00F96795" w:rsidRPr="00F96795" w:rsidRDefault="00F96795" w:rsidP="00F96795">
      <w:pPr>
        <w:ind w:left="567"/>
        <w:rPr>
          <w:sz w:val="22"/>
          <w:szCs w:val="22"/>
        </w:rPr>
      </w:pPr>
    </w:p>
    <w:p w14:paraId="0B1565EA" w14:textId="77777777" w:rsidR="004E7ECD" w:rsidRPr="00F96795" w:rsidRDefault="004E7ECD" w:rsidP="004E7ECD">
      <w:pPr>
        <w:numPr>
          <w:ilvl w:val="1"/>
          <w:numId w:val="9"/>
        </w:numPr>
        <w:tabs>
          <w:tab w:val="num" w:pos="720"/>
        </w:tabs>
        <w:rPr>
          <w:rFonts w:ascii="Calibri" w:hAnsi="Calibri" w:cs="Arial"/>
          <w:b/>
          <w:noProof/>
          <w:sz w:val="22"/>
          <w:szCs w:val="22"/>
        </w:rPr>
      </w:pPr>
      <w:r w:rsidRPr="00F96795">
        <w:rPr>
          <w:rFonts w:cs="Arial"/>
          <w:b/>
          <w:color w:val="993366"/>
          <w:sz w:val="22"/>
          <w:szCs w:val="22"/>
        </w:rPr>
        <w:t xml:space="preserve">International Financial Reporting Standard (IFRS) 16 </w:t>
      </w:r>
      <w:r w:rsidR="00754D1B" w:rsidRPr="00F96795">
        <w:rPr>
          <w:rFonts w:cs="Arial"/>
          <w:b/>
          <w:color w:val="993366"/>
          <w:sz w:val="22"/>
          <w:szCs w:val="22"/>
        </w:rPr>
        <w:t>–</w:t>
      </w:r>
      <w:r w:rsidRPr="00F96795">
        <w:rPr>
          <w:rFonts w:cs="Arial"/>
          <w:b/>
          <w:color w:val="993366"/>
          <w:sz w:val="22"/>
          <w:szCs w:val="22"/>
        </w:rPr>
        <w:t xml:space="preserve"> Leasing</w:t>
      </w:r>
    </w:p>
    <w:p w14:paraId="4EF38811" w14:textId="77777777" w:rsidR="004E7ECD" w:rsidRPr="00D26131" w:rsidRDefault="004E7ECD" w:rsidP="004E7ECD">
      <w:pPr>
        <w:tabs>
          <w:tab w:val="num" w:pos="720"/>
        </w:tabs>
        <w:rPr>
          <w:b/>
          <w:noProof/>
          <w:color w:val="993366"/>
          <w:sz w:val="28"/>
          <w:szCs w:val="28"/>
          <w:highlight w:val="yellow"/>
        </w:rPr>
      </w:pPr>
    </w:p>
    <w:p w14:paraId="6F462E02" w14:textId="02D5EF11" w:rsidR="004F3198" w:rsidRDefault="00F96795" w:rsidP="00AD34C5">
      <w:pPr>
        <w:ind w:left="539"/>
        <w:rPr>
          <w:sz w:val="22"/>
          <w:szCs w:val="22"/>
        </w:rPr>
      </w:pPr>
      <w:r w:rsidRPr="003B1E34">
        <w:rPr>
          <w:sz w:val="22"/>
          <w:szCs w:val="22"/>
        </w:rPr>
        <w:t xml:space="preserve">The CIPFA LAASAC Local Authority Accounting Code Board deferred implementation of IFRS16 until </w:t>
      </w:r>
      <w:r w:rsidR="004F3198" w:rsidRPr="003B1E34">
        <w:rPr>
          <w:sz w:val="22"/>
          <w:szCs w:val="22"/>
        </w:rPr>
        <w:t>1</w:t>
      </w:r>
      <w:r w:rsidR="004F3198" w:rsidRPr="003B1E34">
        <w:rPr>
          <w:sz w:val="22"/>
          <w:szCs w:val="22"/>
          <w:vertAlign w:val="superscript"/>
        </w:rPr>
        <w:t>st</w:t>
      </w:r>
      <w:r w:rsidR="004F3198" w:rsidRPr="003B1E34">
        <w:rPr>
          <w:sz w:val="22"/>
          <w:szCs w:val="22"/>
        </w:rPr>
        <w:t xml:space="preserve"> April 2024</w:t>
      </w:r>
      <w:r w:rsidRPr="003B1E34">
        <w:rPr>
          <w:sz w:val="22"/>
          <w:szCs w:val="22"/>
        </w:rPr>
        <w:t xml:space="preserve">, the 2024/25 financial year.  </w:t>
      </w:r>
      <w:r w:rsidR="004E7ECD" w:rsidRPr="003B1E34">
        <w:rPr>
          <w:sz w:val="22"/>
          <w:szCs w:val="22"/>
        </w:rPr>
        <w:t xml:space="preserve">From </w:t>
      </w:r>
      <w:r w:rsidRPr="003B1E34">
        <w:rPr>
          <w:sz w:val="22"/>
          <w:szCs w:val="22"/>
        </w:rPr>
        <w:t>this date</w:t>
      </w:r>
      <w:r w:rsidR="004E7ECD" w:rsidRPr="003B1E34">
        <w:rPr>
          <w:sz w:val="22"/>
          <w:szCs w:val="22"/>
        </w:rPr>
        <w:t xml:space="preserve">, </w:t>
      </w:r>
      <w:r w:rsidR="00D52976" w:rsidRPr="003B1E34">
        <w:rPr>
          <w:sz w:val="22"/>
          <w:szCs w:val="22"/>
        </w:rPr>
        <w:t xml:space="preserve">most </w:t>
      </w:r>
      <w:r w:rsidR="004E7ECD" w:rsidRPr="003B1E34">
        <w:rPr>
          <w:sz w:val="22"/>
          <w:szCs w:val="22"/>
        </w:rPr>
        <w:t xml:space="preserve">leases which were previously </w:t>
      </w:r>
      <w:proofErr w:type="gramStart"/>
      <w:r w:rsidR="004E7ECD" w:rsidRPr="003B1E34">
        <w:rPr>
          <w:sz w:val="22"/>
          <w:szCs w:val="22"/>
        </w:rPr>
        <w:t>off balance</w:t>
      </w:r>
      <w:proofErr w:type="gramEnd"/>
      <w:r w:rsidR="004E7ECD" w:rsidRPr="003B1E34">
        <w:rPr>
          <w:sz w:val="22"/>
          <w:szCs w:val="22"/>
        </w:rPr>
        <w:t xml:space="preserve"> sheet</w:t>
      </w:r>
      <w:r w:rsidR="00AD34C5">
        <w:rPr>
          <w:sz w:val="22"/>
          <w:szCs w:val="22"/>
        </w:rPr>
        <w:t xml:space="preserve"> and funded via revenue, </w:t>
      </w:r>
      <w:r w:rsidR="004E7ECD" w:rsidRPr="003B1E34">
        <w:rPr>
          <w:sz w:val="22"/>
          <w:szCs w:val="22"/>
        </w:rPr>
        <w:t>will now be included</w:t>
      </w:r>
      <w:r w:rsidR="00D52976" w:rsidRPr="003B1E34">
        <w:rPr>
          <w:sz w:val="22"/>
          <w:szCs w:val="22"/>
        </w:rPr>
        <w:t xml:space="preserve"> as</w:t>
      </w:r>
      <w:r w:rsidR="004E7ECD" w:rsidRPr="003B1E34">
        <w:rPr>
          <w:sz w:val="22"/>
          <w:szCs w:val="22"/>
        </w:rPr>
        <w:t xml:space="preserve"> part of the other long term liabilit</w:t>
      </w:r>
      <w:r w:rsidR="00D52976" w:rsidRPr="003B1E34">
        <w:rPr>
          <w:sz w:val="22"/>
          <w:szCs w:val="22"/>
        </w:rPr>
        <w:t>ies</w:t>
      </w:r>
      <w:r w:rsidR="004E7ECD" w:rsidRPr="003B1E34">
        <w:rPr>
          <w:sz w:val="22"/>
          <w:szCs w:val="22"/>
        </w:rPr>
        <w:t xml:space="preserve">.  </w:t>
      </w:r>
      <w:r w:rsidR="00F746CF">
        <w:rPr>
          <w:sz w:val="22"/>
          <w:szCs w:val="22"/>
        </w:rPr>
        <w:t xml:space="preserve">The full impact of this change </w:t>
      </w:r>
      <w:r w:rsidR="0015458F">
        <w:rPr>
          <w:sz w:val="22"/>
          <w:szCs w:val="22"/>
        </w:rPr>
        <w:t>will be</w:t>
      </w:r>
      <w:r w:rsidR="005601D1">
        <w:rPr>
          <w:sz w:val="22"/>
          <w:szCs w:val="22"/>
        </w:rPr>
        <w:t xml:space="preserve"> reflected in the </w:t>
      </w:r>
      <w:r w:rsidR="00FA03D5">
        <w:rPr>
          <w:sz w:val="22"/>
          <w:szCs w:val="22"/>
        </w:rPr>
        <w:t>Financial</w:t>
      </w:r>
      <w:r w:rsidR="005601D1">
        <w:rPr>
          <w:sz w:val="22"/>
          <w:szCs w:val="22"/>
        </w:rPr>
        <w:t xml:space="preserve"> Statements </w:t>
      </w:r>
      <w:r w:rsidR="00FA03D5">
        <w:rPr>
          <w:sz w:val="22"/>
          <w:szCs w:val="22"/>
        </w:rPr>
        <w:t xml:space="preserve">for the year </w:t>
      </w:r>
      <w:r w:rsidR="005601D1">
        <w:rPr>
          <w:sz w:val="22"/>
          <w:szCs w:val="22"/>
        </w:rPr>
        <w:t>to 31 March 2025</w:t>
      </w:r>
      <w:r w:rsidR="00FA03D5">
        <w:rPr>
          <w:sz w:val="22"/>
          <w:szCs w:val="22"/>
        </w:rPr>
        <w:t xml:space="preserve"> and </w:t>
      </w:r>
      <w:r w:rsidR="00007DB2">
        <w:rPr>
          <w:sz w:val="22"/>
          <w:szCs w:val="22"/>
        </w:rPr>
        <w:t>the</w:t>
      </w:r>
      <w:r w:rsidR="00272FF9">
        <w:rPr>
          <w:sz w:val="22"/>
          <w:szCs w:val="22"/>
        </w:rPr>
        <w:t xml:space="preserve"> Prudential and Treasury</w:t>
      </w:r>
      <w:r w:rsidR="00007DB2">
        <w:rPr>
          <w:sz w:val="22"/>
          <w:szCs w:val="22"/>
        </w:rPr>
        <w:t xml:space="preserve"> </w:t>
      </w:r>
      <w:r w:rsidR="00272FF9">
        <w:rPr>
          <w:sz w:val="22"/>
          <w:szCs w:val="22"/>
        </w:rPr>
        <w:t>I</w:t>
      </w:r>
      <w:r w:rsidR="00007DB2">
        <w:rPr>
          <w:sz w:val="22"/>
          <w:szCs w:val="22"/>
        </w:rPr>
        <w:t>ndicators</w:t>
      </w:r>
      <w:r w:rsidR="004E56BF">
        <w:rPr>
          <w:sz w:val="22"/>
          <w:szCs w:val="22"/>
        </w:rPr>
        <w:t xml:space="preserve"> in the Treasury Mana</w:t>
      </w:r>
      <w:r w:rsidR="00A44C50">
        <w:rPr>
          <w:sz w:val="22"/>
          <w:szCs w:val="22"/>
        </w:rPr>
        <w:t>gement Strategy Statement for 2025/2026</w:t>
      </w:r>
      <w:r w:rsidR="004C2D6C">
        <w:rPr>
          <w:sz w:val="22"/>
          <w:szCs w:val="22"/>
        </w:rPr>
        <w:t xml:space="preserve"> onwards</w:t>
      </w:r>
      <w:r w:rsidR="005B7B69">
        <w:rPr>
          <w:sz w:val="22"/>
          <w:szCs w:val="22"/>
        </w:rPr>
        <w:t>.</w:t>
      </w:r>
    </w:p>
    <w:p w14:paraId="660A30E7" w14:textId="77777777" w:rsidR="004F3198" w:rsidRDefault="004F3198" w:rsidP="004F3198">
      <w:pPr>
        <w:ind w:left="539"/>
        <w:rPr>
          <w:sz w:val="22"/>
          <w:szCs w:val="22"/>
        </w:rPr>
      </w:pPr>
    </w:p>
    <w:p w14:paraId="27C4999C" w14:textId="77777777" w:rsidR="0022193B" w:rsidRPr="0022193B" w:rsidRDefault="0022193B" w:rsidP="0022193B">
      <w:pPr>
        <w:ind w:left="539"/>
        <w:rPr>
          <w:bCs/>
          <w:sz w:val="22"/>
          <w:szCs w:val="22"/>
          <w:lang w:val="en-US"/>
        </w:rPr>
      </w:pPr>
    </w:p>
    <w:p w14:paraId="0534CF76" w14:textId="77777777" w:rsidR="004F3198" w:rsidRDefault="004F3198" w:rsidP="004F3198">
      <w:pPr>
        <w:ind w:left="539"/>
        <w:rPr>
          <w:sz w:val="22"/>
          <w:szCs w:val="22"/>
        </w:rPr>
      </w:pPr>
    </w:p>
    <w:p w14:paraId="794741AD" w14:textId="77777777" w:rsidR="004F3198" w:rsidRDefault="004F3198" w:rsidP="004F3198">
      <w:pPr>
        <w:ind w:left="539"/>
        <w:rPr>
          <w:sz w:val="22"/>
          <w:szCs w:val="22"/>
        </w:rPr>
      </w:pPr>
    </w:p>
    <w:p w14:paraId="10FCB5BC" w14:textId="77777777" w:rsidR="004F3198" w:rsidRDefault="004F3198" w:rsidP="004F3198">
      <w:pPr>
        <w:ind w:left="539"/>
        <w:rPr>
          <w:sz w:val="22"/>
          <w:szCs w:val="22"/>
        </w:rPr>
      </w:pPr>
    </w:p>
    <w:p w14:paraId="6FB7C7A5" w14:textId="380BCB4D" w:rsidR="00056C7F" w:rsidRDefault="004E7ECD" w:rsidP="004F3198">
      <w:pPr>
        <w:ind w:left="539"/>
        <w:rPr>
          <w:rFonts w:cs="Arial"/>
          <w:b/>
          <w:noProof/>
          <w:color w:val="993366"/>
          <w:sz w:val="22"/>
          <w:szCs w:val="22"/>
          <w:highlight w:val="yellow"/>
        </w:rPr>
      </w:pPr>
      <w:r w:rsidRPr="00F96795">
        <w:rPr>
          <w:sz w:val="22"/>
          <w:szCs w:val="22"/>
        </w:rPr>
        <w:t>.</w:t>
      </w:r>
      <w:r w:rsidR="00056C7F" w:rsidRPr="00D26131">
        <w:rPr>
          <w:rFonts w:cs="Arial"/>
          <w:b/>
          <w:noProof/>
          <w:color w:val="993366"/>
          <w:sz w:val="22"/>
          <w:szCs w:val="22"/>
          <w:highlight w:val="yellow"/>
        </w:rPr>
        <w:br w:type="page"/>
      </w:r>
    </w:p>
    <w:p w14:paraId="263C172C" w14:textId="77777777" w:rsidR="00D2436D" w:rsidRPr="00D26131" w:rsidRDefault="00D2436D" w:rsidP="004F3198">
      <w:pPr>
        <w:ind w:left="539"/>
        <w:rPr>
          <w:rFonts w:cs="Arial"/>
          <w:b/>
          <w:noProof/>
          <w:color w:val="993366"/>
          <w:sz w:val="22"/>
          <w:szCs w:val="22"/>
          <w:highlight w:val="yellow"/>
        </w:rPr>
      </w:pPr>
    </w:p>
    <w:p w14:paraId="6BD91961" w14:textId="2856A7FD" w:rsidR="00062BC5" w:rsidRPr="00D2436D" w:rsidRDefault="00062BC5" w:rsidP="00D2436D">
      <w:pPr>
        <w:numPr>
          <w:ilvl w:val="0"/>
          <w:numId w:val="9"/>
        </w:numPr>
        <w:tabs>
          <w:tab w:val="clear" w:pos="360"/>
        </w:tabs>
        <w:ind w:left="540" w:hanging="540"/>
        <w:rPr>
          <w:b/>
          <w:noProof/>
          <w:color w:val="993366"/>
          <w:sz w:val="28"/>
          <w:szCs w:val="28"/>
        </w:rPr>
      </w:pPr>
      <w:r w:rsidRPr="00D2436D">
        <w:rPr>
          <w:b/>
          <w:noProof/>
          <w:color w:val="993366"/>
          <w:sz w:val="28"/>
          <w:szCs w:val="28"/>
        </w:rPr>
        <w:t>Background</w:t>
      </w:r>
      <w:r w:rsidRPr="00D2436D">
        <w:rPr>
          <w:rFonts w:cs="Arial"/>
          <w:noProof/>
          <w:sz w:val="22"/>
          <w:szCs w:val="22"/>
        </w:rPr>
        <w:br/>
      </w:r>
    </w:p>
    <w:p w14:paraId="4FD20D0C" w14:textId="5BA4DCBD" w:rsidR="00076AC9" w:rsidRPr="00076AC9" w:rsidRDefault="00076AC9" w:rsidP="00776C91">
      <w:pPr>
        <w:numPr>
          <w:ilvl w:val="1"/>
          <w:numId w:val="12"/>
        </w:numPr>
        <w:tabs>
          <w:tab w:val="num" w:pos="540"/>
        </w:tabs>
        <w:ind w:left="540" w:hanging="540"/>
        <w:rPr>
          <w:rFonts w:cs="Arial"/>
        </w:rPr>
      </w:pPr>
      <w:r w:rsidRPr="007521F5">
        <w:rPr>
          <w:rFonts w:cs="Arial"/>
          <w:sz w:val="22"/>
          <w:szCs w:val="22"/>
        </w:rPr>
        <w:t xml:space="preserve">The Council is required to operate a balanced budget, which broadly means that cash raised during the year will meet cash expenditure.  Part of the treasury management operation is to ensure that this cash flow is adequately planned, with cash being available when it is needed.  Surplus monies are invested in </w:t>
      </w:r>
      <w:proofErr w:type="gramStart"/>
      <w:r w:rsidRPr="007521F5">
        <w:rPr>
          <w:rFonts w:cs="Arial"/>
          <w:sz w:val="22"/>
          <w:szCs w:val="22"/>
        </w:rPr>
        <w:t>low risk</w:t>
      </w:r>
      <w:proofErr w:type="gramEnd"/>
      <w:r w:rsidRPr="007521F5">
        <w:rPr>
          <w:rFonts w:cs="Arial"/>
          <w:sz w:val="22"/>
          <w:szCs w:val="22"/>
        </w:rPr>
        <w:t xml:space="preserve"> counterparties or instruments commensurate with the Council’s low risk appetite, providing adequate liquidity initially before considering investment return</w:t>
      </w:r>
      <w:r w:rsidR="00570E48">
        <w:rPr>
          <w:rFonts w:cs="Arial"/>
          <w:sz w:val="22"/>
          <w:szCs w:val="22"/>
        </w:rPr>
        <w:t>.</w:t>
      </w:r>
    </w:p>
    <w:p w14:paraId="71502B17" w14:textId="77777777" w:rsidR="00076AC9" w:rsidRPr="00076AC9" w:rsidRDefault="00076AC9" w:rsidP="00076AC9">
      <w:pPr>
        <w:tabs>
          <w:tab w:val="num" w:pos="1843"/>
        </w:tabs>
        <w:ind w:left="540"/>
        <w:rPr>
          <w:rFonts w:cs="Arial"/>
        </w:rPr>
      </w:pPr>
    </w:p>
    <w:p w14:paraId="02AFA065" w14:textId="299BEB90" w:rsidR="00062BC5" w:rsidRPr="00B41BBD" w:rsidRDefault="007E417B" w:rsidP="00776C91">
      <w:pPr>
        <w:numPr>
          <w:ilvl w:val="1"/>
          <w:numId w:val="12"/>
        </w:numPr>
        <w:tabs>
          <w:tab w:val="num" w:pos="540"/>
        </w:tabs>
        <w:ind w:left="540" w:hanging="540"/>
        <w:rPr>
          <w:rFonts w:cs="Arial"/>
        </w:rPr>
      </w:pPr>
      <w:r w:rsidRPr="00F96795">
        <w:rPr>
          <w:rFonts w:cs="Arial"/>
          <w:sz w:val="22"/>
          <w:szCs w:val="22"/>
        </w:rPr>
        <w:t>The</w:t>
      </w:r>
      <w:r w:rsidRPr="00B41BBD">
        <w:rPr>
          <w:rFonts w:cs="Arial"/>
          <w:sz w:val="22"/>
          <w:szCs w:val="22"/>
        </w:rPr>
        <w:t xml:space="preserve"> second main function of the treasury management service is the funding of the Council’s capital plans</w:t>
      </w:r>
      <w:r w:rsidR="00694ACA" w:rsidRPr="00B41BBD">
        <w:rPr>
          <w:rFonts w:cs="Arial"/>
          <w:sz w:val="22"/>
          <w:szCs w:val="22"/>
        </w:rPr>
        <w:t xml:space="preserve"> and strategy</w:t>
      </w:r>
      <w:r w:rsidRPr="00B41BBD">
        <w:rPr>
          <w:rFonts w:cs="Arial"/>
          <w:sz w:val="22"/>
          <w:szCs w:val="22"/>
        </w:rPr>
        <w:t xml:space="preserve">.  These capital plans provide a guide to the borrowing need of the Council, essentially the </w:t>
      </w:r>
      <w:proofErr w:type="gramStart"/>
      <w:r w:rsidRPr="00B41BBD">
        <w:rPr>
          <w:rFonts w:cs="Arial"/>
          <w:sz w:val="22"/>
          <w:szCs w:val="22"/>
        </w:rPr>
        <w:t>longer term</w:t>
      </w:r>
      <w:proofErr w:type="gramEnd"/>
      <w:r w:rsidRPr="00B41BBD">
        <w:rPr>
          <w:rFonts w:cs="Arial"/>
          <w:sz w:val="22"/>
          <w:szCs w:val="22"/>
        </w:rPr>
        <w:t xml:space="preserve"> cash flow planning</w:t>
      </w:r>
      <w:r w:rsidR="0031213A" w:rsidRPr="00B41BBD">
        <w:rPr>
          <w:rFonts w:cs="Arial"/>
          <w:sz w:val="22"/>
          <w:szCs w:val="22"/>
        </w:rPr>
        <w:t>,</w:t>
      </w:r>
      <w:r w:rsidRPr="00B41BBD">
        <w:rPr>
          <w:rFonts w:cs="Arial"/>
          <w:sz w:val="22"/>
          <w:szCs w:val="22"/>
        </w:rPr>
        <w:t xml:space="preserve"> to ensure that the Council can meet its capital spending obligations.  This management of </w:t>
      </w:r>
      <w:proofErr w:type="gramStart"/>
      <w:r w:rsidRPr="00B41BBD">
        <w:rPr>
          <w:rFonts w:cs="Arial"/>
          <w:sz w:val="22"/>
          <w:szCs w:val="22"/>
        </w:rPr>
        <w:t>longer term</w:t>
      </w:r>
      <w:proofErr w:type="gramEnd"/>
      <w:r w:rsidRPr="00B41BBD">
        <w:rPr>
          <w:rFonts w:cs="Arial"/>
          <w:sz w:val="22"/>
          <w:szCs w:val="22"/>
        </w:rPr>
        <w:t xml:space="preserve"> cash may involve arranging long or short term loans, or using lon</w:t>
      </w:r>
      <w:r w:rsidR="00571DCA">
        <w:rPr>
          <w:rFonts w:cs="Arial"/>
          <w:sz w:val="22"/>
          <w:szCs w:val="22"/>
        </w:rPr>
        <w:t xml:space="preserve">ger term cash flow surpluses.  </w:t>
      </w:r>
      <w:r w:rsidRPr="00B41BBD">
        <w:rPr>
          <w:rFonts w:cs="Arial"/>
          <w:sz w:val="22"/>
          <w:szCs w:val="22"/>
        </w:rPr>
        <w:t>On occasion</w:t>
      </w:r>
      <w:r w:rsidR="0031213A" w:rsidRPr="00B41BBD">
        <w:rPr>
          <w:rFonts w:cs="Arial"/>
          <w:sz w:val="22"/>
          <w:szCs w:val="22"/>
        </w:rPr>
        <w:t>, when it is prudent and economic,</w:t>
      </w:r>
      <w:r w:rsidRPr="00B41BBD">
        <w:rPr>
          <w:rFonts w:cs="Arial"/>
          <w:sz w:val="22"/>
          <w:szCs w:val="22"/>
        </w:rPr>
        <w:t xml:space="preserve"> any debt previously drawn may be restructured to meet Council risk or cost </w:t>
      </w:r>
      <w:r w:rsidR="00062BC5" w:rsidRPr="00B41BBD">
        <w:rPr>
          <w:rFonts w:cs="Arial"/>
          <w:sz w:val="22"/>
          <w:szCs w:val="22"/>
        </w:rPr>
        <w:t>objectives.</w:t>
      </w:r>
      <w:r w:rsidR="00062BC5" w:rsidRPr="00B41BBD">
        <w:rPr>
          <w:rFonts w:cs="Arial"/>
          <w:noProof/>
          <w:sz w:val="22"/>
          <w:szCs w:val="22"/>
        </w:rPr>
        <w:t xml:space="preserve"> </w:t>
      </w:r>
      <w:r w:rsidR="00062BC5" w:rsidRPr="00B41BBD">
        <w:rPr>
          <w:rFonts w:cs="Arial"/>
          <w:noProof/>
          <w:sz w:val="22"/>
          <w:szCs w:val="22"/>
        </w:rPr>
        <w:br/>
      </w:r>
    </w:p>
    <w:p w14:paraId="26A8E370" w14:textId="22140AE4" w:rsidR="0024749E" w:rsidRPr="00CA2424" w:rsidRDefault="00062BC5" w:rsidP="0095204B">
      <w:pPr>
        <w:numPr>
          <w:ilvl w:val="1"/>
          <w:numId w:val="12"/>
        </w:numPr>
        <w:tabs>
          <w:tab w:val="num" w:pos="540"/>
        </w:tabs>
        <w:ind w:left="540" w:hanging="540"/>
        <w:rPr>
          <w:rFonts w:cs="Arial"/>
          <w:noProof/>
          <w:sz w:val="22"/>
          <w:szCs w:val="22"/>
        </w:rPr>
      </w:pPr>
      <w:r w:rsidRPr="00CA2424">
        <w:rPr>
          <w:rFonts w:cs="Arial"/>
          <w:sz w:val="22"/>
          <w:szCs w:val="22"/>
        </w:rPr>
        <w:t xml:space="preserve">The Prudential and Treasury Indicators (summarised in </w:t>
      </w:r>
      <w:r w:rsidRPr="00CA2424">
        <w:rPr>
          <w:rFonts w:cs="Arial"/>
          <w:b/>
          <w:sz w:val="22"/>
          <w:szCs w:val="22"/>
        </w:rPr>
        <w:t>Annex A</w:t>
      </w:r>
      <w:r w:rsidRPr="00CA2424">
        <w:rPr>
          <w:rFonts w:cs="Arial"/>
          <w:sz w:val="22"/>
          <w:szCs w:val="22"/>
        </w:rPr>
        <w:t xml:space="preserve">) consider the affordability and impact of capital expenditure </w:t>
      </w:r>
      <w:r w:rsidR="00CA2424" w:rsidRPr="00CA2424">
        <w:rPr>
          <w:rFonts w:cs="Arial"/>
          <w:sz w:val="22"/>
          <w:szCs w:val="22"/>
        </w:rPr>
        <w:t>decisions and</w:t>
      </w:r>
      <w:r w:rsidRPr="00CA2424">
        <w:rPr>
          <w:rFonts w:cs="Arial"/>
          <w:sz w:val="22"/>
          <w:szCs w:val="22"/>
        </w:rPr>
        <w:t xml:space="preserve"> set out the Council’s overall capital framework. </w:t>
      </w:r>
      <w:r w:rsidR="000A514A" w:rsidRPr="00CA2424">
        <w:rPr>
          <w:rFonts w:cs="Arial"/>
          <w:sz w:val="22"/>
          <w:szCs w:val="22"/>
        </w:rPr>
        <w:t xml:space="preserve"> </w:t>
      </w:r>
      <w:r w:rsidRPr="00CA2424">
        <w:rPr>
          <w:rFonts w:cs="Arial"/>
          <w:sz w:val="22"/>
          <w:szCs w:val="22"/>
        </w:rPr>
        <w:t>These Indicators have been developed in line with both the Prudential and Treasury Codes. The treasury service considers the effective funding of these decisions. Together they form part of the process which ensures the Council meets its balanced budget requirement under the Local Government Finance Act 1992.</w:t>
      </w:r>
      <w:r w:rsidR="008D6E88" w:rsidRPr="00CA2424">
        <w:rPr>
          <w:rFonts w:cs="Arial"/>
          <w:sz w:val="22"/>
          <w:szCs w:val="22"/>
        </w:rPr>
        <w:t xml:space="preserve">  The </w:t>
      </w:r>
      <w:r w:rsidR="006948A9" w:rsidRPr="00CA2424">
        <w:rPr>
          <w:rFonts w:cs="Arial"/>
          <w:sz w:val="22"/>
          <w:szCs w:val="22"/>
        </w:rPr>
        <w:t>T</w:t>
      </w:r>
      <w:r w:rsidR="008D6E88" w:rsidRPr="00CA2424">
        <w:rPr>
          <w:rFonts w:cs="Arial"/>
          <w:sz w:val="22"/>
          <w:szCs w:val="22"/>
        </w:rPr>
        <w:t>reasury</w:t>
      </w:r>
      <w:r w:rsidR="006948A9" w:rsidRPr="00CA2424">
        <w:rPr>
          <w:rFonts w:cs="Arial"/>
          <w:sz w:val="22"/>
          <w:szCs w:val="22"/>
        </w:rPr>
        <w:t xml:space="preserve"> Management</w:t>
      </w:r>
      <w:r w:rsidR="008D6E88" w:rsidRPr="00CA2424">
        <w:rPr>
          <w:rFonts w:cs="Arial"/>
          <w:sz w:val="22"/>
          <w:szCs w:val="22"/>
        </w:rPr>
        <w:t xml:space="preserve"> </w:t>
      </w:r>
      <w:r w:rsidR="006948A9" w:rsidRPr="00CA2424">
        <w:rPr>
          <w:rFonts w:cs="Arial"/>
          <w:sz w:val="22"/>
          <w:szCs w:val="22"/>
        </w:rPr>
        <w:t>S</w:t>
      </w:r>
      <w:r w:rsidR="008D6E88" w:rsidRPr="00CA2424">
        <w:rPr>
          <w:rFonts w:cs="Arial"/>
          <w:sz w:val="22"/>
          <w:szCs w:val="22"/>
        </w:rPr>
        <w:t>trategy therefore forms an integra</w:t>
      </w:r>
      <w:r w:rsidR="0095204B" w:rsidRPr="00CA2424">
        <w:rPr>
          <w:rFonts w:cs="Arial"/>
          <w:sz w:val="22"/>
          <w:szCs w:val="22"/>
        </w:rPr>
        <w:t>l part of the Council’s overall</w:t>
      </w:r>
      <w:r w:rsidR="001E6286" w:rsidRPr="00CA2424">
        <w:rPr>
          <w:rFonts w:cs="Arial"/>
          <w:sz w:val="22"/>
          <w:szCs w:val="22"/>
        </w:rPr>
        <w:t xml:space="preserve"> F</w:t>
      </w:r>
      <w:r w:rsidR="008D6E88" w:rsidRPr="00CA2424">
        <w:rPr>
          <w:rFonts w:cs="Arial"/>
          <w:sz w:val="22"/>
          <w:szCs w:val="22"/>
        </w:rPr>
        <w:t xml:space="preserve">inancial </w:t>
      </w:r>
      <w:r w:rsidR="001E6286" w:rsidRPr="00CA2424">
        <w:rPr>
          <w:rFonts w:cs="Arial"/>
          <w:sz w:val="22"/>
          <w:szCs w:val="22"/>
        </w:rPr>
        <w:t>S</w:t>
      </w:r>
      <w:r w:rsidR="008D6E88" w:rsidRPr="00CA2424">
        <w:rPr>
          <w:rFonts w:cs="Arial"/>
          <w:sz w:val="22"/>
          <w:szCs w:val="22"/>
        </w:rPr>
        <w:t>trategy covering both its revenue and capital budgets.</w:t>
      </w:r>
    </w:p>
    <w:p w14:paraId="382A01A1" w14:textId="77777777" w:rsidR="0024749E" w:rsidRPr="00D26131" w:rsidRDefault="0024749E" w:rsidP="0024749E">
      <w:pPr>
        <w:tabs>
          <w:tab w:val="num" w:pos="567"/>
        </w:tabs>
        <w:ind w:left="540"/>
        <w:rPr>
          <w:rFonts w:cs="Arial"/>
          <w:noProof/>
          <w:sz w:val="22"/>
          <w:szCs w:val="22"/>
          <w:highlight w:val="yellow"/>
        </w:rPr>
      </w:pPr>
    </w:p>
    <w:p w14:paraId="3E8D41F9" w14:textId="143D5905" w:rsidR="0024749E" w:rsidRPr="00B41BBD" w:rsidRDefault="0024749E" w:rsidP="0095204B">
      <w:pPr>
        <w:numPr>
          <w:ilvl w:val="1"/>
          <w:numId w:val="12"/>
        </w:numPr>
        <w:tabs>
          <w:tab w:val="num" w:pos="540"/>
        </w:tabs>
        <w:ind w:left="540" w:hanging="540"/>
        <w:rPr>
          <w:rFonts w:cs="Arial"/>
          <w:noProof/>
          <w:sz w:val="22"/>
          <w:szCs w:val="22"/>
        </w:rPr>
      </w:pPr>
      <w:r w:rsidRPr="00B41BBD">
        <w:rPr>
          <w:rFonts w:cs="Arial"/>
          <w:sz w:val="22"/>
          <w:szCs w:val="22"/>
        </w:rPr>
        <w:t xml:space="preserve">The contribution the treasury management function makes to the </w:t>
      </w:r>
      <w:r w:rsidR="0022193B">
        <w:rPr>
          <w:rFonts w:cs="Arial"/>
          <w:sz w:val="22"/>
          <w:szCs w:val="22"/>
        </w:rPr>
        <w:t>Council</w:t>
      </w:r>
      <w:r w:rsidRPr="00B41BBD">
        <w:rPr>
          <w:rFonts w:cs="Arial"/>
          <w:sz w:val="22"/>
          <w:szCs w:val="22"/>
        </w:rPr>
        <w:t xml:space="preserve"> is critical, as the balance of debt and investment operations ensure liquidity or the ability to meet spending commitments as they fall due, either on day-to-day revenue or for larger capital projects.  The treasury operations will see a balance of the interest costs of debt and the investment income arising from cash deposits affecting the available budget.  Since cash balances generally result from reserves and balances, it is paramount to ensure adequate security of the sums invested, as a loss of principal will in effect result in a loss to the General Fund Balance.</w:t>
      </w:r>
    </w:p>
    <w:p w14:paraId="4C28C80B" w14:textId="77777777" w:rsidR="00331DBC" w:rsidRPr="00D26131" w:rsidRDefault="00331DBC" w:rsidP="00331DBC">
      <w:pPr>
        <w:pStyle w:val="ListParagraph"/>
        <w:rPr>
          <w:rFonts w:cs="Arial"/>
          <w:noProof/>
          <w:sz w:val="22"/>
          <w:szCs w:val="22"/>
          <w:highlight w:val="yellow"/>
        </w:rPr>
      </w:pPr>
    </w:p>
    <w:p w14:paraId="538F3EFD" w14:textId="77777777" w:rsidR="00331DBC" w:rsidRPr="00B41BBD" w:rsidRDefault="00331DBC" w:rsidP="0095204B">
      <w:pPr>
        <w:numPr>
          <w:ilvl w:val="1"/>
          <w:numId w:val="12"/>
        </w:numPr>
        <w:tabs>
          <w:tab w:val="num" w:pos="540"/>
        </w:tabs>
        <w:ind w:left="540" w:hanging="540"/>
        <w:rPr>
          <w:rFonts w:cs="Arial"/>
          <w:noProof/>
          <w:sz w:val="22"/>
          <w:szCs w:val="22"/>
        </w:rPr>
      </w:pPr>
      <w:r w:rsidRPr="00B41BBD">
        <w:rPr>
          <w:rFonts w:cs="Arial"/>
          <w:sz w:val="22"/>
          <w:szCs w:val="22"/>
        </w:rPr>
        <w:t xml:space="preserve">Whilst any loans to third parties, commercial investment initiatives or other non-financial investments will impact on the treasury function, these activities are generally classed as non-treasury activities and are separate from the </w:t>
      </w:r>
      <w:proofErr w:type="gramStart"/>
      <w:r w:rsidRPr="00B41BBD">
        <w:rPr>
          <w:rFonts w:cs="Arial"/>
          <w:sz w:val="22"/>
          <w:szCs w:val="22"/>
        </w:rPr>
        <w:t>day to day</w:t>
      </w:r>
      <w:proofErr w:type="gramEnd"/>
      <w:r w:rsidRPr="00B41BBD">
        <w:rPr>
          <w:rFonts w:cs="Arial"/>
          <w:sz w:val="22"/>
          <w:szCs w:val="22"/>
        </w:rPr>
        <w:t xml:space="preserve"> treasury management activities.</w:t>
      </w:r>
    </w:p>
    <w:p w14:paraId="39704674" w14:textId="77777777" w:rsidR="00537E9E" w:rsidRPr="00D26131" w:rsidRDefault="00537E9E" w:rsidP="00537E9E">
      <w:pPr>
        <w:tabs>
          <w:tab w:val="num" w:pos="567"/>
        </w:tabs>
        <w:ind w:left="540"/>
        <w:rPr>
          <w:rFonts w:cs="Arial"/>
          <w:noProof/>
          <w:sz w:val="22"/>
          <w:szCs w:val="22"/>
          <w:highlight w:val="yellow"/>
        </w:rPr>
      </w:pPr>
    </w:p>
    <w:p w14:paraId="57B797E8" w14:textId="77777777" w:rsidR="00C57649" w:rsidRDefault="00062BC5" w:rsidP="00C57649">
      <w:pPr>
        <w:numPr>
          <w:ilvl w:val="1"/>
          <w:numId w:val="12"/>
        </w:numPr>
        <w:tabs>
          <w:tab w:val="num" w:pos="540"/>
        </w:tabs>
        <w:ind w:left="540" w:hanging="540"/>
        <w:rPr>
          <w:rFonts w:cs="Arial"/>
          <w:noProof/>
          <w:sz w:val="22"/>
          <w:szCs w:val="22"/>
        </w:rPr>
      </w:pPr>
      <w:r w:rsidRPr="00B41BBD">
        <w:rPr>
          <w:rFonts w:cs="Arial"/>
          <w:noProof/>
          <w:sz w:val="22"/>
          <w:szCs w:val="22"/>
        </w:rPr>
        <w:t>CIPFA defines treasury management as:</w:t>
      </w:r>
      <w:r w:rsidRPr="00B41BBD">
        <w:rPr>
          <w:rFonts w:cs="Arial"/>
          <w:noProof/>
          <w:sz w:val="22"/>
          <w:szCs w:val="22"/>
        </w:rPr>
        <w:br/>
      </w:r>
      <w:r w:rsidRPr="00B41BBD">
        <w:rPr>
          <w:rFonts w:cs="Arial"/>
          <w:noProof/>
          <w:sz w:val="22"/>
          <w:szCs w:val="22"/>
        </w:rPr>
        <w:br/>
        <w:t xml:space="preserve">“The management of the local authority’s </w:t>
      </w:r>
      <w:r w:rsidR="0048223C" w:rsidRPr="00B41BBD">
        <w:rPr>
          <w:rFonts w:cs="Arial"/>
          <w:noProof/>
          <w:sz w:val="22"/>
          <w:szCs w:val="22"/>
        </w:rPr>
        <w:t xml:space="preserve">borrowing, </w:t>
      </w:r>
      <w:r w:rsidRPr="00B41BBD">
        <w:rPr>
          <w:rFonts w:cs="Arial"/>
          <w:noProof/>
          <w:sz w:val="22"/>
          <w:szCs w:val="22"/>
        </w:rPr>
        <w:t>investments and cash flows, its banking, money market and capital market transactions; the effective control of the risks associated with those activities; and the pursuit of optimum performance consistent with those risks.”</w:t>
      </w:r>
    </w:p>
    <w:p w14:paraId="4AF01EA6" w14:textId="77777777" w:rsidR="00C57649" w:rsidRDefault="00C57649" w:rsidP="00C57649">
      <w:pPr>
        <w:pStyle w:val="ListParagraph"/>
        <w:rPr>
          <w:rFonts w:cs="Arial"/>
          <w:noProof/>
          <w:sz w:val="22"/>
          <w:szCs w:val="22"/>
        </w:rPr>
      </w:pPr>
    </w:p>
    <w:p w14:paraId="2707C037" w14:textId="77777777" w:rsidR="00390EF7" w:rsidRDefault="00390EF7">
      <w:pPr>
        <w:rPr>
          <w:rFonts w:cs="Arial"/>
          <w:color w:val="993366"/>
          <w:highlight w:val="yellow"/>
        </w:rPr>
      </w:pPr>
      <w:r w:rsidRPr="00D26131">
        <w:rPr>
          <w:rFonts w:cs="Arial"/>
          <w:color w:val="993366"/>
          <w:highlight w:val="yellow"/>
        </w:rPr>
        <w:br w:type="page"/>
      </w:r>
    </w:p>
    <w:p w14:paraId="72A5D743" w14:textId="77777777" w:rsidR="00D2436D" w:rsidRPr="00862C9A" w:rsidRDefault="00D2436D">
      <w:pPr>
        <w:rPr>
          <w:rFonts w:cs="Arial"/>
          <w:color w:val="993366"/>
          <w:sz w:val="22"/>
          <w:szCs w:val="22"/>
          <w:highlight w:val="yellow"/>
        </w:rPr>
      </w:pPr>
    </w:p>
    <w:p w14:paraId="6F65BBDE" w14:textId="4CF2D9DF" w:rsidR="00062BC5" w:rsidRPr="00B41BBD" w:rsidRDefault="00062BC5" w:rsidP="00C723E5">
      <w:pPr>
        <w:numPr>
          <w:ilvl w:val="0"/>
          <w:numId w:val="12"/>
        </w:numPr>
        <w:tabs>
          <w:tab w:val="clear" w:pos="360"/>
          <w:tab w:val="num" w:pos="540"/>
        </w:tabs>
        <w:rPr>
          <w:rFonts w:cs="Arial"/>
          <w:color w:val="993366"/>
        </w:rPr>
      </w:pPr>
      <w:r w:rsidRPr="00B41BBD">
        <w:rPr>
          <w:rFonts w:cs="Arial"/>
          <w:b/>
          <w:noProof/>
          <w:color w:val="993366"/>
          <w:sz w:val="28"/>
          <w:szCs w:val="28"/>
        </w:rPr>
        <w:t xml:space="preserve">The Capital Prudential Indicators </w:t>
      </w:r>
      <w:r w:rsidR="00972EB7" w:rsidRPr="00B41BBD">
        <w:rPr>
          <w:rFonts w:cs="Arial"/>
          <w:b/>
          <w:noProof/>
          <w:color w:val="993366"/>
          <w:sz w:val="28"/>
          <w:szCs w:val="28"/>
        </w:rPr>
        <w:t>202</w:t>
      </w:r>
      <w:r w:rsidR="00DB21D4">
        <w:rPr>
          <w:rFonts w:cs="Arial"/>
          <w:b/>
          <w:noProof/>
          <w:color w:val="993366"/>
          <w:sz w:val="28"/>
          <w:szCs w:val="28"/>
        </w:rPr>
        <w:t>4</w:t>
      </w:r>
      <w:r w:rsidR="00C471DE" w:rsidRPr="00B41BBD">
        <w:rPr>
          <w:rFonts w:cs="Arial"/>
          <w:b/>
          <w:noProof/>
          <w:color w:val="993366"/>
          <w:sz w:val="28"/>
          <w:szCs w:val="28"/>
        </w:rPr>
        <w:t>/</w:t>
      </w:r>
      <w:r w:rsidR="00B92656" w:rsidRPr="00B41BBD">
        <w:rPr>
          <w:rFonts w:cs="Arial"/>
          <w:b/>
          <w:noProof/>
          <w:color w:val="993366"/>
          <w:sz w:val="28"/>
          <w:szCs w:val="28"/>
        </w:rPr>
        <w:t>2</w:t>
      </w:r>
      <w:r w:rsidR="00DB21D4">
        <w:rPr>
          <w:rFonts w:cs="Arial"/>
          <w:b/>
          <w:noProof/>
          <w:color w:val="993366"/>
          <w:sz w:val="28"/>
          <w:szCs w:val="28"/>
        </w:rPr>
        <w:t>5</w:t>
      </w:r>
      <w:r w:rsidRPr="00B41BBD">
        <w:rPr>
          <w:rFonts w:cs="Arial"/>
          <w:b/>
          <w:noProof/>
          <w:color w:val="993366"/>
          <w:sz w:val="28"/>
          <w:szCs w:val="28"/>
        </w:rPr>
        <w:t xml:space="preserve"> – </w:t>
      </w:r>
      <w:r w:rsidR="00C471DE" w:rsidRPr="00B41BBD">
        <w:rPr>
          <w:rFonts w:cs="Arial"/>
          <w:b/>
          <w:noProof/>
          <w:color w:val="993366"/>
          <w:sz w:val="28"/>
          <w:szCs w:val="28"/>
        </w:rPr>
        <w:t>202</w:t>
      </w:r>
      <w:r w:rsidR="00DB21D4">
        <w:rPr>
          <w:rFonts w:cs="Arial"/>
          <w:b/>
          <w:noProof/>
          <w:color w:val="993366"/>
          <w:sz w:val="28"/>
          <w:szCs w:val="28"/>
        </w:rPr>
        <w:t>8</w:t>
      </w:r>
      <w:r w:rsidR="00C471DE" w:rsidRPr="00B41BBD">
        <w:rPr>
          <w:rFonts w:cs="Arial"/>
          <w:b/>
          <w:noProof/>
          <w:color w:val="993366"/>
          <w:sz w:val="28"/>
          <w:szCs w:val="28"/>
        </w:rPr>
        <w:t>/2</w:t>
      </w:r>
      <w:r w:rsidR="00DB21D4">
        <w:rPr>
          <w:rFonts w:cs="Arial"/>
          <w:b/>
          <w:noProof/>
          <w:color w:val="993366"/>
          <w:sz w:val="28"/>
          <w:szCs w:val="28"/>
        </w:rPr>
        <w:t>9</w:t>
      </w:r>
    </w:p>
    <w:p w14:paraId="2CE53533" w14:textId="77777777" w:rsidR="00062BC5" w:rsidRPr="00B41BBD" w:rsidRDefault="00062BC5" w:rsidP="006135CF">
      <w:pPr>
        <w:ind w:left="360"/>
        <w:rPr>
          <w:rFonts w:cs="Arial"/>
          <w:color w:val="993366"/>
        </w:rPr>
      </w:pPr>
    </w:p>
    <w:p w14:paraId="7036C19D" w14:textId="52C763E8" w:rsidR="003B4239" w:rsidRPr="00B41BBD" w:rsidRDefault="003B5075" w:rsidP="003B5075">
      <w:pPr>
        <w:ind w:left="540"/>
        <w:rPr>
          <w:rFonts w:cs="Arial"/>
          <w:sz w:val="22"/>
          <w:szCs w:val="22"/>
        </w:rPr>
      </w:pPr>
      <w:r w:rsidRPr="00B47B3A">
        <w:rPr>
          <w:rFonts w:cs="Arial"/>
          <w:sz w:val="22"/>
          <w:szCs w:val="22"/>
        </w:rPr>
        <w:t>The Council’s Financial Strategy sets out financial</w:t>
      </w:r>
      <w:r w:rsidR="003B4239" w:rsidRPr="00B47B3A">
        <w:rPr>
          <w:rFonts w:cs="Arial"/>
          <w:sz w:val="22"/>
          <w:szCs w:val="22"/>
        </w:rPr>
        <w:t xml:space="preserve"> resource and </w:t>
      </w:r>
      <w:r w:rsidRPr="00B47B3A">
        <w:rPr>
          <w:rFonts w:cs="Arial"/>
          <w:sz w:val="22"/>
          <w:szCs w:val="22"/>
        </w:rPr>
        <w:t>management</w:t>
      </w:r>
      <w:r w:rsidR="003B4239" w:rsidRPr="00B47B3A">
        <w:rPr>
          <w:rFonts w:cs="Arial"/>
          <w:sz w:val="22"/>
          <w:szCs w:val="22"/>
        </w:rPr>
        <w:t xml:space="preserve"> parameters within which it will deliver its </w:t>
      </w:r>
      <w:r w:rsidR="00AD34C5">
        <w:rPr>
          <w:rFonts w:cs="Arial"/>
          <w:sz w:val="22"/>
          <w:szCs w:val="22"/>
        </w:rPr>
        <w:t>Council Plan</w:t>
      </w:r>
      <w:r w:rsidRPr="00B47B3A">
        <w:rPr>
          <w:rFonts w:cs="Arial"/>
          <w:sz w:val="22"/>
          <w:szCs w:val="22"/>
        </w:rPr>
        <w:t xml:space="preserve">.  The </w:t>
      </w:r>
      <w:r w:rsidR="00473DF0" w:rsidRPr="00B47B3A">
        <w:rPr>
          <w:rFonts w:cs="Arial"/>
          <w:sz w:val="22"/>
          <w:szCs w:val="22"/>
        </w:rPr>
        <w:t xml:space="preserve">Financial </w:t>
      </w:r>
      <w:r w:rsidRPr="00B47B3A">
        <w:rPr>
          <w:rFonts w:cs="Arial"/>
          <w:sz w:val="22"/>
          <w:szCs w:val="22"/>
        </w:rPr>
        <w:t xml:space="preserve">Strategy </w:t>
      </w:r>
      <w:r w:rsidR="003B4239" w:rsidRPr="00B47B3A">
        <w:rPr>
          <w:rFonts w:cs="Arial"/>
          <w:sz w:val="22"/>
          <w:szCs w:val="22"/>
        </w:rPr>
        <w:t>brings together various elements</w:t>
      </w:r>
      <w:r w:rsidR="004C7798" w:rsidRPr="00B47B3A">
        <w:rPr>
          <w:rFonts w:cs="Arial"/>
          <w:sz w:val="22"/>
          <w:szCs w:val="22"/>
        </w:rPr>
        <w:t>,</w:t>
      </w:r>
      <w:r w:rsidR="003B4239" w:rsidRPr="00B47B3A">
        <w:rPr>
          <w:rFonts w:cs="Arial"/>
          <w:sz w:val="22"/>
          <w:szCs w:val="22"/>
        </w:rPr>
        <w:t xml:space="preserve"> including the Treasury Management Strategy</w:t>
      </w:r>
      <w:r w:rsidR="004C7798" w:rsidRPr="00B47B3A">
        <w:rPr>
          <w:rFonts w:cs="Arial"/>
          <w:sz w:val="22"/>
          <w:szCs w:val="22"/>
        </w:rPr>
        <w:t>,</w:t>
      </w:r>
      <w:r w:rsidR="003B4239" w:rsidRPr="00B47B3A">
        <w:rPr>
          <w:rFonts w:cs="Arial"/>
          <w:sz w:val="22"/>
          <w:szCs w:val="22"/>
        </w:rPr>
        <w:t xml:space="preserve"> and establishes the financial planning framework for the Council in terms of Revenue Expenditure and Capital Investment.  The output from this framework is the Council’s Financial Plan, approved annually in February, presenting the proposals for delivering its services and objectives.</w:t>
      </w:r>
    </w:p>
    <w:p w14:paraId="7FAE86F0" w14:textId="77777777" w:rsidR="003B4239" w:rsidRPr="00D26131" w:rsidRDefault="003B4239" w:rsidP="003B5075">
      <w:pPr>
        <w:ind w:left="540"/>
        <w:rPr>
          <w:rFonts w:cs="Arial"/>
          <w:sz w:val="22"/>
          <w:szCs w:val="22"/>
          <w:highlight w:val="yellow"/>
        </w:rPr>
      </w:pPr>
    </w:p>
    <w:p w14:paraId="657B9C65" w14:textId="77777777" w:rsidR="003B5075" w:rsidRPr="00B41BBD" w:rsidRDefault="003B4239" w:rsidP="003B5075">
      <w:pPr>
        <w:ind w:left="540"/>
        <w:rPr>
          <w:rFonts w:cs="Arial"/>
          <w:sz w:val="22"/>
          <w:szCs w:val="22"/>
        </w:rPr>
      </w:pPr>
      <w:r w:rsidRPr="00B41BBD">
        <w:rPr>
          <w:rFonts w:cs="Arial"/>
          <w:sz w:val="22"/>
          <w:szCs w:val="22"/>
        </w:rPr>
        <w:t>The Financial Strategy establishes that the Financial Principles underpinning the planning for the Council’s future service delivery are to:</w:t>
      </w:r>
    </w:p>
    <w:p w14:paraId="522BCE98" w14:textId="77777777" w:rsidR="003B5075" w:rsidRPr="00B41BBD" w:rsidRDefault="003B5075" w:rsidP="00776C91">
      <w:pPr>
        <w:numPr>
          <w:ilvl w:val="3"/>
          <w:numId w:val="4"/>
        </w:numPr>
        <w:rPr>
          <w:rFonts w:cs="Arial"/>
          <w:sz w:val="22"/>
          <w:szCs w:val="22"/>
        </w:rPr>
      </w:pPr>
      <w:r w:rsidRPr="00B41BBD">
        <w:rPr>
          <w:rFonts w:cs="Arial"/>
          <w:sz w:val="22"/>
          <w:szCs w:val="22"/>
        </w:rPr>
        <w:t>Raise the funds required by the Council to meet approved service levels in the most effective manner;</w:t>
      </w:r>
    </w:p>
    <w:p w14:paraId="75A17961" w14:textId="77777777" w:rsidR="00483399" w:rsidRPr="00B41BBD" w:rsidRDefault="003B5075" w:rsidP="00776C91">
      <w:pPr>
        <w:numPr>
          <w:ilvl w:val="3"/>
          <w:numId w:val="4"/>
        </w:numPr>
        <w:rPr>
          <w:rFonts w:cs="Arial"/>
          <w:sz w:val="22"/>
          <w:szCs w:val="22"/>
        </w:rPr>
      </w:pPr>
      <w:r w:rsidRPr="00B41BBD">
        <w:rPr>
          <w:rFonts w:cs="Arial"/>
          <w:sz w:val="22"/>
          <w:szCs w:val="22"/>
        </w:rPr>
        <w:t>Manage the effective deployment of those funds in line with the Council’s corporate objectives and priorities; and</w:t>
      </w:r>
    </w:p>
    <w:p w14:paraId="4EBA681D" w14:textId="77777777" w:rsidR="00483399" w:rsidRPr="00B41BBD" w:rsidRDefault="003B5075" w:rsidP="00776C91">
      <w:pPr>
        <w:numPr>
          <w:ilvl w:val="3"/>
          <w:numId w:val="4"/>
        </w:numPr>
        <w:rPr>
          <w:rFonts w:cs="Arial"/>
          <w:sz w:val="22"/>
          <w:szCs w:val="22"/>
        </w:rPr>
      </w:pPr>
      <w:r w:rsidRPr="00B41BBD">
        <w:rPr>
          <w:rFonts w:cs="Arial"/>
          <w:sz w:val="22"/>
          <w:szCs w:val="22"/>
        </w:rPr>
        <w:t xml:space="preserve">Provide stability in resource planning and service delivery as expressed through Corporate </w:t>
      </w:r>
      <w:r w:rsidR="003B4239" w:rsidRPr="00B41BBD">
        <w:rPr>
          <w:rFonts w:cs="Arial"/>
          <w:sz w:val="22"/>
          <w:szCs w:val="22"/>
        </w:rPr>
        <w:t xml:space="preserve">and Business </w:t>
      </w:r>
      <w:r w:rsidRPr="00B41BBD">
        <w:rPr>
          <w:rFonts w:cs="Arial"/>
          <w:sz w:val="22"/>
          <w:szCs w:val="22"/>
        </w:rPr>
        <w:t>Plans</w:t>
      </w:r>
      <w:r w:rsidR="003B4239" w:rsidRPr="00B41BBD">
        <w:rPr>
          <w:rFonts w:cs="Arial"/>
          <w:sz w:val="22"/>
          <w:szCs w:val="22"/>
        </w:rPr>
        <w:t xml:space="preserve"> and the Revenue and Capital Financial Plan</w:t>
      </w:r>
      <w:r w:rsidRPr="00B41BBD">
        <w:rPr>
          <w:rFonts w:cs="Arial"/>
          <w:sz w:val="22"/>
          <w:szCs w:val="22"/>
        </w:rPr>
        <w:t xml:space="preserve">.  </w:t>
      </w:r>
      <w:r w:rsidRPr="00B41BBD">
        <w:rPr>
          <w:rFonts w:cs="Arial"/>
          <w:sz w:val="22"/>
          <w:szCs w:val="22"/>
        </w:rPr>
        <w:br/>
      </w:r>
    </w:p>
    <w:p w14:paraId="6038ED56" w14:textId="3AC2BE5D" w:rsidR="00671715" w:rsidRPr="00B41BBD" w:rsidRDefault="00B47B3A" w:rsidP="00FA2EAC">
      <w:pPr>
        <w:ind w:left="540"/>
        <w:rPr>
          <w:rFonts w:cs="Arial"/>
          <w:sz w:val="22"/>
          <w:szCs w:val="22"/>
        </w:rPr>
      </w:pPr>
      <w:r w:rsidRPr="00B41BBD">
        <w:rPr>
          <w:rFonts w:cs="Arial"/>
          <w:sz w:val="22"/>
          <w:szCs w:val="22"/>
        </w:rPr>
        <w:t>To</w:t>
      </w:r>
      <w:r w:rsidR="00671715" w:rsidRPr="00B41BBD">
        <w:rPr>
          <w:rFonts w:cs="Arial"/>
          <w:sz w:val="22"/>
          <w:szCs w:val="22"/>
        </w:rPr>
        <w:t xml:space="preserve"> adhere to these Principles, </w:t>
      </w:r>
      <w:r w:rsidR="003B5075" w:rsidRPr="00B41BBD">
        <w:rPr>
          <w:rFonts w:cs="Arial"/>
          <w:sz w:val="22"/>
          <w:szCs w:val="22"/>
        </w:rPr>
        <w:t>the Financial Strategy</w:t>
      </w:r>
      <w:r w:rsidR="00671715" w:rsidRPr="00B41BBD">
        <w:rPr>
          <w:rFonts w:cs="Arial"/>
          <w:sz w:val="22"/>
          <w:szCs w:val="22"/>
        </w:rPr>
        <w:t xml:space="preserve"> states that the Council will adopt Financial Objectives </w:t>
      </w:r>
      <w:r w:rsidR="00464459" w:rsidRPr="00B41BBD">
        <w:rPr>
          <w:rFonts w:cs="Arial"/>
          <w:sz w:val="22"/>
          <w:szCs w:val="22"/>
        </w:rPr>
        <w:t>to</w:t>
      </w:r>
      <w:r w:rsidR="00671715" w:rsidRPr="00B41BBD">
        <w:rPr>
          <w:rFonts w:cs="Arial"/>
          <w:sz w:val="22"/>
          <w:szCs w:val="22"/>
        </w:rPr>
        <w:t>:</w:t>
      </w:r>
    </w:p>
    <w:p w14:paraId="02F5DD0E" w14:textId="77777777" w:rsidR="00671715" w:rsidRPr="00B41BBD" w:rsidRDefault="00671715" w:rsidP="00FA2EAC">
      <w:pPr>
        <w:ind w:left="540"/>
        <w:rPr>
          <w:rFonts w:cs="Arial"/>
          <w:sz w:val="22"/>
          <w:szCs w:val="22"/>
        </w:rPr>
      </w:pPr>
    </w:p>
    <w:p w14:paraId="2D2E0946" w14:textId="77777777" w:rsidR="00464459" w:rsidRPr="00B41BBD" w:rsidRDefault="00464459" w:rsidP="00464459">
      <w:pPr>
        <w:pStyle w:val="Default"/>
        <w:ind w:left="720"/>
        <w:rPr>
          <w:b/>
          <w:i/>
          <w:sz w:val="22"/>
          <w:szCs w:val="22"/>
        </w:rPr>
      </w:pPr>
      <w:r w:rsidRPr="00B41BBD">
        <w:rPr>
          <w:b/>
          <w:i/>
          <w:sz w:val="22"/>
          <w:szCs w:val="22"/>
        </w:rPr>
        <w:t>“</w:t>
      </w:r>
      <w:proofErr w:type="gramStart"/>
      <w:r w:rsidRPr="00B41BBD">
        <w:rPr>
          <w:b/>
          <w:i/>
          <w:sz w:val="22"/>
          <w:szCs w:val="22"/>
        </w:rPr>
        <w:t>ensure</w:t>
      </w:r>
      <w:proofErr w:type="gramEnd"/>
      <w:r w:rsidRPr="00B41BBD">
        <w:rPr>
          <w:b/>
          <w:i/>
          <w:sz w:val="22"/>
          <w:szCs w:val="22"/>
        </w:rPr>
        <w:t xml:space="preserve"> capital borrowing is within prudential borrowing limits and sustainable in the longer term. In this regard it is important to recognise the capital investment decisions taken now have </w:t>
      </w:r>
      <w:proofErr w:type="gramStart"/>
      <w:r w:rsidRPr="00B41BBD">
        <w:rPr>
          <w:b/>
          <w:i/>
          <w:sz w:val="22"/>
          <w:szCs w:val="22"/>
        </w:rPr>
        <w:t>long term</w:t>
      </w:r>
      <w:proofErr w:type="gramEnd"/>
      <w:r w:rsidRPr="00B41BBD">
        <w:rPr>
          <w:b/>
          <w:i/>
          <w:sz w:val="22"/>
          <w:szCs w:val="22"/>
        </w:rPr>
        <w:t xml:space="preserve"> borrowing implications and these have the potential to place a significant burden on future tax payers”.</w:t>
      </w:r>
    </w:p>
    <w:p w14:paraId="5A269C32" w14:textId="77777777" w:rsidR="00671715" w:rsidRPr="00D26131" w:rsidRDefault="00671715" w:rsidP="00FA2EAC">
      <w:pPr>
        <w:ind w:left="540"/>
        <w:rPr>
          <w:rFonts w:cs="Arial"/>
          <w:b/>
          <w:i/>
          <w:color w:val="000000" w:themeColor="text1"/>
          <w:sz w:val="22"/>
          <w:szCs w:val="22"/>
          <w:highlight w:val="yellow"/>
        </w:rPr>
      </w:pPr>
    </w:p>
    <w:p w14:paraId="16430BE0" w14:textId="26A72DFE" w:rsidR="00464459" w:rsidRPr="00B41BBD" w:rsidRDefault="00464459" w:rsidP="00464459">
      <w:pPr>
        <w:ind w:left="540"/>
        <w:rPr>
          <w:rFonts w:cs="Arial"/>
          <w:sz w:val="22"/>
          <w:szCs w:val="22"/>
        </w:rPr>
      </w:pPr>
      <w:r w:rsidRPr="00B41BBD">
        <w:rPr>
          <w:rFonts w:cs="Arial"/>
          <w:sz w:val="22"/>
          <w:szCs w:val="22"/>
        </w:rPr>
        <w:t xml:space="preserve">The draft revenue budget sets loans charges associated with capital borrowing over the next 5 years at </w:t>
      </w:r>
      <w:r w:rsidRPr="0083584D">
        <w:rPr>
          <w:rFonts w:cs="Arial"/>
          <w:sz w:val="22"/>
          <w:szCs w:val="22"/>
        </w:rPr>
        <w:t>£</w:t>
      </w:r>
      <w:r w:rsidR="0083584D" w:rsidRPr="0083584D">
        <w:rPr>
          <w:rFonts w:cs="Arial"/>
          <w:sz w:val="22"/>
          <w:szCs w:val="22"/>
        </w:rPr>
        <w:t>1</w:t>
      </w:r>
      <w:r w:rsidR="00510CF3">
        <w:rPr>
          <w:rFonts w:cs="Arial"/>
          <w:sz w:val="22"/>
          <w:szCs w:val="22"/>
        </w:rPr>
        <w:t>8</w:t>
      </w:r>
      <w:r w:rsidR="0083584D" w:rsidRPr="0083584D">
        <w:rPr>
          <w:rFonts w:cs="Arial"/>
          <w:sz w:val="22"/>
          <w:szCs w:val="22"/>
        </w:rPr>
        <w:t>.</w:t>
      </w:r>
      <w:r w:rsidR="00510CF3">
        <w:rPr>
          <w:rFonts w:cs="Arial"/>
          <w:sz w:val="22"/>
          <w:szCs w:val="22"/>
        </w:rPr>
        <w:t>2m</w:t>
      </w:r>
      <w:r w:rsidR="00B92656" w:rsidRPr="0083584D">
        <w:rPr>
          <w:rFonts w:cs="Arial"/>
          <w:sz w:val="22"/>
          <w:szCs w:val="22"/>
        </w:rPr>
        <w:t xml:space="preserve"> in 202</w:t>
      </w:r>
      <w:r w:rsidR="00B47B3A">
        <w:rPr>
          <w:rFonts w:cs="Arial"/>
          <w:sz w:val="22"/>
          <w:szCs w:val="22"/>
        </w:rPr>
        <w:t>4</w:t>
      </w:r>
      <w:r w:rsidR="00DD0B31" w:rsidRPr="0083584D">
        <w:rPr>
          <w:rFonts w:cs="Arial"/>
          <w:sz w:val="22"/>
          <w:szCs w:val="22"/>
        </w:rPr>
        <w:t>/</w:t>
      </w:r>
      <w:r w:rsidR="00915D6E" w:rsidRPr="0083584D">
        <w:rPr>
          <w:rFonts w:cs="Arial"/>
          <w:sz w:val="22"/>
          <w:szCs w:val="22"/>
        </w:rPr>
        <w:t>2</w:t>
      </w:r>
      <w:r w:rsidR="00B47B3A">
        <w:rPr>
          <w:rFonts w:cs="Arial"/>
          <w:sz w:val="22"/>
          <w:szCs w:val="22"/>
        </w:rPr>
        <w:t>5</w:t>
      </w:r>
      <w:r w:rsidR="00915D6E" w:rsidRPr="0083584D">
        <w:rPr>
          <w:rFonts w:cs="Arial"/>
          <w:sz w:val="22"/>
          <w:szCs w:val="22"/>
        </w:rPr>
        <w:t>, rising to £</w:t>
      </w:r>
      <w:r w:rsidR="007B61F5" w:rsidRPr="0083584D">
        <w:rPr>
          <w:rFonts w:cs="Arial"/>
          <w:sz w:val="22"/>
          <w:szCs w:val="22"/>
        </w:rPr>
        <w:t>2</w:t>
      </w:r>
      <w:r w:rsidR="00510CF3">
        <w:rPr>
          <w:rFonts w:cs="Arial"/>
          <w:sz w:val="22"/>
          <w:szCs w:val="22"/>
        </w:rPr>
        <w:t>6</w:t>
      </w:r>
      <w:r w:rsidR="00384C5C" w:rsidRPr="0083584D">
        <w:rPr>
          <w:rFonts w:cs="Arial"/>
          <w:sz w:val="22"/>
          <w:szCs w:val="22"/>
        </w:rPr>
        <w:t>.</w:t>
      </w:r>
      <w:r w:rsidR="0083584D" w:rsidRPr="0083584D">
        <w:rPr>
          <w:rFonts w:cs="Arial"/>
          <w:sz w:val="22"/>
          <w:szCs w:val="22"/>
        </w:rPr>
        <w:t>9</w:t>
      </w:r>
      <w:r w:rsidR="00915D6E" w:rsidRPr="0083584D">
        <w:rPr>
          <w:rFonts w:cs="Arial"/>
          <w:sz w:val="22"/>
          <w:szCs w:val="22"/>
        </w:rPr>
        <w:t>m in 202</w:t>
      </w:r>
      <w:r w:rsidR="00510CF3">
        <w:rPr>
          <w:rFonts w:cs="Arial"/>
          <w:sz w:val="22"/>
          <w:szCs w:val="22"/>
        </w:rPr>
        <w:t>8</w:t>
      </w:r>
      <w:r w:rsidR="00DD0B31" w:rsidRPr="0083584D">
        <w:rPr>
          <w:rFonts w:cs="Arial"/>
          <w:sz w:val="22"/>
          <w:szCs w:val="22"/>
        </w:rPr>
        <w:t>/2</w:t>
      </w:r>
      <w:r w:rsidR="00510CF3">
        <w:rPr>
          <w:rFonts w:cs="Arial"/>
          <w:sz w:val="22"/>
          <w:szCs w:val="22"/>
        </w:rPr>
        <w:t>9</w:t>
      </w:r>
      <w:r w:rsidRPr="0083584D">
        <w:rPr>
          <w:rFonts w:cs="Arial"/>
          <w:sz w:val="22"/>
          <w:szCs w:val="22"/>
        </w:rPr>
        <w:t>.</w:t>
      </w:r>
      <w:r w:rsidRPr="00B41BBD">
        <w:rPr>
          <w:rFonts w:cs="Arial"/>
          <w:sz w:val="22"/>
          <w:szCs w:val="22"/>
        </w:rPr>
        <w:t xml:space="preserve"> </w:t>
      </w:r>
    </w:p>
    <w:p w14:paraId="252B3E75" w14:textId="77777777" w:rsidR="003B5075" w:rsidRPr="00B41BBD" w:rsidRDefault="003B5075" w:rsidP="00FA2EAC">
      <w:pPr>
        <w:ind w:left="540"/>
        <w:rPr>
          <w:rFonts w:cs="Arial"/>
          <w:sz w:val="22"/>
          <w:szCs w:val="22"/>
        </w:rPr>
      </w:pPr>
    </w:p>
    <w:p w14:paraId="0707DD2F" w14:textId="77777777" w:rsidR="009C4AF9" w:rsidRPr="00B41BBD" w:rsidRDefault="00062BC5" w:rsidP="00FA2EAC">
      <w:pPr>
        <w:ind w:left="540"/>
        <w:rPr>
          <w:rFonts w:cs="Arial"/>
          <w:sz w:val="22"/>
          <w:szCs w:val="22"/>
        </w:rPr>
      </w:pPr>
      <w:r w:rsidRPr="00B41BBD">
        <w:rPr>
          <w:rFonts w:cs="Arial"/>
          <w:sz w:val="22"/>
          <w:szCs w:val="22"/>
        </w:rPr>
        <w:t xml:space="preserve">The Council’s </w:t>
      </w:r>
      <w:r w:rsidR="003B5075" w:rsidRPr="00B41BBD">
        <w:rPr>
          <w:rFonts w:cs="Arial"/>
          <w:sz w:val="22"/>
          <w:szCs w:val="22"/>
        </w:rPr>
        <w:t>Capital Financial Plan is</w:t>
      </w:r>
      <w:r w:rsidRPr="00B41BBD">
        <w:rPr>
          <w:rFonts w:cs="Arial"/>
          <w:sz w:val="22"/>
          <w:szCs w:val="22"/>
        </w:rPr>
        <w:t xml:space="preserve"> the key driver of treasury management activity. The output of the capital expenditure plans is reflected in </w:t>
      </w:r>
      <w:r w:rsidR="00022EEE" w:rsidRPr="00B41BBD">
        <w:rPr>
          <w:rFonts w:cs="Arial"/>
          <w:sz w:val="22"/>
          <w:szCs w:val="22"/>
        </w:rPr>
        <w:t xml:space="preserve">the </w:t>
      </w:r>
      <w:r w:rsidRPr="00B41BBD">
        <w:rPr>
          <w:rFonts w:cs="Arial"/>
          <w:sz w:val="22"/>
          <w:szCs w:val="22"/>
        </w:rPr>
        <w:t>prudential indicators, which are designed to assist members’ overview and confirm capital expenditure plans.</w:t>
      </w:r>
    </w:p>
    <w:p w14:paraId="53BCFCE9" w14:textId="77777777" w:rsidR="00483399" w:rsidRPr="00D26131" w:rsidRDefault="00483399">
      <w:pPr>
        <w:rPr>
          <w:rFonts w:cs="Arial"/>
          <w:sz w:val="22"/>
          <w:szCs w:val="22"/>
          <w:highlight w:val="yellow"/>
        </w:rPr>
      </w:pPr>
    </w:p>
    <w:p w14:paraId="143F5043" w14:textId="77777777" w:rsidR="00062BC5" w:rsidRPr="00B41BBD" w:rsidRDefault="00062BC5" w:rsidP="00776C91">
      <w:pPr>
        <w:numPr>
          <w:ilvl w:val="1"/>
          <w:numId w:val="12"/>
        </w:numPr>
        <w:tabs>
          <w:tab w:val="num" w:pos="540"/>
        </w:tabs>
        <w:ind w:left="540" w:hanging="540"/>
        <w:rPr>
          <w:rFonts w:cs="Arial"/>
          <w:color w:val="993366"/>
          <w:sz w:val="24"/>
          <w:szCs w:val="24"/>
        </w:rPr>
      </w:pPr>
      <w:r w:rsidRPr="00B41BBD">
        <w:rPr>
          <w:rFonts w:cs="Arial"/>
          <w:b/>
          <w:color w:val="993366"/>
          <w:sz w:val="24"/>
          <w:szCs w:val="24"/>
        </w:rPr>
        <w:t>Capital Expenditure (Prudential Indicator PI-1)</w:t>
      </w:r>
      <w:r w:rsidRPr="00B41BBD">
        <w:rPr>
          <w:rFonts w:cs="Arial"/>
          <w:color w:val="993366"/>
          <w:sz w:val="24"/>
          <w:szCs w:val="24"/>
        </w:rPr>
        <w:br/>
      </w:r>
    </w:p>
    <w:p w14:paraId="5BF6D71B" w14:textId="7E60061F" w:rsidR="00062BC5" w:rsidRPr="00F96795" w:rsidRDefault="00062BC5" w:rsidP="00F96795">
      <w:pPr>
        <w:ind w:left="540"/>
        <w:rPr>
          <w:rFonts w:cs="Arial"/>
          <w:sz w:val="16"/>
          <w:szCs w:val="16"/>
        </w:rPr>
      </w:pPr>
      <w:r w:rsidRPr="00B41BBD">
        <w:rPr>
          <w:rFonts w:cs="Arial"/>
          <w:sz w:val="22"/>
          <w:szCs w:val="22"/>
        </w:rPr>
        <w:t xml:space="preserve">This prudential </w:t>
      </w:r>
      <w:r w:rsidR="001D5022" w:rsidRPr="00B41BBD">
        <w:rPr>
          <w:rFonts w:cs="Arial"/>
          <w:sz w:val="22"/>
          <w:szCs w:val="22"/>
        </w:rPr>
        <w:t xml:space="preserve">indicator </w:t>
      </w:r>
      <w:r w:rsidRPr="00B41BBD">
        <w:rPr>
          <w:rFonts w:cs="Arial"/>
          <w:sz w:val="22"/>
          <w:szCs w:val="22"/>
        </w:rPr>
        <w:t xml:space="preserve">is a summary of the Council’s capital expenditure plans, both those agreed previously, and those forming part of this planning cycle. The Capital Financial Plan for </w:t>
      </w:r>
      <w:r w:rsidR="00B92656" w:rsidRPr="00B41BBD">
        <w:rPr>
          <w:rFonts w:cs="Arial"/>
          <w:sz w:val="22"/>
          <w:szCs w:val="22"/>
        </w:rPr>
        <w:t>202</w:t>
      </w:r>
      <w:r w:rsidR="00510CF3">
        <w:rPr>
          <w:rFonts w:cs="Arial"/>
          <w:sz w:val="22"/>
          <w:szCs w:val="22"/>
        </w:rPr>
        <w:t>4</w:t>
      </w:r>
      <w:r w:rsidR="009F7DBD" w:rsidRPr="00B41BBD">
        <w:rPr>
          <w:rFonts w:cs="Arial"/>
          <w:sz w:val="22"/>
          <w:szCs w:val="22"/>
        </w:rPr>
        <w:t>/</w:t>
      </w:r>
      <w:r w:rsidR="00537E9E" w:rsidRPr="00B41BBD">
        <w:rPr>
          <w:rFonts w:cs="Arial"/>
          <w:sz w:val="22"/>
          <w:szCs w:val="22"/>
        </w:rPr>
        <w:t>2</w:t>
      </w:r>
      <w:r w:rsidR="00510CF3">
        <w:rPr>
          <w:rFonts w:cs="Arial"/>
          <w:sz w:val="22"/>
          <w:szCs w:val="22"/>
        </w:rPr>
        <w:t>5</w:t>
      </w:r>
      <w:r w:rsidRPr="00B41BBD">
        <w:rPr>
          <w:rFonts w:cs="Arial"/>
          <w:sz w:val="22"/>
          <w:szCs w:val="22"/>
        </w:rPr>
        <w:t xml:space="preserve"> – </w:t>
      </w:r>
      <w:r w:rsidR="009C403D" w:rsidRPr="00B41BBD">
        <w:rPr>
          <w:rFonts w:cs="Arial"/>
          <w:sz w:val="22"/>
          <w:szCs w:val="22"/>
        </w:rPr>
        <w:t>203</w:t>
      </w:r>
      <w:r w:rsidR="00510CF3">
        <w:rPr>
          <w:rFonts w:cs="Arial"/>
          <w:sz w:val="22"/>
          <w:szCs w:val="22"/>
        </w:rPr>
        <w:t>3</w:t>
      </w:r>
      <w:r w:rsidR="009F7DBD" w:rsidRPr="00B41BBD">
        <w:rPr>
          <w:rFonts w:cs="Arial"/>
          <w:sz w:val="22"/>
          <w:szCs w:val="22"/>
        </w:rPr>
        <w:t>/</w:t>
      </w:r>
      <w:r w:rsidR="00B92656" w:rsidRPr="00B41BBD">
        <w:rPr>
          <w:rFonts w:cs="Arial"/>
          <w:sz w:val="22"/>
          <w:szCs w:val="22"/>
        </w:rPr>
        <w:t>3</w:t>
      </w:r>
      <w:r w:rsidR="00510CF3">
        <w:rPr>
          <w:rFonts w:cs="Arial"/>
          <w:sz w:val="22"/>
          <w:szCs w:val="22"/>
        </w:rPr>
        <w:t>4</w:t>
      </w:r>
      <w:r w:rsidRPr="00B41BBD">
        <w:rPr>
          <w:rFonts w:cs="Arial"/>
          <w:sz w:val="22"/>
          <w:szCs w:val="22"/>
        </w:rPr>
        <w:t xml:space="preserve"> includes the following capital expenditure forecasts</w:t>
      </w:r>
      <w:r w:rsidR="00093C87" w:rsidRPr="00B41BBD">
        <w:rPr>
          <w:rFonts w:cs="Arial"/>
          <w:sz w:val="22"/>
          <w:szCs w:val="22"/>
        </w:rPr>
        <w:t xml:space="preserve"> for the first five years</w:t>
      </w:r>
      <w:r w:rsidR="00B41BBD" w:rsidRPr="00B41BBD">
        <w:rPr>
          <w:rFonts w:cs="Arial"/>
          <w:sz w:val="22"/>
          <w:szCs w:val="22"/>
        </w:rPr>
        <w:t>.  202</w:t>
      </w:r>
      <w:r w:rsidR="006304EA">
        <w:rPr>
          <w:rFonts w:cs="Arial"/>
          <w:sz w:val="22"/>
          <w:szCs w:val="22"/>
        </w:rPr>
        <w:t>3</w:t>
      </w:r>
      <w:r w:rsidR="00B41BBD" w:rsidRPr="00B41BBD">
        <w:rPr>
          <w:rFonts w:cs="Arial"/>
          <w:sz w:val="22"/>
          <w:szCs w:val="22"/>
        </w:rPr>
        <w:t>/</w:t>
      </w:r>
      <w:r w:rsidR="00B92656" w:rsidRPr="00B41BBD">
        <w:rPr>
          <w:rFonts w:cs="Arial"/>
          <w:sz w:val="22"/>
          <w:szCs w:val="22"/>
        </w:rPr>
        <w:t>2</w:t>
      </w:r>
      <w:r w:rsidR="006304EA">
        <w:rPr>
          <w:rFonts w:cs="Arial"/>
          <w:sz w:val="22"/>
          <w:szCs w:val="22"/>
        </w:rPr>
        <w:t>4</w:t>
      </w:r>
      <w:r w:rsidR="0095204B" w:rsidRPr="00B41BBD">
        <w:rPr>
          <w:rFonts w:cs="Arial"/>
          <w:sz w:val="22"/>
          <w:szCs w:val="22"/>
        </w:rPr>
        <w:t xml:space="preserve"> projected outturn figures are also shown</w:t>
      </w:r>
      <w:r w:rsidRPr="00B41BBD">
        <w:rPr>
          <w:rFonts w:cs="Arial"/>
          <w:sz w:val="22"/>
          <w:szCs w:val="22"/>
        </w:rPr>
        <w:t>:</w:t>
      </w:r>
      <w:r w:rsidRPr="00B41BBD">
        <w:rPr>
          <w:rFonts w:cs="Arial"/>
          <w:sz w:val="22"/>
          <w:szCs w:val="22"/>
        </w:rPr>
        <w:br/>
      </w:r>
    </w:p>
    <w:tbl>
      <w:tblPr>
        <w:tblW w:w="10338" w:type="dxa"/>
        <w:tblLook w:val="04A0" w:firstRow="1" w:lastRow="0" w:firstColumn="1" w:lastColumn="0" w:noHBand="0" w:noVBand="1"/>
      </w:tblPr>
      <w:tblGrid>
        <w:gridCol w:w="3360"/>
        <w:gridCol w:w="1308"/>
        <w:gridCol w:w="1134"/>
        <w:gridCol w:w="1134"/>
        <w:gridCol w:w="1134"/>
        <w:gridCol w:w="1134"/>
        <w:gridCol w:w="1134"/>
      </w:tblGrid>
      <w:tr w:rsidR="0020745D" w:rsidRPr="0020745D" w14:paraId="7B0461D2" w14:textId="77777777" w:rsidTr="0020745D">
        <w:trPr>
          <w:trHeight w:val="300"/>
        </w:trPr>
        <w:tc>
          <w:tcPr>
            <w:tcW w:w="3360" w:type="dxa"/>
            <w:tcBorders>
              <w:top w:val="single" w:sz="8" w:space="0" w:color="auto"/>
              <w:left w:val="single" w:sz="8" w:space="0" w:color="auto"/>
              <w:bottom w:val="nil"/>
              <w:right w:val="single" w:sz="8" w:space="0" w:color="auto"/>
            </w:tcBorders>
            <w:shd w:val="clear" w:color="000000" w:fill="B3B3B3"/>
            <w:vAlign w:val="center"/>
            <w:hideMark/>
          </w:tcPr>
          <w:p w14:paraId="27A70C90" w14:textId="77777777" w:rsidR="0020745D" w:rsidRPr="0020745D" w:rsidRDefault="0020745D" w:rsidP="0020745D">
            <w:pPr>
              <w:rPr>
                <w:rFonts w:cs="Arial"/>
                <w:b/>
                <w:bCs/>
                <w:color w:val="000000"/>
                <w:spacing w:val="0"/>
                <w:sz w:val="22"/>
                <w:szCs w:val="22"/>
                <w:lang w:eastAsia="en-GB"/>
              </w:rPr>
            </w:pPr>
            <w:r w:rsidRPr="0020745D">
              <w:rPr>
                <w:rFonts w:cs="Arial"/>
                <w:b/>
                <w:bCs/>
                <w:color w:val="000000"/>
                <w:spacing w:val="0"/>
                <w:sz w:val="22"/>
                <w:szCs w:val="22"/>
                <w:lang w:eastAsia="en-GB"/>
              </w:rPr>
              <w:t>Capital Expenditure (PI-1)</w:t>
            </w:r>
          </w:p>
        </w:tc>
        <w:tc>
          <w:tcPr>
            <w:tcW w:w="6978" w:type="dxa"/>
            <w:gridSpan w:val="6"/>
            <w:vMerge w:val="restart"/>
            <w:tcBorders>
              <w:top w:val="single" w:sz="8" w:space="0" w:color="auto"/>
              <w:left w:val="single" w:sz="8" w:space="0" w:color="auto"/>
              <w:bottom w:val="single" w:sz="8" w:space="0" w:color="000000"/>
              <w:right w:val="single" w:sz="8" w:space="0" w:color="000000"/>
            </w:tcBorders>
            <w:shd w:val="clear" w:color="000000" w:fill="B3B3B3"/>
            <w:vAlign w:val="center"/>
            <w:hideMark/>
          </w:tcPr>
          <w:p w14:paraId="4E99BD6A" w14:textId="77777777"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Estimate</w:t>
            </w:r>
          </w:p>
        </w:tc>
      </w:tr>
      <w:tr w:rsidR="0020745D" w:rsidRPr="0020745D" w14:paraId="45CBE4C1" w14:textId="77777777" w:rsidTr="0020745D">
        <w:trPr>
          <w:trHeight w:val="315"/>
        </w:trPr>
        <w:tc>
          <w:tcPr>
            <w:tcW w:w="3360" w:type="dxa"/>
            <w:tcBorders>
              <w:top w:val="nil"/>
              <w:left w:val="single" w:sz="8" w:space="0" w:color="auto"/>
              <w:bottom w:val="nil"/>
              <w:right w:val="single" w:sz="8" w:space="0" w:color="auto"/>
            </w:tcBorders>
            <w:shd w:val="clear" w:color="000000" w:fill="B3B3B3"/>
            <w:vAlign w:val="center"/>
            <w:hideMark/>
          </w:tcPr>
          <w:p w14:paraId="7229BF14" w14:textId="77777777" w:rsidR="0020745D" w:rsidRPr="0020745D" w:rsidRDefault="0020745D" w:rsidP="0020745D">
            <w:pPr>
              <w:ind w:firstLineChars="200" w:firstLine="442"/>
              <w:rPr>
                <w:rFonts w:cs="Arial"/>
                <w:b/>
                <w:bCs/>
                <w:color w:val="000000"/>
                <w:spacing w:val="0"/>
                <w:sz w:val="22"/>
                <w:szCs w:val="22"/>
                <w:lang w:eastAsia="en-GB"/>
              </w:rPr>
            </w:pPr>
            <w:r w:rsidRPr="0020745D">
              <w:rPr>
                <w:rFonts w:cs="Arial"/>
                <w:b/>
                <w:bCs/>
                <w:color w:val="000000"/>
                <w:spacing w:val="0"/>
                <w:sz w:val="22"/>
                <w:szCs w:val="22"/>
                <w:lang w:eastAsia="en-GB"/>
              </w:rPr>
              <w:t> </w:t>
            </w:r>
          </w:p>
        </w:tc>
        <w:tc>
          <w:tcPr>
            <w:tcW w:w="6978" w:type="dxa"/>
            <w:gridSpan w:val="6"/>
            <w:vMerge/>
            <w:tcBorders>
              <w:top w:val="nil"/>
              <w:left w:val="single" w:sz="8" w:space="0" w:color="auto"/>
              <w:bottom w:val="nil"/>
              <w:right w:val="single" w:sz="8" w:space="0" w:color="auto"/>
            </w:tcBorders>
            <w:vAlign w:val="center"/>
            <w:hideMark/>
          </w:tcPr>
          <w:p w14:paraId="469463F7" w14:textId="77777777" w:rsidR="0020745D" w:rsidRPr="0020745D" w:rsidRDefault="0020745D" w:rsidP="0020745D">
            <w:pPr>
              <w:rPr>
                <w:rFonts w:cs="Arial"/>
                <w:b/>
                <w:bCs/>
                <w:color w:val="000000"/>
                <w:spacing w:val="0"/>
                <w:sz w:val="22"/>
                <w:szCs w:val="22"/>
                <w:lang w:eastAsia="en-GB"/>
              </w:rPr>
            </w:pPr>
          </w:p>
        </w:tc>
      </w:tr>
      <w:tr w:rsidR="0020745D" w:rsidRPr="0020745D" w14:paraId="71BA8893" w14:textId="77777777" w:rsidTr="0020745D">
        <w:trPr>
          <w:trHeight w:val="315"/>
        </w:trPr>
        <w:tc>
          <w:tcPr>
            <w:tcW w:w="3360" w:type="dxa"/>
            <w:tcBorders>
              <w:top w:val="nil"/>
              <w:left w:val="single" w:sz="8" w:space="0" w:color="auto"/>
              <w:bottom w:val="single" w:sz="8" w:space="0" w:color="auto"/>
              <w:right w:val="single" w:sz="8" w:space="0" w:color="auto"/>
            </w:tcBorders>
            <w:shd w:val="clear" w:color="000000" w:fill="B3B3B3"/>
            <w:vAlign w:val="center"/>
            <w:hideMark/>
          </w:tcPr>
          <w:p w14:paraId="3A139AC7" w14:textId="77777777" w:rsidR="0020745D" w:rsidRPr="0020745D" w:rsidRDefault="0020745D" w:rsidP="0020745D">
            <w:pPr>
              <w:rPr>
                <w:rFonts w:cs="Arial"/>
                <w:b/>
                <w:bCs/>
                <w:color w:val="000000"/>
                <w:spacing w:val="0"/>
                <w:sz w:val="22"/>
                <w:szCs w:val="22"/>
                <w:lang w:eastAsia="en-GB"/>
              </w:rPr>
            </w:pPr>
            <w:r w:rsidRPr="0020745D">
              <w:rPr>
                <w:rFonts w:cs="Arial"/>
                <w:b/>
                <w:bCs/>
                <w:color w:val="000000"/>
                <w:spacing w:val="0"/>
                <w:sz w:val="22"/>
                <w:szCs w:val="22"/>
                <w:lang w:eastAsia="en-GB"/>
              </w:rPr>
              <w:t>£m</w:t>
            </w:r>
          </w:p>
        </w:tc>
        <w:tc>
          <w:tcPr>
            <w:tcW w:w="1308" w:type="dxa"/>
            <w:tcBorders>
              <w:top w:val="nil"/>
              <w:left w:val="nil"/>
              <w:bottom w:val="single" w:sz="8" w:space="0" w:color="auto"/>
              <w:right w:val="single" w:sz="8" w:space="0" w:color="auto"/>
            </w:tcBorders>
            <w:shd w:val="clear" w:color="000000" w:fill="B3B3B3"/>
            <w:vAlign w:val="center"/>
            <w:hideMark/>
          </w:tcPr>
          <w:p w14:paraId="1D2595E4" w14:textId="717B84E0"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3</w:t>
            </w:r>
            <w:r w:rsidRPr="0020745D">
              <w:rPr>
                <w:rFonts w:cs="Arial"/>
                <w:b/>
                <w:bCs/>
                <w:color w:val="000000"/>
                <w:spacing w:val="0"/>
                <w:sz w:val="22"/>
                <w:szCs w:val="22"/>
                <w:lang w:eastAsia="en-GB"/>
              </w:rPr>
              <w:t>/2</w:t>
            </w:r>
            <w:r w:rsidR="00510CF3">
              <w:rPr>
                <w:rFonts w:cs="Arial"/>
                <w:b/>
                <w:bCs/>
                <w:color w:val="000000"/>
                <w:spacing w:val="0"/>
                <w:sz w:val="22"/>
                <w:szCs w:val="22"/>
                <w:lang w:eastAsia="en-GB"/>
              </w:rPr>
              <w:t>4</w:t>
            </w:r>
          </w:p>
        </w:tc>
        <w:tc>
          <w:tcPr>
            <w:tcW w:w="1134" w:type="dxa"/>
            <w:tcBorders>
              <w:top w:val="nil"/>
              <w:left w:val="nil"/>
              <w:bottom w:val="single" w:sz="8" w:space="0" w:color="auto"/>
              <w:right w:val="single" w:sz="8" w:space="0" w:color="auto"/>
            </w:tcBorders>
            <w:shd w:val="clear" w:color="000000" w:fill="B3B3B3"/>
            <w:vAlign w:val="center"/>
            <w:hideMark/>
          </w:tcPr>
          <w:p w14:paraId="45F41E40" w14:textId="48F6AA09"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4</w:t>
            </w:r>
            <w:r w:rsidRPr="0020745D">
              <w:rPr>
                <w:rFonts w:cs="Arial"/>
                <w:b/>
                <w:bCs/>
                <w:color w:val="000000"/>
                <w:spacing w:val="0"/>
                <w:sz w:val="22"/>
                <w:szCs w:val="22"/>
                <w:lang w:eastAsia="en-GB"/>
              </w:rPr>
              <w:t>/2</w:t>
            </w:r>
            <w:r w:rsidR="00510CF3">
              <w:rPr>
                <w:rFonts w:cs="Arial"/>
                <w:b/>
                <w:bCs/>
                <w:color w:val="000000"/>
                <w:spacing w:val="0"/>
                <w:sz w:val="22"/>
                <w:szCs w:val="22"/>
                <w:lang w:eastAsia="en-GB"/>
              </w:rPr>
              <w:t>5</w:t>
            </w:r>
          </w:p>
        </w:tc>
        <w:tc>
          <w:tcPr>
            <w:tcW w:w="1134" w:type="dxa"/>
            <w:tcBorders>
              <w:top w:val="nil"/>
              <w:left w:val="nil"/>
              <w:bottom w:val="single" w:sz="8" w:space="0" w:color="auto"/>
              <w:right w:val="single" w:sz="8" w:space="0" w:color="auto"/>
            </w:tcBorders>
            <w:shd w:val="clear" w:color="000000" w:fill="B3B3B3"/>
            <w:vAlign w:val="center"/>
            <w:hideMark/>
          </w:tcPr>
          <w:p w14:paraId="41394F99" w14:textId="78FE3497"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5</w:t>
            </w:r>
            <w:r w:rsidRPr="0020745D">
              <w:rPr>
                <w:rFonts w:cs="Arial"/>
                <w:b/>
                <w:bCs/>
                <w:color w:val="000000"/>
                <w:spacing w:val="0"/>
                <w:sz w:val="22"/>
                <w:szCs w:val="22"/>
                <w:lang w:eastAsia="en-GB"/>
              </w:rPr>
              <w:t>/2</w:t>
            </w:r>
            <w:r w:rsidR="00510CF3">
              <w:rPr>
                <w:rFonts w:cs="Arial"/>
                <w:b/>
                <w:bCs/>
                <w:color w:val="000000"/>
                <w:spacing w:val="0"/>
                <w:sz w:val="22"/>
                <w:szCs w:val="22"/>
                <w:lang w:eastAsia="en-GB"/>
              </w:rPr>
              <w:t>6</w:t>
            </w:r>
          </w:p>
        </w:tc>
        <w:tc>
          <w:tcPr>
            <w:tcW w:w="1134" w:type="dxa"/>
            <w:tcBorders>
              <w:top w:val="nil"/>
              <w:left w:val="nil"/>
              <w:bottom w:val="single" w:sz="8" w:space="0" w:color="auto"/>
              <w:right w:val="single" w:sz="8" w:space="0" w:color="auto"/>
            </w:tcBorders>
            <w:shd w:val="clear" w:color="000000" w:fill="B3B3B3"/>
            <w:vAlign w:val="center"/>
            <w:hideMark/>
          </w:tcPr>
          <w:p w14:paraId="4EAF6BF6" w14:textId="250B669A"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6</w:t>
            </w:r>
            <w:r w:rsidRPr="0020745D">
              <w:rPr>
                <w:rFonts w:cs="Arial"/>
                <w:b/>
                <w:bCs/>
                <w:color w:val="000000"/>
                <w:spacing w:val="0"/>
                <w:sz w:val="22"/>
                <w:szCs w:val="22"/>
                <w:lang w:eastAsia="en-GB"/>
              </w:rPr>
              <w:t>/2</w:t>
            </w:r>
            <w:r w:rsidR="00510CF3">
              <w:rPr>
                <w:rFonts w:cs="Arial"/>
                <w:b/>
                <w:bCs/>
                <w:color w:val="000000"/>
                <w:spacing w:val="0"/>
                <w:sz w:val="22"/>
                <w:szCs w:val="22"/>
                <w:lang w:eastAsia="en-GB"/>
              </w:rPr>
              <w:t>7</w:t>
            </w:r>
          </w:p>
        </w:tc>
        <w:tc>
          <w:tcPr>
            <w:tcW w:w="1134" w:type="dxa"/>
            <w:tcBorders>
              <w:top w:val="nil"/>
              <w:left w:val="nil"/>
              <w:bottom w:val="single" w:sz="8" w:space="0" w:color="auto"/>
              <w:right w:val="single" w:sz="8" w:space="0" w:color="auto"/>
            </w:tcBorders>
            <w:shd w:val="clear" w:color="000000" w:fill="B3B3B3"/>
            <w:vAlign w:val="center"/>
            <w:hideMark/>
          </w:tcPr>
          <w:p w14:paraId="3ACD8BDE" w14:textId="74FE67E1"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7</w:t>
            </w:r>
            <w:r w:rsidRPr="0020745D">
              <w:rPr>
                <w:rFonts w:cs="Arial"/>
                <w:b/>
                <w:bCs/>
                <w:color w:val="000000"/>
                <w:spacing w:val="0"/>
                <w:sz w:val="22"/>
                <w:szCs w:val="22"/>
                <w:lang w:eastAsia="en-GB"/>
              </w:rPr>
              <w:t>/2</w:t>
            </w:r>
            <w:r w:rsidR="00510CF3">
              <w:rPr>
                <w:rFonts w:cs="Arial"/>
                <w:b/>
                <w:bCs/>
                <w:color w:val="000000"/>
                <w:spacing w:val="0"/>
                <w:sz w:val="22"/>
                <w:szCs w:val="22"/>
                <w:lang w:eastAsia="en-GB"/>
              </w:rPr>
              <w:t>8</w:t>
            </w:r>
          </w:p>
        </w:tc>
        <w:tc>
          <w:tcPr>
            <w:tcW w:w="1134" w:type="dxa"/>
            <w:tcBorders>
              <w:top w:val="nil"/>
              <w:left w:val="nil"/>
              <w:bottom w:val="single" w:sz="8" w:space="0" w:color="auto"/>
              <w:right w:val="single" w:sz="8" w:space="0" w:color="auto"/>
            </w:tcBorders>
            <w:shd w:val="clear" w:color="000000" w:fill="B3B3B3"/>
            <w:vAlign w:val="center"/>
            <w:hideMark/>
          </w:tcPr>
          <w:p w14:paraId="7A7B92C5" w14:textId="6AFE8C20" w:rsidR="0020745D" w:rsidRPr="0020745D" w:rsidRDefault="0020745D" w:rsidP="0020745D">
            <w:pPr>
              <w:jc w:val="center"/>
              <w:rPr>
                <w:rFonts w:cs="Arial"/>
                <w:b/>
                <w:bCs/>
                <w:color w:val="000000"/>
                <w:spacing w:val="0"/>
                <w:sz w:val="22"/>
                <w:szCs w:val="22"/>
                <w:lang w:eastAsia="en-GB"/>
              </w:rPr>
            </w:pPr>
            <w:r w:rsidRPr="0020745D">
              <w:rPr>
                <w:rFonts w:cs="Arial"/>
                <w:b/>
                <w:bCs/>
                <w:color w:val="000000"/>
                <w:spacing w:val="0"/>
                <w:sz w:val="22"/>
                <w:szCs w:val="22"/>
                <w:lang w:eastAsia="en-GB"/>
              </w:rPr>
              <w:t>202</w:t>
            </w:r>
            <w:r w:rsidR="00510CF3">
              <w:rPr>
                <w:rFonts w:cs="Arial"/>
                <w:b/>
                <w:bCs/>
                <w:color w:val="000000"/>
                <w:spacing w:val="0"/>
                <w:sz w:val="22"/>
                <w:szCs w:val="22"/>
                <w:lang w:eastAsia="en-GB"/>
              </w:rPr>
              <w:t>8</w:t>
            </w:r>
            <w:r w:rsidRPr="0020745D">
              <w:rPr>
                <w:rFonts w:cs="Arial"/>
                <w:b/>
                <w:bCs/>
                <w:color w:val="000000"/>
                <w:spacing w:val="0"/>
                <w:sz w:val="22"/>
                <w:szCs w:val="22"/>
                <w:lang w:eastAsia="en-GB"/>
              </w:rPr>
              <w:t>/2</w:t>
            </w:r>
            <w:r w:rsidR="00510CF3">
              <w:rPr>
                <w:rFonts w:cs="Arial"/>
                <w:b/>
                <w:bCs/>
                <w:color w:val="000000"/>
                <w:spacing w:val="0"/>
                <w:sz w:val="22"/>
                <w:szCs w:val="22"/>
                <w:lang w:eastAsia="en-GB"/>
              </w:rPr>
              <w:t>9</w:t>
            </w:r>
          </w:p>
        </w:tc>
      </w:tr>
      <w:tr w:rsidR="0020745D" w:rsidRPr="0020745D" w14:paraId="5778A7CE" w14:textId="77777777" w:rsidTr="0020745D">
        <w:trPr>
          <w:trHeight w:val="300"/>
        </w:trPr>
        <w:tc>
          <w:tcPr>
            <w:tcW w:w="3360" w:type="dxa"/>
            <w:tcBorders>
              <w:top w:val="nil"/>
              <w:left w:val="single" w:sz="8" w:space="0" w:color="auto"/>
              <w:bottom w:val="nil"/>
              <w:right w:val="single" w:sz="8" w:space="0" w:color="auto"/>
            </w:tcBorders>
            <w:shd w:val="clear" w:color="000000" w:fill="D9D9D9"/>
            <w:vAlign w:val="center"/>
            <w:hideMark/>
          </w:tcPr>
          <w:p w14:paraId="1C1656BB"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Assets &amp; Infrastructure</w:t>
            </w:r>
          </w:p>
        </w:tc>
        <w:tc>
          <w:tcPr>
            <w:tcW w:w="1308" w:type="dxa"/>
            <w:tcBorders>
              <w:top w:val="nil"/>
              <w:left w:val="nil"/>
              <w:bottom w:val="nil"/>
              <w:right w:val="single" w:sz="8" w:space="0" w:color="auto"/>
            </w:tcBorders>
            <w:shd w:val="clear" w:color="000000" w:fill="D9D9D9"/>
            <w:vAlign w:val="center"/>
            <w:hideMark/>
          </w:tcPr>
          <w:p w14:paraId="200A09FE" w14:textId="74400CE6"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46.</w:t>
            </w:r>
            <w:r w:rsidR="00510CF3">
              <w:rPr>
                <w:rFonts w:ascii="Calibri" w:hAnsi="Calibri" w:cs="Calibri"/>
                <w:color w:val="000000"/>
                <w:spacing w:val="0"/>
                <w:sz w:val="22"/>
                <w:szCs w:val="22"/>
                <w:lang w:eastAsia="en-GB"/>
              </w:rPr>
              <w:t>5</w:t>
            </w:r>
          </w:p>
        </w:tc>
        <w:tc>
          <w:tcPr>
            <w:tcW w:w="1134" w:type="dxa"/>
            <w:tcBorders>
              <w:top w:val="nil"/>
              <w:left w:val="nil"/>
              <w:bottom w:val="nil"/>
              <w:right w:val="single" w:sz="8" w:space="0" w:color="auto"/>
            </w:tcBorders>
            <w:shd w:val="clear" w:color="000000" w:fill="D9D9D9"/>
            <w:vAlign w:val="center"/>
            <w:hideMark/>
          </w:tcPr>
          <w:p w14:paraId="3C2E28BE" w14:textId="6F3958A7" w:rsidR="0020745D" w:rsidRPr="0020745D" w:rsidRDefault="00510CF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20.8</w:t>
            </w:r>
          </w:p>
        </w:tc>
        <w:tc>
          <w:tcPr>
            <w:tcW w:w="1134" w:type="dxa"/>
            <w:tcBorders>
              <w:top w:val="nil"/>
              <w:left w:val="nil"/>
              <w:bottom w:val="nil"/>
              <w:right w:val="single" w:sz="8" w:space="0" w:color="auto"/>
            </w:tcBorders>
            <w:shd w:val="clear" w:color="000000" w:fill="D9D9D9"/>
            <w:vAlign w:val="center"/>
            <w:hideMark/>
          </w:tcPr>
          <w:p w14:paraId="51DDE833" w14:textId="7799225A"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w:t>
            </w:r>
            <w:r w:rsidR="00510CF3">
              <w:rPr>
                <w:rFonts w:ascii="Calibri" w:hAnsi="Calibri" w:cs="Calibri"/>
                <w:color w:val="000000"/>
                <w:spacing w:val="0"/>
                <w:sz w:val="22"/>
                <w:szCs w:val="22"/>
                <w:lang w:eastAsia="en-GB"/>
              </w:rPr>
              <w:t>4.8</w:t>
            </w:r>
          </w:p>
        </w:tc>
        <w:tc>
          <w:tcPr>
            <w:tcW w:w="1134" w:type="dxa"/>
            <w:tcBorders>
              <w:top w:val="nil"/>
              <w:left w:val="nil"/>
              <w:bottom w:val="nil"/>
              <w:right w:val="single" w:sz="8" w:space="0" w:color="auto"/>
            </w:tcBorders>
            <w:shd w:val="clear" w:color="000000" w:fill="D9D9D9"/>
            <w:vAlign w:val="center"/>
            <w:hideMark/>
          </w:tcPr>
          <w:p w14:paraId="4921CAF0" w14:textId="03BA141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13.</w:t>
            </w:r>
            <w:r w:rsidR="00A31763">
              <w:rPr>
                <w:rFonts w:ascii="Calibri" w:hAnsi="Calibri" w:cs="Calibri"/>
                <w:color w:val="000000"/>
                <w:spacing w:val="0"/>
                <w:sz w:val="22"/>
                <w:szCs w:val="22"/>
                <w:lang w:eastAsia="en-GB"/>
              </w:rPr>
              <w:t>0</w:t>
            </w:r>
          </w:p>
        </w:tc>
        <w:tc>
          <w:tcPr>
            <w:tcW w:w="1134" w:type="dxa"/>
            <w:tcBorders>
              <w:top w:val="nil"/>
              <w:left w:val="nil"/>
              <w:bottom w:val="nil"/>
              <w:right w:val="single" w:sz="8" w:space="0" w:color="auto"/>
            </w:tcBorders>
            <w:shd w:val="clear" w:color="000000" w:fill="D9D9D9"/>
            <w:vAlign w:val="center"/>
            <w:hideMark/>
          </w:tcPr>
          <w:p w14:paraId="30732DEF" w14:textId="0D3B1B04"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12.</w:t>
            </w:r>
            <w:r w:rsidR="00A31763">
              <w:rPr>
                <w:rFonts w:ascii="Calibri" w:hAnsi="Calibri" w:cs="Calibri"/>
                <w:color w:val="000000"/>
                <w:spacing w:val="0"/>
                <w:sz w:val="22"/>
                <w:szCs w:val="22"/>
                <w:lang w:eastAsia="en-GB"/>
              </w:rPr>
              <w:t>9</w:t>
            </w:r>
          </w:p>
        </w:tc>
        <w:tc>
          <w:tcPr>
            <w:tcW w:w="1134" w:type="dxa"/>
            <w:tcBorders>
              <w:top w:val="nil"/>
              <w:left w:val="nil"/>
              <w:bottom w:val="nil"/>
              <w:right w:val="single" w:sz="8" w:space="0" w:color="auto"/>
            </w:tcBorders>
            <w:shd w:val="clear" w:color="000000" w:fill="D9D9D9"/>
            <w:vAlign w:val="center"/>
            <w:hideMark/>
          </w:tcPr>
          <w:p w14:paraId="4DB5EE02" w14:textId="12093DA1"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12.</w:t>
            </w:r>
            <w:r w:rsidR="00A31763">
              <w:rPr>
                <w:rFonts w:ascii="Calibri" w:hAnsi="Calibri" w:cs="Calibri"/>
                <w:color w:val="000000"/>
                <w:spacing w:val="0"/>
                <w:sz w:val="22"/>
                <w:szCs w:val="22"/>
                <w:lang w:eastAsia="en-GB"/>
              </w:rPr>
              <w:t>5</w:t>
            </w:r>
          </w:p>
        </w:tc>
      </w:tr>
      <w:tr w:rsidR="0020745D" w:rsidRPr="0020745D" w14:paraId="78D73949" w14:textId="77777777" w:rsidTr="0020745D">
        <w:trPr>
          <w:trHeight w:val="300"/>
        </w:trPr>
        <w:tc>
          <w:tcPr>
            <w:tcW w:w="3360" w:type="dxa"/>
            <w:tcBorders>
              <w:top w:val="nil"/>
              <w:left w:val="single" w:sz="8" w:space="0" w:color="auto"/>
              <w:bottom w:val="nil"/>
              <w:right w:val="single" w:sz="8" w:space="0" w:color="auto"/>
            </w:tcBorders>
            <w:shd w:val="clear" w:color="auto" w:fill="auto"/>
            <w:vAlign w:val="center"/>
            <w:hideMark/>
          </w:tcPr>
          <w:p w14:paraId="4ACA64F3"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Other Corporate Services</w:t>
            </w:r>
          </w:p>
        </w:tc>
        <w:tc>
          <w:tcPr>
            <w:tcW w:w="1308" w:type="dxa"/>
            <w:tcBorders>
              <w:top w:val="nil"/>
              <w:left w:val="nil"/>
              <w:bottom w:val="nil"/>
              <w:right w:val="single" w:sz="8" w:space="0" w:color="auto"/>
            </w:tcBorders>
            <w:shd w:val="clear" w:color="auto" w:fill="auto"/>
            <w:vAlign w:val="center"/>
            <w:hideMark/>
          </w:tcPr>
          <w:p w14:paraId="518F9352" w14:textId="2290A146" w:rsidR="0020745D" w:rsidRPr="0020745D" w:rsidRDefault="00A3176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8.4</w:t>
            </w:r>
          </w:p>
        </w:tc>
        <w:tc>
          <w:tcPr>
            <w:tcW w:w="1134" w:type="dxa"/>
            <w:tcBorders>
              <w:top w:val="nil"/>
              <w:left w:val="nil"/>
              <w:bottom w:val="nil"/>
              <w:right w:val="single" w:sz="8" w:space="0" w:color="auto"/>
            </w:tcBorders>
            <w:shd w:val="clear" w:color="auto" w:fill="auto"/>
            <w:vAlign w:val="center"/>
            <w:hideMark/>
          </w:tcPr>
          <w:p w14:paraId="0C1390DA" w14:textId="67D2E63A" w:rsidR="0020745D" w:rsidRPr="0020745D" w:rsidRDefault="00A3176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5.7</w:t>
            </w:r>
          </w:p>
        </w:tc>
        <w:tc>
          <w:tcPr>
            <w:tcW w:w="1134" w:type="dxa"/>
            <w:tcBorders>
              <w:top w:val="nil"/>
              <w:left w:val="nil"/>
              <w:bottom w:val="nil"/>
              <w:right w:val="single" w:sz="8" w:space="0" w:color="auto"/>
            </w:tcBorders>
            <w:shd w:val="clear" w:color="auto" w:fill="auto"/>
            <w:vAlign w:val="center"/>
            <w:hideMark/>
          </w:tcPr>
          <w:p w14:paraId="65A8A96D" w14:textId="34B08227" w:rsidR="0020745D" w:rsidRPr="0020745D" w:rsidRDefault="00A3176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0.1</w:t>
            </w:r>
          </w:p>
        </w:tc>
        <w:tc>
          <w:tcPr>
            <w:tcW w:w="1134" w:type="dxa"/>
            <w:tcBorders>
              <w:top w:val="nil"/>
              <w:left w:val="nil"/>
              <w:bottom w:val="nil"/>
              <w:right w:val="single" w:sz="8" w:space="0" w:color="auto"/>
            </w:tcBorders>
            <w:shd w:val="clear" w:color="auto" w:fill="auto"/>
            <w:vAlign w:val="center"/>
            <w:hideMark/>
          </w:tcPr>
          <w:p w14:paraId="12789736" w14:textId="608F040E"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w:t>
            </w:r>
            <w:r w:rsidR="00A31763">
              <w:rPr>
                <w:rFonts w:ascii="Calibri" w:hAnsi="Calibri" w:cs="Calibri"/>
                <w:color w:val="000000"/>
                <w:spacing w:val="0"/>
                <w:sz w:val="22"/>
                <w:szCs w:val="22"/>
                <w:lang w:eastAsia="en-GB"/>
              </w:rPr>
              <w:t>5</w:t>
            </w:r>
          </w:p>
        </w:tc>
        <w:tc>
          <w:tcPr>
            <w:tcW w:w="1134" w:type="dxa"/>
            <w:tcBorders>
              <w:top w:val="nil"/>
              <w:left w:val="nil"/>
              <w:bottom w:val="nil"/>
              <w:right w:val="single" w:sz="8" w:space="0" w:color="auto"/>
            </w:tcBorders>
            <w:shd w:val="clear" w:color="auto" w:fill="auto"/>
            <w:vAlign w:val="center"/>
            <w:hideMark/>
          </w:tcPr>
          <w:p w14:paraId="374DB993" w14:textId="0E4BEFC9"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w:t>
            </w:r>
            <w:r w:rsidR="00A31763">
              <w:rPr>
                <w:rFonts w:ascii="Calibri" w:hAnsi="Calibri" w:cs="Calibri"/>
                <w:color w:val="000000"/>
                <w:spacing w:val="0"/>
                <w:sz w:val="22"/>
                <w:szCs w:val="22"/>
                <w:lang w:eastAsia="en-GB"/>
              </w:rPr>
              <w:t>2</w:t>
            </w:r>
          </w:p>
        </w:tc>
        <w:tc>
          <w:tcPr>
            <w:tcW w:w="1134" w:type="dxa"/>
            <w:tcBorders>
              <w:top w:val="nil"/>
              <w:left w:val="nil"/>
              <w:bottom w:val="nil"/>
              <w:right w:val="single" w:sz="8" w:space="0" w:color="auto"/>
            </w:tcBorders>
            <w:shd w:val="clear" w:color="auto" w:fill="auto"/>
            <w:vAlign w:val="center"/>
            <w:hideMark/>
          </w:tcPr>
          <w:p w14:paraId="3BD516C4"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0.2</w:t>
            </w:r>
          </w:p>
        </w:tc>
      </w:tr>
      <w:tr w:rsidR="0020745D" w:rsidRPr="0020745D" w14:paraId="1EF1DB30" w14:textId="77777777" w:rsidTr="0020745D">
        <w:trPr>
          <w:trHeight w:val="300"/>
        </w:trPr>
        <w:tc>
          <w:tcPr>
            <w:tcW w:w="3360" w:type="dxa"/>
            <w:tcBorders>
              <w:top w:val="nil"/>
              <w:left w:val="single" w:sz="8" w:space="0" w:color="auto"/>
              <w:bottom w:val="nil"/>
              <w:right w:val="single" w:sz="8" w:space="0" w:color="auto"/>
            </w:tcBorders>
            <w:shd w:val="clear" w:color="000000" w:fill="D9D9D9"/>
            <w:vAlign w:val="center"/>
            <w:hideMark/>
          </w:tcPr>
          <w:p w14:paraId="73BDAEC9"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Children &amp; Young People</w:t>
            </w:r>
          </w:p>
        </w:tc>
        <w:tc>
          <w:tcPr>
            <w:tcW w:w="1308" w:type="dxa"/>
            <w:tcBorders>
              <w:top w:val="nil"/>
              <w:left w:val="nil"/>
              <w:bottom w:val="nil"/>
              <w:right w:val="single" w:sz="8" w:space="0" w:color="auto"/>
            </w:tcBorders>
            <w:shd w:val="clear" w:color="000000" w:fill="D9D9D9"/>
            <w:vAlign w:val="center"/>
            <w:hideMark/>
          </w:tcPr>
          <w:p w14:paraId="4EE74C3B" w14:textId="0DA659A9"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35.0</w:t>
            </w:r>
          </w:p>
        </w:tc>
        <w:tc>
          <w:tcPr>
            <w:tcW w:w="1134" w:type="dxa"/>
            <w:tcBorders>
              <w:top w:val="nil"/>
              <w:left w:val="nil"/>
              <w:bottom w:val="nil"/>
              <w:right w:val="single" w:sz="8" w:space="0" w:color="auto"/>
            </w:tcBorders>
            <w:shd w:val="clear" w:color="000000" w:fill="D9D9D9"/>
            <w:vAlign w:val="center"/>
            <w:hideMark/>
          </w:tcPr>
          <w:p w14:paraId="1A644CFA" w14:textId="610E7F56"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68.8</w:t>
            </w:r>
          </w:p>
        </w:tc>
        <w:tc>
          <w:tcPr>
            <w:tcW w:w="1134" w:type="dxa"/>
            <w:tcBorders>
              <w:top w:val="nil"/>
              <w:left w:val="nil"/>
              <w:bottom w:val="nil"/>
              <w:right w:val="single" w:sz="8" w:space="0" w:color="auto"/>
            </w:tcBorders>
            <w:shd w:val="clear" w:color="000000" w:fill="D9D9D9"/>
            <w:vAlign w:val="center"/>
            <w:hideMark/>
          </w:tcPr>
          <w:p w14:paraId="14E9C89F" w14:textId="2C2824B4"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51.9</w:t>
            </w:r>
          </w:p>
        </w:tc>
        <w:tc>
          <w:tcPr>
            <w:tcW w:w="1134" w:type="dxa"/>
            <w:tcBorders>
              <w:top w:val="nil"/>
              <w:left w:val="nil"/>
              <w:bottom w:val="nil"/>
              <w:right w:val="single" w:sz="8" w:space="0" w:color="auto"/>
            </w:tcBorders>
            <w:shd w:val="clear" w:color="000000" w:fill="D9D9D9"/>
            <w:vAlign w:val="center"/>
            <w:hideMark/>
          </w:tcPr>
          <w:p w14:paraId="67C23F45" w14:textId="4028B25F"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32</w:t>
            </w:r>
            <w:r w:rsidR="00A31763">
              <w:rPr>
                <w:rFonts w:ascii="Calibri" w:hAnsi="Calibri" w:cs="Calibri"/>
                <w:color w:val="000000"/>
                <w:spacing w:val="0"/>
                <w:sz w:val="22"/>
                <w:szCs w:val="22"/>
                <w:lang w:eastAsia="en-GB"/>
              </w:rPr>
              <w:t>.9</w:t>
            </w:r>
          </w:p>
        </w:tc>
        <w:tc>
          <w:tcPr>
            <w:tcW w:w="1134" w:type="dxa"/>
            <w:tcBorders>
              <w:top w:val="nil"/>
              <w:left w:val="nil"/>
              <w:bottom w:val="nil"/>
              <w:right w:val="single" w:sz="8" w:space="0" w:color="auto"/>
            </w:tcBorders>
            <w:shd w:val="clear" w:color="000000" w:fill="D9D9D9"/>
            <w:vAlign w:val="center"/>
            <w:hideMark/>
          </w:tcPr>
          <w:p w14:paraId="22022D29" w14:textId="7CB7EF89"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21.9</w:t>
            </w:r>
          </w:p>
        </w:tc>
        <w:tc>
          <w:tcPr>
            <w:tcW w:w="1134" w:type="dxa"/>
            <w:tcBorders>
              <w:top w:val="nil"/>
              <w:left w:val="nil"/>
              <w:bottom w:val="nil"/>
              <w:right w:val="single" w:sz="8" w:space="0" w:color="auto"/>
            </w:tcBorders>
            <w:shd w:val="clear" w:color="000000" w:fill="D9D9D9"/>
            <w:vAlign w:val="center"/>
            <w:hideMark/>
          </w:tcPr>
          <w:p w14:paraId="488B315F" w14:textId="0D4177B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2</w:t>
            </w:r>
            <w:r w:rsidR="00D12BA6">
              <w:rPr>
                <w:rFonts w:ascii="Calibri" w:hAnsi="Calibri" w:cs="Calibri"/>
                <w:color w:val="000000"/>
                <w:spacing w:val="0"/>
                <w:sz w:val="22"/>
                <w:szCs w:val="22"/>
                <w:lang w:eastAsia="en-GB"/>
              </w:rPr>
              <w:t>.5</w:t>
            </w:r>
          </w:p>
        </w:tc>
      </w:tr>
      <w:tr w:rsidR="0020745D" w:rsidRPr="0020745D" w14:paraId="7B0141F3" w14:textId="77777777" w:rsidTr="0020745D">
        <w:trPr>
          <w:trHeight w:val="300"/>
        </w:trPr>
        <w:tc>
          <w:tcPr>
            <w:tcW w:w="3360" w:type="dxa"/>
            <w:tcBorders>
              <w:top w:val="nil"/>
              <w:left w:val="single" w:sz="8" w:space="0" w:color="auto"/>
              <w:bottom w:val="nil"/>
              <w:right w:val="single" w:sz="8" w:space="0" w:color="auto"/>
            </w:tcBorders>
            <w:shd w:val="clear" w:color="auto" w:fill="auto"/>
            <w:vAlign w:val="center"/>
            <w:hideMark/>
          </w:tcPr>
          <w:p w14:paraId="3F727377"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 xml:space="preserve">Culture &amp; Sport </w:t>
            </w:r>
          </w:p>
        </w:tc>
        <w:tc>
          <w:tcPr>
            <w:tcW w:w="1308" w:type="dxa"/>
            <w:tcBorders>
              <w:top w:val="nil"/>
              <w:left w:val="nil"/>
              <w:bottom w:val="nil"/>
              <w:right w:val="single" w:sz="8" w:space="0" w:color="auto"/>
            </w:tcBorders>
            <w:shd w:val="clear" w:color="auto" w:fill="auto"/>
            <w:vAlign w:val="center"/>
            <w:hideMark/>
          </w:tcPr>
          <w:p w14:paraId="24C46A75" w14:textId="04E951F8"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1.0</w:t>
            </w:r>
          </w:p>
        </w:tc>
        <w:tc>
          <w:tcPr>
            <w:tcW w:w="1134" w:type="dxa"/>
            <w:tcBorders>
              <w:top w:val="nil"/>
              <w:left w:val="nil"/>
              <w:bottom w:val="nil"/>
              <w:right w:val="single" w:sz="8" w:space="0" w:color="auto"/>
            </w:tcBorders>
            <w:shd w:val="clear" w:color="auto" w:fill="auto"/>
            <w:vAlign w:val="center"/>
            <w:hideMark/>
          </w:tcPr>
          <w:p w14:paraId="1E34D642" w14:textId="726DAB54"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w:t>
            </w:r>
            <w:r w:rsidR="005B0233">
              <w:rPr>
                <w:rFonts w:ascii="Calibri" w:hAnsi="Calibri" w:cs="Calibri"/>
                <w:color w:val="000000"/>
                <w:spacing w:val="0"/>
                <w:sz w:val="22"/>
                <w:szCs w:val="22"/>
                <w:lang w:eastAsia="en-GB"/>
              </w:rPr>
              <w:t>4</w:t>
            </w:r>
          </w:p>
        </w:tc>
        <w:tc>
          <w:tcPr>
            <w:tcW w:w="1134" w:type="dxa"/>
            <w:tcBorders>
              <w:top w:val="nil"/>
              <w:left w:val="nil"/>
              <w:bottom w:val="nil"/>
              <w:right w:val="single" w:sz="8" w:space="0" w:color="auto"/>
            </w:tcBorders>
            <w:shd w:val="clear" w:color="auto" w:fill="auto"/>
            <w:vAlign w:val="center"/>
            <w:hideMark/>
          </w:tcPr>
          <w:p w14:paraId="6C0C6DF4" w14:textId="43B0C99F"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2.0</w:t>
            </w:r>
          </w:p>
        </w:tc>
        <w:tc>
          <w:tcPr>
            <w:tcW w:w="1134" w:type="dxa"/>
            <w:tcBorders>
              <w:top w:val="nil"/>
              <w:left w:val="nil"/>
              <w:bottom w:val="nil"/>
              <w:right w:val="single" w:sz="8" w:space="0" w:color="auto"/>
            </w:tcBorders>
            <w:shd w:val="clear" w:color="auto" w:fill="auto"/>
            <w:vAlign w:val="center"/>
            <w:hideMark/>
          </w:tcPr>
          <w:p w14:paraId="33E30A86" w14:textId="3CB0BE3E"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0.8</w:t>
            </w:r>
          </w:p>
        </w:tc>
        <w:tc>
          <w:tcPr>
            <w:tcW w:w="1134" w:type="dxa"/>
            <w:tcBorders>
              <w:top w:val="nil"/>
              <w:left w:val="nil"/>
              <w:bottom w:val="nil"/>
              <w:right w:val="single" w:sz="8" w:space="0" w:color="auto"/>
            </w:tcBorders>
            <w:shd w:val="clear" w:color="auto" w:fill="auto"/>
            <w:vAlign w:val="center"/>
            <w:hideMark/>
          </w:tcPr>
          <w:p w14:paraId="28178B47"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0.8</w:t>
            </w:r>
          </w:p>
        </w:tc>
        <w:tc>
          <w:tcPr>
            <w:tcW w:w="1134" w:type="dxa"/>
            <w:tcBorders>
              <w:top w:val="nil"/>
              <w:left w:val="nil"/>
              <w:bottom w:val="nil"/>
              <w:right w:val="single" w:sz="8" w:space="0" w:color="auto"/>
            </w:tcBorders>
            <w:shd w:val="clear" w:color="auto" w:fill="auto"/>
            <w:vAlign w:val="center"/>
            <w:hideMark/>
          </w:tcPr>
          <w:p w14:paraId="2A46D90B"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0.8</w:t>
            </w:r>
          </w:p>
        </w:tc>
      </w:tr>
      <w:tr w:rsidR="0020745D" w:rsidRPr="0020745D" w14:paraId="1D49A9CB" w14:textId="77777777" w:rsidTr="0020745D">
        <w:trPr>
          <w:trHeight w:val="300"/>
        </w:trPr>
        <w:tc>
          <w:tcPr>
            <w:tcW w:w="3360" w:type="dxa"/>
            <w:tcBorders>
              <w:top w:val="nil"/>
              <w:left w:val="single" w:sz="8" w:space="0" w:color="auto"/>
              <w:bottom w:val="nil"/>
              <w:right w:val="single" w:sz="8" w:space="0" w:color="auto"/>
            </w:tcBorders>
            <w:shd w:val="clear" w:color="000000" w:fill="D9D9D9"/>
            <w:vAlign w:val="center"/>
            <w:hideMark/>
          </w:tcPr>
          <w:p w14:paraId="7A4C0800"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Economic Regeneration</w:t>
            </w:r>
          </w:p>
        </w:tc>
        <w:tc>
          <w:tcPr>
            <w:tcW w:w="1308" w:type="dxa"/>
            <w:tcBorders>
              <w:top w:val="nil"/>
              <w:left w:val="nil"/>
              <w:bottom w:val="nil"/>
              <w:right w:val="single" w:sz="8" w:space="0" w:color="auto"/>
            </w:tcBorders>
            <w:shd w:val="clear" w:color="000000" w:fill="D9D9D9"/>
            <w:vAlign w:val="center"/>
            <w:hideMark/>
          </w:tcPr>
          <w:p w14:paraId="51DBEA99" w14:textId="6EC66C4D"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4.1</w:t>
            </w:r>
          </w:p>
        </w:tc>
        <w:tc>
          <w:tcPr>
            <w:tcW w:w="1134" w:type="dxa"/>
            <w:tcBorders>
              <w:top w:val="nil"/>
              <w:left w:val="nil"/>
              <w:bottom w:val="nil"/>
              <w:right w:val="single" w:sz="8" w:space="0" w:color="auto"/>
            </w:tcBorders>
            <w:shd w:val="clear" w:color="000000" w:fill="D9D9D9"/>
            <w:vAlign w:val="center"/>
            <w:hideMark/>
          </w:tcPr>
          <w:p w14:paraId="7CC3E07F" w14:textId="0705FA67"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20</w:t>
            </w:r>
            <w:r w:rsidR="0020745D" w:rsidRPr="0020745D">
              <w:rPr>
                <w:rFonts w:ascii="Calibri" w:hAnsi="Calibri" w:cs="Calibri"/>
                <w:color w:val="000000"/>
                <w:spacing w:val="0"/>
                <w:sz w:val="22"/>
                <w:szCs w:val="22"/>
                <w:lang w:eastAsia="en-GB"/>
              </w:rPr>
              <w:t>.8</w:t>
            </w:r>
          </w:p>
        </w:tc>
        <w:tc>
          <w:tcPr>
            <w:tcW w:w="1134" w:type="dxa"/>
            <w:tcBorders>
              <w:top w:val="nil"/>
              <w:left w:val="nil"/>
              <w:bottom w:val="nil"/>
              <w:right w:val="single" w:sz="8" w:space="0" w:color="auto"/>
            </w:tcBorders>
            <w:shd w:val="clear" w:color="000000" w:fill="D9D9D9"/>
            <w:vAlign w:val="center"/>
            <w:hideMark/>
          </w:tcPr>
          <w:p w14:paraId="01885E14" w14:textId="6162A06C"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w:t>
            </w:r>
            <w:r w:rsidR="005B0233">
              <w:rPr>
                <w:rFonts w:ascii="Calibri" w:hAnsi="Calibri" w:cs="Calibri"/>
                <w:color w:val="000000"/>
                <w:spacing w:val="0"/>
                <w:sz w:val="22"/>
                <w:szCs w:val="22"/>
                <w:lang w:eastAsia="en-GB"/>
              </w:rPr>
              <w:t>6.6</w:t>
            </w:r>
          </w:p>
        </w:tc>
        <w:tc>
          <w:tcPr>
            <w:tcW w:w="1134" w:type="dxa"/>
            <w:tcBorders>
              <w:top w:val="nil"/>
              <w:left w:val="nil"/>
              <w:bottom w:val="nil"/>
              <w:right w:val="single" w:sz="8" w:space="0" w:color="auto"/>
            </w:tcBorders>
            <w:shd w:val="clear" w:color="000000" w:fill="D9D9D9"/>
            <w:vAlign w:val="center"/>
            <w:hideMark/>
          </w:tcPr>
          <w:p w14:paraId="678DD525" w14:textId="20F07ECE"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w:t>
            </w:r>
            <w:r w:rsidR="00D12BA6">
              <w:rPr>
                <w:rFonts w:ascii="Calibri" w:hAnsi="Calibri" w:cs="Calibri"/>
                <w:color w:val="000000"/>
                <w:spacing w:val="0"/>
                <w:sz w:val="22"/>
                <w:szCs w:val="22"/>
                <w:lang w:eastAsia="en-GB"/>
              </w:rPr>
              <w:t>5</w:t>
            </w:r>
            <w:r w:rsidRPr="0020745D">
              <w:rPr>
                <w:rFonts w:ascii="Calibri" w:hAnsi="Calibri" w:cs="Calibri"/>
                <w:color w:val="000000"/>
                <w:spacing w:val="0"/>
                <w:sz w:val="22"/>
                <w:szCs w:val="22"/>
                <w:lang w:eastAsia="en-GB"/>
              </w:rPr>
              <w:t>.2</w:t>
            </w:r>
          </w:p>
        </w:tc>
        <w:tc>
          <w:tcPr>
            <w:tcW w:w="1134" w:type="dxa"/>
            <w:tcBorders>
              <w:top w:val="nil"/>
              <w:left w:val="nil"/>
              <w:bottom w:val="nil"/>
              <w:right w:val="single" w:sz="8" w:space="0" w:color="auto"/>
            </w:tcBorders>
            <w:shd w:val="clear" w:color="000000" w:fill="D9D9D9"/>
            <w:vAlign w:val="center"/>
            <w:hideMark/>
          </w:tcPr>
          <w:p w14:paraId="4736C8E7" w14:textId="0E4DF4F4"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9.9</w:t>
            </w:r>
          </w:p>
        </w:tc>
        <w:tc>
          <w:tcPr>
            <w:tcW w:w="1134" w:type="dxa"/>
            <w:tcBorders>
              <w:top w:val="nil"/>
              <w:left w:val="nil"/>
              <w:bottom w:val="nil"/>
              <w:right w:val="single" w:sz="8" w:space="0" w:color="auto"/>
            </w:tcBorders>
            <w:shd w:val="clear" w:color="000000" w:fill="D9D9D9"/>
            <w:vAlign w:val="center"/>
            <w:hideMark/>
          </w:tcPr>
          <w:p w14:paraId="1BC630C5" w14:textId="0CA9CB66"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8.2</w:t>
            </w:r>
          </w:p>
        </w:tc>
      </w:tr>
      <w:tr w:rsidR="0020745D" w:rsidRPr="0020745D" w14:paraId="10BFA687" w14:textId="77777777" w:rsidTr="0020745D">
        <w:trPr>
          <w:trHeight w:val="300"/>
        </w:trPr>
        <w:tc>
          <w:tcPr>
            <w:tcW w:w="3360" w:type="dxa"/>
            <w:tcBorders>
              <w:top w:val="nil"/>
              <w:left w:val="single" w:sz="8" w:space="0" w:color="auto"/>
              <w:bottom w:val="nil"/>
              <w:right w:val="single" w:sz="8" w:space="0" w:color="auto"/>
            </w:tcBorders>
            <w:shd w:val="clear" w:color="auto" w:fill="auto"/>
            <w:vAlign w:val="center"/>
            <w:hideMark/>
          </w:tcPr>
          <w:p w14:paraId="2E039B60"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Housing Strategy &amp; Services</w:t>
            </w:r>
          </w:p>
        </w:tc>
        <w:tc>
          <w:tcPr>
            <w:tcW w:w="1308" w:type="dxa"/>
            <w:tcBorders>
              <w:top w:val="nil"/>
              <w:left w:val="nil"/>
              <w:bottom w:val="nil"/>
              <w:right w:val="single" w:sz="8" w:space="0" w:color="auto"/>
            </w:tcBorders>
            <w:shd w:val="clear" w:color="auto" w:fill="auto"/>
            <w:vAlign w:val="center"/>
            <w:hideMark/>
          </w:tcPr>
          <w:p w14:paraId="5B6C886A" w14:textId="23091DC9"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1.0</w:t>
            </w:r>
          </w:p>
        </w:tc>
        <w:tc>
          <w:tcPr>
            <w:tcW w:w="1134" w:type="dxa"/>
            <w:tcBorders>
              <w:top w:val="nil"/>
              <w:left w:val="nil"/>
              <w:bottom w:val="nil"/>
              <w:right w:val="single" w:sz="8" w:space="0" w:color="auto"/>
            </w:tcBorders>
            <w:shd w:val="clear" w:color="auto" w:fill="auto"/>
            <w:vAlign w:val="center"/>
            <w:hideMark/>
          </w:tcPr>
          <w:p w14:paraId="6DBA42D7" w14:textId="12EADB8F"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w:t>
            </w:r>
            <w:r w:rsidR="005B0233">
              <w:rPr>
                <w:rFonts w:ascii="Calibri" w:hAnsi="Calibri" w:cs="Calibri"/>
                <w:color w:val="000000"/>
                <w:spacing w:val="0"/>
                <w:sz w:val="22"/>
                <w:szCs w:val="22"/>
                <w:lang w:eastAsia="en-GB"/>
              </w:rPr>
              <w:t>5</w:t>
            </w:r>
          </w:p>
        </w:tc>
        <w:tc>
          <w:tcPr>
            <w:tcW w:w="1134" w:type="dxa"/>
            <w:tcBorders>
              <w:top w:val="nil"/>
              <w:left w:val="nil"/>
              <w:bottom w:val="nil"/>
              <w:right w:val="single" w:sz="8" w:space="0" w:color="auto"/>
            </w:tcBorders>
            <w:shd w:val="clear" w:color="auto" w:fill="auto"/>
            <w:vAlign w:val="center"/>
            <w:hideMark/>
          </w:tcPr>
          <w:p w14:paraId="1DA3275F"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0.5</w:t>
            </w:r>
          </w:p>
        </w:tc>
        <w:tc>
          <w:tcPr>
            <w:tcW w:w="1134" w:type="dxa"/>
            <w:tcBorders>
              <w:top w:val="nil"/>
              <w:left w:val="nil"/>
              <w:bottom w:val="nil"/>
              <w:right w:val="single" w:sz="8" w:space="0" w:color="auto"/>
            </w:tcBorders>
            <w:shd w:val="clear" w:color="auto" w:fill="auto"/>
            <w:vAlign w:val="center"/>
            <w:hideMark/>
          </w:tcPr>
          <w:p w14:paraId="172A2555"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0.5</w:t>
            </w:r>
          </w:p>
        </w:tc>
        <w:tc>
          <w:tcPr>
            <w:tcW w:w="1134" w:type="dxa"/>
            <w:tcBorders>
              <w:top w:val="nil"/>
              <w:left w:val="nil"/>
              <w:bottom w:val="nil"/>
              <w:right w:val="single" w:sz="8" w:space="0" w:color="auto"/>
            </w:tcBorders>
            <w:shd w:val="clear" w:color="auto" w:fill="auto"/>
            <w:vAlign w:val="center"/>
            <w:hideMark/>
          </w:tcPr>
          <w:p w14:paraId="46E6DBBC"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0.5</w:t>
            </w:r>
          </w:p>
        </w:tc>
        <w:tc>
          <w:tcPr>
            <w:tcW w:w="1134" w:type="dxa"/>
            <w:tcBorders>
              <w:top w:val="nil"/>
              <w:left w:val="nil"/>
              <w:bottom w:val="nil"/>
              <w:right w:val="single" w:sz="8" w:space="0" w:color="auto"/>
            </w:tcBorders>
            <w:shd w:val="clear" w:color="auto" w:fill="auto"/>
            <w:vAlign w:val="center"/>
            <w:hideMark/>
          </w:tcPr>
          <w:p w14:paraId="21889B6F" w14:textId="77777777"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0.5</w:t>
            </w:r>
          </w:p>
        </w:tc>
      </w:tr>
      <w:tr w:rsidR="0020745D" w:rsidRPr="0020745D" w14:paraId="783C06B2" w14:textId="77777777" w:rsidTr="0020745D">
        <w:trPr>
          <w:trHeight w:val="300"/>
        </w:trPr>
        <w:tc>
          <w:tcPr>
            <w:tcW w:w="3360" w:type="dxa"/>
            <w:tcBorders>
              <w:top w:val="nil"/>
              <w:left w:val="single" w:sz="8" w:space="0" w:color="auto"/>
              <w:bottom w:val="nil"/>
              <w:right w:val="single" w:sz="8" w:space="0" w:color="auto"/>
            </w:tcBorders>
            <w:shd w:val="clear" w:color="000000" w:fill="D9D9D9"/>
            <w:vAlign w:val="center"/>
            <w:hideMark/>
          </w:tcPr>
          <w:p w14:paraId="23643B2C"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Social Care Infrastructure</w:t>
            </w:r>
          </w:p>
        </w:tc>
        <w:tc>
          <w:tcPr>
            <w:tcW w:w="1308" w:type="dxa"/>
            <w:tcBorders>
              <w:top w:val="nil"/>
              <w:left w:val="nil"/>
              <w:bottom w:val="nil"/>
              <w:right w:val="single" w:sz="8" w:space="0" w:color="auto"/>
            </w:tcBorders>
            <w:shd w:val="clear" w:color="000000" w:fill="D9D9D9"/>
            <w:vAlign w:val="center"/>
            <w:hideMark/>
          </w:tcPr>
          <w:p w14:paraId="573ECE51" w14:textId="7AD7846F"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1.3</w:t>
            </w:r>
          </w:p>
        </w:tc>
        <w:tc>
          <w:tcPr>
            <w:tcW w:w="1134" w:type="dxa"/>
            <w:tcBorders>
              <w:top w:val="nil"/>
              <w:left w:val="nil"/>
              <w:bottom w:val="nil"/>
              <w:right w:val="single" w:sz="8" w:space="0" w:color="auto"/>
            </w:tcBorders>
            <w:shd w:val="clear" w:color="000000" w:fill="D9D9D9"/>
            <w:vAlign w:val="center"/>
            <w:hideMark/>
          </w:tcPr>
          <w:p w14:paraId="1F7DD045" w14:textId="0710C59F"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4.</w:t>
            </w:r>
            <w:r w:rsidR="005B0233">
              <w:rPr>
                <w:rFonts w:ascii="Calibri" w:hAnsi="Calibri" w:cs="Calibri"/>
                <w:color w:val="000000"/>
                <w:spacing w:val="0"/>
                <w:sz w:val="22"/>
                <w:szCs w:val="22"/>
                <w:lang w:eastAsia="en-GB"/>
              </w:rPr>
              <w:t>0</w:t>
            </w:r>
          </w:p>
        </w:tc>
        <w:tc>
          <w:tcPr>
            <w:tcW w:w="1134" w:type="dxa"/>
            <w:tcBorders>
              <w:top w:val="nil"/>
              <w:left w:val="nil"/>
              <w:bottom w:val="nil"/>
              <w:right w:val="single" w:sz="8" w:space="0" w:color="auto"/>
            </w:tcBorders>
            <w:shd w:val="clear" w:color="000000" w:fill="D9D9D9"/>
            <w:vAlign w:val="center"/>
            <w:hideMark/>
          </w:tcPr>
          <w:p w14:paraId="38ABAE8C" w14:textId="03424D48" w:rsidR="0020745D" w:rsidRPr="0020745D" w:rsidRDefault="0020745D" w:rsidP="0020745D">
            <w:pPr>
              <w:jc w:val="right"/>
              <w:rPr>
                <w:rFonts w:ascii="Calibri" w:hAnsi="Calibri" w:cs="Calibri"/>
                <w:color w:val="000000"/>
                <w:spacing w:val="0"/>
                <w:sz w:val="22"/>
                <w:szCs w:val="22"/>
                <w:lang w:eastAsia="en-GB"/>
              </w:rPr>
            </w:pPr>
            <w:r w:rsidRPr="0020745D">
              <w:rPr>
                <w:rFonts w:ascii="Calibri" w:hAnsi="Calibri" w:cs="Calibri"/>
                <w:color w:val="000000"/>
                <w:spacing w:val="0"/>
                <w:sz w:val="22"/>
                <w:szCs w:val="22"/>
                <w:lang w:eastAsia="en-GB"/>
              </w:rPr>
              <w:t>1</w:t>
            </w:r>
            <w:r w:rsidR="005B0233">
              <w:rPr>
                <w:rFonts w:ascii="Calibri" w:hAnsi="Calibri" w:cs="Calibri"/>
                <w:color w:val="000000"/>
                <w:spacing w:val="0"/>
                <w:sz w:val="22"/>
                <w:szCs w:val="22"/>
                <w:lang w:eastAsia="en-GB"/>
              </w:rPr>
              <w:t>2.2</w:t>
            </w:r>
          </w:p>
        </w:tc>
        <w:tc>
          <w:tcPr>
            <w:tcW w:w="1134" w:type="dxa"/>
            <w:tcBorders>
              <w:top w:val="nil"/>
              <w:left w:val="nil"/>
              <w:bottom w:val="nil"/>
              <w:right w:val="single" w:sz="8" w:space="0" w:color="auto"/>
            </w:tcBorders>
            <w:shd w:val="clear" w:color="000000" w:fill="D9D9D9"/>
            <w:vAlign w:val="center"/>
            <w:hideMark/>
          </w:tcPr>
          <w:p w14:paraId="2D5415A4" w14:textId="4187C46D"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3.2</w:t>
            </w:r>
          </w:p>
        </w:tc>
        <w:tc>
          <w:tcPr>
            <w:tcW w:w="1134" w:type="dxa"/>
            <w:tcBorders>
              <w:top w:val="nil"/>
              <w:left w:val="nil"/>
              <w:bottom w:val="nil"/>
              <w:right w:val="single" w:sz="8" w:space="0" w:color="auto"/>
            </w:tcBorders>
            <w:shd w:val="clear" w:color="000000" w:fill="D9D9D9"/>
            <w:vAlign w:val="center"/>
            <w:hideMark/>
          </w:tcPr>
          <w:p w14:paraId="0DCEF3D2" w14:textId="601FE52D"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13.2</w:t>
            </w:r>
          </w:p>
        </w:tc>
        <w:tc>
          <w:tcPr>
            <w:tcW w:w="1134" w:type="dxa"/>
            <w:tcBorders>
              <w:top w:val="nil"/>
              <w:left w:val="nil"/>
              <w:bottom w:val="nil"/>
              <w:right w:val="single" w:sz="8" w:space="0" w:color="auto"/>
            </w:tcBorders>
            <w:shd w:val="clear" w:color="000000" w:fill="D9D9D9"/>
            <w:vAlign w:val="center"/>
            <w:hideMark/>
          </w:tcPr>
          <w:p w14:paraId="576C7E74" w14:textId="13F429D8" w:rsidR="0020745D" w:rsidRPr="0020745D" w:rsidRDefault="00C3362B"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w:t>
            </w:r>
          </w:p>
        </w:tc>
      </w:tr>
      <w:tr w:rsidR="0020745D" w:rsidRPr="0020745D" w14:paraId="3CA818B3" w14:textId="77777777" w:rsidTr="0020745D">
        <w:trPr>
          <w:trHeight w:val="585"/>
        </w:trPr>
        <w:tc>
          <w:tcPr>
            <w:tcW w:w="3360" w:type="dxa"/>
            <w:tcBorders>
              <w:top w:val="nil"/>
              <w:left w:val="single" w:sz="8" w:space="0" w:color="auto"/>
              <w:bottom w:val="nil"/>
              <w:right w:val="single" w:sz="8" w:space="0" w:color="auto"/>
            </w:tcBorders>
            <w:shd w:val="clear" w:color="auto" w:fill="auto"/>
            <w:vAlign w:val="center"/>
            <w:hideMark/>
          </w:tcPr>
          <w:p w14:paraId="31D9E3B6" w14:textId="77777777" w:rsidR="0020745D" w:rsidRPr="0020745D" w:rsidRDefault="0020745D" w:rsidP="0020745D">
            <w:pPr>
              <w:rPr>
                <w:rFonts w:cs="Arial"/>
                <w:color w:val="000000"/>
                <w:spacing w:val="0"/>
                <w:sz w:val="22"/>
                <w:szCs w:val="22"/>
                <w:lang w:eastAsia="en-GB"/>
              </w:rPr>
            </w:pPr>
            <w:r w:rsidRPr="0020745D">
              <w:rPr>
                <w:rFonts w:cs="Arial"/>
                <w:color w:val="000000"/>
                <w:spacing w:val="0"/>
                <w:sz w:val="22"/>
                <w:szCs w:val="22"/>
                <w:lang w:eastAsia="en-GB"/>
              </w:rPr>
              <w:t>Emergency &amp; Unplanned &amp; Planned programme adjustments</w:t>
            </w:r>
          </w:p>
        </w:tc>
        <w:tc>
          <w:tcPr>
            <w:tcW w:w="1308" w:type="dxa"/>
            <w:tcBorders>
              <w:top w:val="nil"/>
              <w:left w:val="nil"/>
              <w:bottom w:val="nil"/>
              <w:right w:val="single" w:sz="8" w:space="0" w:color="auto"/>
            </w:tcBorders>
            <w:shd w:val="clear" w:color="auto" w:fill="auto"/>
            <w:vAlign w:val="center"/>
            <w:hideMark/>
          </w:tcPr>
          <w:p w14:paraId="0F017923" w14:textId="66335749" w:rsidR="0020745D" w:rsidRPr="0020745D" w:rsidRDefault="003962A0"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w:t>
            </w:r>
            <w:r w:rsidR="0020745D" w:rsidRPr="0020745D">
              <w:rPr>
                <w:rFonts w:ascii="Calibri" w:hAnsi="Calibri" w:cs="Calibri"/>
                <w:color w:val="000000"/>
                <w:spacing w:val="0"/>
                <w:sz w:val="22"/>
                <w:szCs w:val="22"/>
                <w:lang w:eastAsia="en-GB"/>
              </w:rPr>
              <w:t>0.</w:t>
            </w:r>
            <w:r>
              <w:rPr>
                <w:rFonts w:ascii="Calibri" w:hAnsi="Calibri" w:cs="Calibri"/>
                <w:color w:val="000000"/>
                <w:spacing w:val="0"/>
                <w:sz w:val="22"/>
                <w:szCs w:val="22"/>
                <w:lang w:eastAsia="en-GB"/>
              </w:rPr>
              <w:t>4</w:t>
            </w:r>
          </w:p>
        </w:tc>
        <w:tc>
          <w:tcPr>
            <w:tcW w:w="1134" w:type="dxa"/>
            <w:tcBorders>
              <w:top w:val="nil"/>
              <w:left w:val="nil"/>
              <w:bottom w:val="nil"/>
              <w:right w:val="single" w:sz="8" w:space="0" w:color="auto"/>
            </w:tcBorders>
            <w:shd w:val="clear" w:color="auto" w:fill="auto"/>
            <w:vAlign w:val="center"/>
            <w:hideMark/>
          </w:tcPr>
          <w:p w14:paraId="4690FA26" w14:textId="5C8C146D"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w:t>
            </w:r>
            <w:r w:rsidR="0020745D" w:rsidRPr="0020745D">
              <w:rPr>
                <w:rFonts w:ascii="Calibri" w:hAnsi="Calibri" w:cs="Calibri"/>
                <w:color w:val="000000"/>
                <w:spacing w:val="0"/>
                <w:sz w:val="22"/>
                <w:szCs w:val="22"/>
                <w:lang w:eastAsia="en-GB"/>
              </w:rPr>
              <w:t>.</w:t>
            </w:r>
            <w:r>
              <w:rPr>
                <w:rFonts w:ascii="Calibri" w:hAnsi="Calibri" w:cs="Calibri"/>
                <w:color w:val="000000"/>
                <w:spacing w:val="0"/>
                <w:sz w:val="22"/>
                <w:szCs w:val="22"/>
                <w:lang w:eastAsia="en-GB"/>
              </w:rPr>
              <w:t>2</w:t>
            </w:r>
          </w:p>
        </w:tc>
        <w:tc>
          <w:tcPr>
            <w:tcW w:w="1134" w:type="dxa"/>
            <w:tcBorders>
              <w:top w:val="nil"/>
              <w:left w:val="nil"/>
              <w:bottom w:val="nil"/>
              <w:right w:val="single" w:sz="8" w:space="0" w:color="auto"/>
            </w:tcBorders>
            <w:shd w:val="clear" w:color="auto" w:fill="auto"/>
            <w:vAlign w:val="center"/>
            <w:hideMark/>
          </w:tcPr>
          <w:p w14:paraId="42D953C1" w14:textId="0D3402DC" w:rsidR="0020745D" w:rsidRPr="0020745D" w:rsidRDefault="005B0233"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0.2</w:t>
            </w:r>
          </w:p>
        </w:tc>
        <w:tc>
          <w:tcPr>
            <w:tcW w:w="1134" w:type="dxa"/>
            <w:tcBorders>
              <w:top w:val="nil"/>
              <w:left w:val="nil"/>
              <w:bottom w:val="nil"/>
              <w:right w:val="single" w:sz="8" w:space="0" w:color="auto"/>
            </w:tcBorders>
            <w:shd w:val="clear" w:color="auto" w:fill="auto"/>
            <w:vAlign w:val="center"/>
            <w:hideMark/>
          </w:tcPr>
          <w:p w14:paraId="266EE5B0" w14:textId="63F644EF"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w:t>
            </w:r>
            <w:r w:rsidR="0020745D" w:rsidRPr="0020745D">
              <w:rPr>
                <w:rFonts w:ascii="Calibri" w:hAnsi="Calibri" w:cs="Calibri"/>
                <w:color w:val="000000"/>
                <w:spacing w:val="0"/>
                <w:sz w:val="22"/>
                <w:szCs w:val="22"/>
                <w:lang w:eastAsia="en-GB"/>
              </w:rPr>
              <w:t>.</w:t>
            </w:r>
            <w:r>
              <w:rPr>
                <w:rFonts w:ascii="Calibri" w:hAnsi="Calibri" w:cs="Calibri"/>
                <w:color w:val="000000"/>
                <w:spacing w:val="0"/>
                <w:sz w:val="22"/>
                <w:szCs w:val="22"/>
                <w:lang w:eastAsia="en-GB"/>
              </w:rPr>
              <w:t>2</w:t>
            </w:r>
          </w:p>
        </w:tc>
        <w:tc>
          <w:tcPr>
            <w:tcW w:w="1134" w:type="dxa"/>
            <w:tcBorders>
              <w:top w:val="nil"/>
              <w:left w:val="nil"/>
              <w:bottom w:val="nil"/>
              <w:right w:val="single" w:sz="8" w:space="0" w:color="auto"/>
            </w:tcBorders>
            <w:shd w:val="clear" w:color="auto" w:fill="auto"/>
            <w:vAlign w:val="center"/>
            <w:hideMark/>
          </w:tcPr>
          <w:p w14:paraId="076E4ADC" w14:textId="7AA0F0CE"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0.2</w:t>
            </w:r>
          </w:p>
        </w:tc>
        <w:tc>
          <w:tcPr>
            <w:tcW w:w="1134" w:type="dxa"/>
            <w:tcBorders>
              <w:top w:val="nil"/>
              <w:left w:val="nil"/>
              <w:bottom w:val="nil"/>
              <w:right w:val="single" w:sz="8" w:space="0" w:color="auto"/>
            </w:tcBorders>
            <w:shd w:val="clear" w:color="auto" w:fill="auto"/>
            <w:vAlign w:val="center"/>
            <w:hideMark/>
          </w:tcPr>
          <w:p w14:paraId="2D3A9D0F" w14:textId="674B1B48" w:rsidR="0020745D" w:rsidRPr="0020745D" w:rsidRDefault="00D12BA6" w:rsidP="0020745D">
            <w:pPr>
              <w:jc w:val="right"/>
              <w:rPr>
                <w:rFonts w:ascii="Calibri" w:hAnsi="Calibri" w:cs="Calibri"/>
                <w:color w:val="000000"/>
                <w:spacing w:val="0"/>
                <w:sz w:val="22"/>
                <w:szCs w:val="22"/>
                <w:lang w:eastAsia="en-GB"/>
              </w:rPr>
            </w:pPr>
            <w:r>
              <w:rPr>
                <w:rFonts w:ascii="Calibri" w:hAnsi="Calibri" w:cs="Calibri"/>
                <w:color w:val="000000"/>
                <w:spacing w:val="0"/>
                <w:sz w:val="22"/>
                <w:szCs w:val="22"/>
                <w:lang w:eastAsia="en-GB"/>
              </w:rPr>
              <w:t>0.2</w:t>
            </w:r>
          </w:p>
        </w:tc>
      </w:tr>
      <w:tr w:rsidR="0020745D" w:rsidRPr="0020745D" w14:paraId="274A2F1F" w14:textId="77777777" w:rsidTr="0020745D">
        <w:trPr>
          <w:trHeight w:val="315"/>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C8531C" w14:textId="77777777" w:rsidR="0020745D" w:rsidRPr="0020745D" w:rsidRDefault="0020745D" w:rsidP="0020745D">
            <w:pPr>
              <w:rPr>
                <w:rFonts w:cs="Arial"/>
                <w:b/>
                <w:bCs/>
                <w:color w:val="000000"/>
                <w:spacing w:val="0"/>
                <w:sz w:val="22"/>
                <w:szCs w:val="22"/>
                <w:lang w:eastAsia="en-GB"/>
              </w:rPr>
            </w:pPr>
            <w:r w:rsidRPr="0020745D">
              <w:rPr>
                <w:rFonts w:cs="Arial"/>
                <w:b/>
                <w:bCs/>
                <w:color w:val="000000"/>
                <w:spacing w:val="0"/>
                <w:sz w:val="22"/>
                <w:szCs w:val="22"/>
                <w:lang w:eastAsia="en-GB"/>
              </w:rPr>
              <w:t>Total</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14:paraId="7B2928F8" w14:textId="3C5CAA8C" w:rsidR="0020745D" w:rsidRPr="0020745D" w:rsidRDefault="005B0233" w:rsidP="0020745D">
            <w:pPr>
              <w:jc w:val="right"/>
              <w:rPr>
                <w:rFonts w:ascii="Calibri" w:hAnsi="Calibri" w:cs="Calibri"/>
                <w:b/>
                <w:bCs/>
                <w:color w:val="000000"/>
                <w:spacing w:val="0"/>
                <w:sz w:val="22"/>
                <w:szCs w:val="22"/>
                <w:lang w:eastAsia="en-GB"/>
              </w:rPr>
            </w:pPr>
            <w:r>
              <w:rPr>
                <w:rFonts w:ascii="Calibri" w:hAnsi="Calibri" w:cs="Calibri"/>
                <w:b/>
                <w:bCs/>
                <w:color w:val="000000"/>
                <w:spacing w:val="0"/>
                <w:sz w:val="22"/>
                <w:szCs w:val="22"/>
                <w:lang w:eastAsia="en-GB"/>
              </w:rPr>
              <w:t>96.9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5159D17" w14:textId="096AB087" w:rsidR="0020745D" w:rsidRPr="0020745D" w:rsidRDefault="0020745D" w:rsidP="0020745D">
            <w:pPr>
              <w:jc w:val="right"/>
              <w:rPr>
                <w:rFonts w:ascii="Calibri" w:hAnsi="Calibri" w:cs="Calibri"/>
                <w:b/>
                <w:bCs/>
                <w:color w:val="000000"/>
                <w:spacing w:val="0"/>
                <w:sz w:val="22"/>
                <w:szCs w:val="22"/>
                <w:lang w:eastAsia="en-GB"/>
              </w:rPr>
            </w:pPr>
            <w:r w:rsidRPr="0020745D">
              <w:rPr>
                <w:rFonts w:ascii="Calibri" w:hAnsi="Calibri" w:cs="Calibri"/>
                <w:b/>
                <w:bCs/>
                <w:color w:val="000000"/>
                <w:spacing w:val="0"/>
                <w:sz w:val="22"/>
                <w:szCs w:val="22"/>
                <w:lang w:eastAsia="en-GB"/>
              </w:rPr>
              <w:t>12</w:t>
            </w:r>
            <w:r w:rsidR="005B0233">
              <w:rPr>
                <w:rFonts w:ascii="Calibri" w:hAnsi="Calibri" w:cs="Calibri"/>
                <w:b/>
                <w:bCs/>
                <w:color w:val="000000"/>
                <w:spacing w:val="0"/>
                <w:sz w:val="22"/>
                <w:szCs w:val="22"/>
                <w:lang w:eastAsia="en-GB"/>
              </w:rPr>
              <w:t>1.2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93863E1" w14:textId="36A4F705" w:rsidR="0020745D" w:rsidRPr="0020745D" w:rsidRDefault="005B0233" w:rsidP="0020745D">
            <w:pPr>
              <w:jc w:val="right"/>
              <w:rPr>
                <w:rFonts w:ascii="Calibri" w:hAnsi="Calibri" w:cs="Calibri"/>
                <w:b/>
                <w:bCs/>
                <w:color w:val="000000"/>
                <w:spacing w:val="0"/>
                <w:sz w:val="22"/>
                <w:szCs w:val="22"/>
                <w:lang w:eastAsia="en-GB"/>
              </w:rPr>
            </w:pPr>
            <w:r>
              <w:rPr>
                <w:rFonts w:ascii="Calibri" w:hAnsi="Calibri" w:cs="Calibri"/>
                <w:b/>
                <w:bCs/>
                <w:color w:val="000000"/>
                <w:spacing w:val="0"/>
                <w:sz w:val="22"/>
                <w:szCs w:val="22"/>
                <w:lang w:eastAsia="en-GB"/>
              </w:rPr>
              <w:t>98.3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35C9790" w14:textId="007BCCFA" w:rsidR="0020745D" w:rsidRPr="0020745D" w:rsidRDefault="00D12BA6" w:rsidP="0020745D">
            <w:pPr>
              <w:jc w:val="right"/>
              <w:rPr>
                <w:rFonts w:ascii="Calibri" w:hAnsi="Calibri" w:cs="Calibri"/>
                <w:b/>
                <w:bCs/>
                <w:color w:val="000000"/>
                <w:spacing w:val="0"/>
                <w:sz w:val="22"/>
                <w:szCs w:val="22"/>
                <w:lang w:eastAsia="en-GB"/>
              </w:rPr>
            </w:pPr>
            <w:r>
              <w:rPr>
                <w:rFonts w:ascii="Calibri" w:hAnsi="Calibri" w:cs="Calibri"/>
                <w:b/>
                <w:bCs/>
                <w:color w:val="000000"/>
                <w:spacing w:val="0"/>
                <w:sz w:val="22"/>
                <w:szCs w:val="22"/>
                <w:lang w:eastAsia="en-GB"/>
              </w:rPr>
              <w:t>66.3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22F4D92" w14:textId="25F453B7" w:rsidR="0020745D" w:rsidRPr="0020745D" w:rsidRDefault="0020745D" w:rsidP="0020745D">
            <w:pPr>
              <w:jc w:val="right"/>
              <w:rPr>
                <w:rFonts w:ascii="Calibri" w:hAnsi="Calibri" w:cs="Calibri"/>
                <w:b/>
                <w:bCs/>
                <w:color w:val="000000"/>
                <w:spacing w:val="0"/>
                <w:sz w:val="22"/>
                <w:szCs w:val="22"/>
                <w:lang w:eastAsia="en-GB"/>
              </w:rPr>
            </w:pPr>
            <w:r w:rsidRPr="0020745D">
              <w:rPr>
                <w:rFonts w:ascii="Calibri" w:hAnsi="Calibri" w:cs="Calibri"/>
                <w:b/>
                <w:bCs/>
                <w:color w:val="000000"/>
                <w:spacing w:val="0"/>
                <w:sz w:val="22"/>
                <w:szCs w:val="22"/>
                <w:lang w:eastAsia="en-GB"/>
              </w:rPr>
              <w:t>5</w:t>
            </w:r>
            <w:r w:rsidR="00D12BA6">
              <w:rPr>
                <w:rFonts w:ascii="Calibri" w:hAnsi="Calibri" w:cs="Calibri"/>
                <w:b/>
                <w:bCs/>
                <w:color w:val="000000"/>
                <w:spacing w:val="0"/>
                <w:sz w:val="22"/>
                <w:szCs w:val="22"/>
                <w:lang w:eastAsia="en-GB"/>
              </w:rPr>
              <w:t>9.6</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BBFC736" w14:textId="3C8E5DF4" w:rsidR="0020745D" w:rsidRPr="0020745D" w:rsidRDefault="00D12BA6" w:rsidP="0020745D">
            <w:pPr>
              <w:jc w:val="right"/>
              <w:rPr>
                <w:rFonts w:ascii="Calibri" w:hAnsi="Calibri" w:cs="Calibri"/>
                <w:b/>
                <w:bCs/>
                <w:color w:val="000000"/>
                <w:spacing w:val="0"/>
                <w:sz w:val="22"/>
                <w:szCs w:val="22"/>
                <w:lang w:eastAsia="en-GB"/>
              </w:rPr>
            </w:pPr>
            <w:r>
              <w:rPr>
                <w:rFonts w:ascii="Calibri" w:hAnsi="Calibri" w:cs="Calibri"/>
                <w:b/>
                <w:bCs/>
                <w:color w:val="000000"/>
                <w:spacing w:val="0"/>
                <w:sz w:val="22"/>
                <w:szCs w:val="22"/>
                <w:lang w:eastAsia="en-GB"/>
              </w:rPr>
              <w:t>24.9</w:t>
            </w:r>
          </w:p>
        </w:tc>
      </w:tr>
    </w:tbl>
    <w:p w14:paraId="63FE7D32" w14:textId="77777777" w:rsidR="00794623" w:rsidRPr="00862C9A" w:rsidRDefault="00794623" w:rsidP="0020745D">
      <w:pPr>
        <w:tabs>
          <w:tab w:val="num" w:pos="567"/>
        </w:tabs>
        <w:rPr>
          <w:rFonts w:cs="Arial"/>
          <w:b/>
          <w:color w:val="993366"/>
          <w:sz w:val="22"/>
          <w:szCs w:val="22"/>
          <w:highlight w:val="yellow"/>
        </w:rPr>
      </w:pPr>
    </w:p>
    <w:p w14:paraId="3515C533" w14:textId="77777777" w:rsidR="00062BC5" w:rsidRPr="00B41BBD" w:rsidRDefault="00062BC5" w:rsidP="00776C91">
      <w:pPr>
        <w:numPr>
          <w:ilvl w:val="1"/>
          <w:numId w:val="12"/>
        </w:numPr>
        <w:tabs>
          <w:tab w:val="num" w:pos="540"/>
        </w:tabs>
        <w:ind w:left="540" w:hanging="540"/>
        <w:rPr>
          <w:rFonts w:cs="Arial"/>
          <w:color w:val="993366"/>
          <w:sz w:val="22"/>
          <w:szCs w:val="22"/>
        </w:rPr>
      </w:pPr>
      <w:r w:rsidRPr="00B41BBD">
        <w:rPr>
          <w:rFonts w:cs="Arial"/>
          <w:b/>
          <w:color w:val="993366"/>
          <w:sz w:val="24"/>
          <w:szCs w:val="24"/>
        </w:rPr>
        <w:t>Capital Financing Assumptions</w:t>
      </w:r>
      <w:r w:rsidRPr="00B41BBD">
        <w:rPr>
          <w:rFonts w:cs="Arial"/>
          <w:b/>
          <w:color w:val="993366"/>
          <w:sz w:val="24"/>
          <w:szCs w:val="24"/>
        </w:rPr>
        <w:br/>
      </w:r>
    </w:p>
    <w:p w14:paraId="1F3B0DCC" w14:textId="77777777" w:rsidR="00062BC5" w:rsidRPr="00FB4F49" w:rsidRDefault="00062BC5" w:rsidP="00FB4F49">
      <w:pPr>
        <w:ind w:left="540"/>
        <w:rPr>
          <w:rFonts w:cs="Arial"/>
          <w:sz w:val="22"/>
          <w:szCs w:val="22"/>
        </w:rPr>
      </w:pPr>
      <w:r w:rsidRPr="00B41BBD">
        <w:rPr>
          <w:rFonts w:cs="Arial"/>
          <w:sz w:val="22"/>
          <w:szCs w:val="22"/>
        </w:rPr>
        <w:t>The table below summarises the above capital expenditure plans and how these plans are being financed by capital or revenue resources. Any shortfall of resources results in a financing need.</w:t>
      </w:r>
      <w:r w:rsidR="001A5124" w:rsidRPr="00B41BBD">
        <w:rPr>
          <w:rFonts w:cs="Arial"/>
          <w:sz w:val="22"/>
          <w:szCs w:val="22"/>
        </w:rPr>
        <w:br/>
      </w:r>
    </w:p>
    <w:tbl>
      <w:tblPr>
        <w:tblW w:w="10338" w:type="dxa"/>
        <w:tblLook w:val="04A0" w:firstRow="1" w:lastRow="0" w:firstColumn="1" w:lastColumn="0" w:noHBand="0" w:noVBand="1"/>
      </w:tblPr>
      <w:tblGrid>
        <w:gridCol w:w="3943"/>
        <w:gridCol w:w="1012"/>
        <w:gridCol w:w="1133"/>
        <w:gridCol w:w="1114"/>
        <w:gridCol w:w="1012"/>
        <w:gridCol w:w="1112"/>
        <w:gridCol w:w="1012"/>
      </w:tblGrid>
      <w:tr w:rsidR="00FB4F49" w:rsidRPr="00FB4F49" w14:paraId="638D642D" w14:textId="77777777" w:rsidTr="00D370CC">
        <w:trPr>
          <w:trHeight w:hRule="exact" w:val="340"/>
        </w:trPr>
        <w:tc>
          <w:tcPr>
            <w:tcW w:w="3943" w:type="dxa"/>
            <w:tcBorders>
              <w:top w:val="single" w:sz="8" w:space="0" w:color="auto"/>
              <w:left w:val="single" w:sz="8" w:space="0" w:color="auto"/>
              <w:bottom w:val="nil"/>
              <w:right w:val="single" w:sz="8" w:space="0" w:color="auto"/>
            </w:tcBorders>
            <w:shd w:val="clear" w:color="000000" w:fill="B3B3B3"/>
            <w:vAlign w:val="center"/>
            <w:hideMark/>
          </w:tcPr>
          <w:p w14:paraId="378CFD89"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 </w:t>
            </w:r>
          </w:p>
        </w:tc>
        <w:tc>
          <w:tcPr>
            <w:tcW w:w="6395" w:type="dxa"/>
            <w:gridSpan w:val="6"/>
            <w:vMerge w:val="restart"/>
            <w:tcBorders>
              <w:top w:val="single" w:sz="8" w:space="0" w:color="auto"/>
              <w:left w:val="single" w:sz="8" w:space="0" w:color="auto"/>
              <w:bottom w:val="single" w:sz="8" w:space="0" w:color="000000"/>
              <w:right w:val="single" w:sz="8" w:space="0" w:color="000000"/>
            </w:tcBorders>
            <w:shd w:val="clear" w:color="000000" w:fill="B3B3B3"/>
            <w:vAlign w:val="center"/>
            <w:hideMark/>
          </w:tcPr>
          <w:p w14:paraId="36E753FA" w14:textId="77777777"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Estimate</w:t>
            </w:r>
          </w:p>
        </w:tc>
      </w:tr>
      <w:tr w:rsidR="00FB4F49" w:rsidRPr="00FB4F49" w14:paraId="00362530" w14:textId="77777777" w:rsidTr="00D370CC">
        <w:trPr>
          <w:trHeight w:hRule="exact" w:val="340"/>
        </w:trPr>
        <w:tc>
          <w:tcPr>
            <w:tcW w:w="3943" w:type="dxa"/>
            <w:tcBorders>
              <w:top w:val="nil"/>
              <w:left w:val="single" w:sz="8" w:space="0" w:color="auto"/>
              <w:bottom w:val="nil"/>
              <w:right w:val="single" w:sz="8" w:space="0" w:color="auto"/>
            </w:tcBorders>
            <w:shd w:val="clear" w:color="000000" w:fill="B3B3B3"/>
            <w:vAlign w:val="center"/>
            <w:hideMark/>
          </w:tcPr>
          <w:p w14:paraId="424901B1"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Capital Expenditure</w:t>
            </w:r>
          </w:p>
        </w:tc>
        <w:tc>
          <w:tcPr>
            <w:tcW w:w="6395" w:type="dxa"/>
            <w:gridSpan w:val="6"/>
            <w:vMerge/>
            <w:tcBorders>
              <w:top w:val="nil"/>
              <w:left w:val="single" w:sz="8" w:space="0" w:color="auto"/>
              <w:bottom w:val="nil"/>
              <w:right w:val="single" w:sz="8" w:space="0" w:color="auto"/>
            </w:tcBorders>
            <w:vAlign w:val="center"/>
            <w:hideMark/>
          </w:tcPr>
          <w:p w14:paraId="05D2B9FF" w14:textId="77777777" w:rsidR="00FB4F49" w:rsidRPr="00FB4F49" w:rsidRDefault="00FB4F49" w:rsidP="00FB4F49">
            <w:pPr>
              <w:rPr>
                <w:rFonts w:cs="Arial"/>
                <w:b/>
                <w:bCs/>
                <w:color w:val="000000"/>
                <w:spacing w:val="0"/>
                <w:sz w:val="22"/>
                <w:szCs w:val="22"/>
                <w:lang w:eastAsia="en-GB"/>
              </w:rPr>
            </w:pPr>
          </w:p>
        </w:tc>
      </w:tr>
      <w:tr w:rsidR="00FB4F49" w:rsidRPr="00FB4F49" w14:paraId="2B96EDFA" w14:textId="77777777" w:rsidTr="00D370CC">
        <w:trPr>
          <w:trHeight w:hRule="exact" w:val="340"/>
        </w:trPr>
        <w:tc>
          <w:tcPr>
            <w:tcW w:w="3943" w:type="dxa"/>
            <w:tcBorders>
              <w:top w:val="nil"/>
              <w:left w:val="single" w:sz="8" w:space="0" w:color="auto"/>
              <w:bottom w:val="nil"/>
              <w:right w:val="single" w:sz="8" w:space="0" w:color="auto"/>
            </w:tcBorders>
            <w:shd w:val="clear" w:color="000000" w:fill="B3B3B3"/>
            <w:vAlign w:val="center"/>
            <w:hideMark/>
          </w:tcPr>
          <w:p w14:paraId="383D42BB"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 </w:t>
            </w:r>
          </w:p>
        </w:tc>
        <w:tc>
          <w:tcPr>
            <w:tcW w:w="6395" w:type="dxa"/>
            <w:gridSpan w:val="6"/>
            <w:vMerge/>
            <w:tcBorders>
              <w:top w:val="nil"/>
              <w:left w:val="single" w:sz="8" w:space="0" w:color="auto"/>
              <w:bottom w:val="nil"/>
              <w:right w:val="single" w:sz="8" w:space="0" w:color="auto"/>
            </w:tcBorders>
            <w:vAlign w:val="center"/>
            <w:hideMark/>
          </w:tcPr>
          <w:p w14:paraId="2135E4CA" w14:textId="77777777" w:rsidR="00FB4F49" w:rsidRPr="00FB4F49" w:rsidRDefault="00FB4F49" w:rsidP="00FB4F49">
            <w:pPr>
              <w:rPr>
                <w:rFonts w:cs="Arial"/>
                <w:b/>
                <w:bCs/>
                <w:color w:val="000000"/>
                <w:spacing w:val="0"/>
                <w:sz w:val="22"/>
                <w:szCs w:val="22"/>
                <w:lang w:eastAsia="en-GB"/>
              </w:rPr>
            </w:pPr>
          </w:p>
        </w:tc>
      </w:tr>
      <w:tr w:rsidR="00FB4F49" w:rsidRPr="00FB4F49" w14:paraId="6B6A7FF1" w14:textId="77777777" w:rsidTr="00D370CC">
        <w:trPr>
          <w:trHeight w:hRule="exact" w:val="340"/>
        </w:trPr>
        <w:tc>
          <w:tcPr>
            <w:tcW w:w="3943" w:type="dxa"/>
            <w:tcBorders>
              <w:top w:val="nil"/>
              <w:left w:val="single" w:sz="8" w:space="0" w:color="auto"/>
              <w:bottom w:val="single" w:sz="8" w:space="0" w:color="auto"/>
              <w:right w:val="single" w:sz="8" w:space="0" w:color="auto"/>
            </w:tcBorders>
            <w:shd w:val="clear" w:color="000000" w:fill="B3B3B3"/>
            <w:vAlign w:val="center"/>
            <w:hideMark/>
          </w:tcPr>
          <w:p w14:paraId="58346C6E"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£m</w:t>
            </w:r>
          </w:p>
        </w:tc>
        <w:tc>
          <w:tcPr>
            <w:tcW w:w="1012" w:type="dxa"/>
            <w:tcBorders>
              <w:top w:val="nil"/>
              <w:left w:val="nil"/>
              <w:bottom w:val="single" w:sz="8" w:space="0" w:color="auto"/>
              <w:right w:val="single" w:sz="8" w:space="0" w:color="auto"/>
            </w:tcBorders>
            <w:shd w:val="clear" w:color="000000" w:fill="B3B3B3"/>
            <w:vAlign w:val="center"/>
            <w:hideMark/>
          </w:tcPr>
          <w:p w14:paraId="6E30A547" w14:textId="0E8B00BB"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3</w:t>
            </w:r>
            <w:r w:rsidRPr="00FB4F49">
              <w:rPr>
                <w:rFonts w:cs="Arial"/>
                <w:b/>
                <w:bCs/>
                <w:color w:val="000000"/>
                <w:spacing w:val="0"/>
                <w:sz w:val="22"/>
                <w:szCs w:val="22"/>
                <w:lang w:eastAsia="en-GB"/>
              </w:rPr>
              <w:t>/2</w:t>
            </w:r>
            <w:r w:rsidR="00D12BA6">
              <w:rPr>
                <w:rFonts w:cs="Arial"/>
                <w:b/>
                <w:bCs/>
                <w:color w:val="000000"/>
                <w:spacing w:val="0"/>
                <w:sz w:val="22"/>
                <w:szCs w:val="22"/>
                <w:lang w:eastAsia="en-GB"/>
              </w:rPr>
              <w:t>4</w:t>
            </w:r>
          </w:p>
        </w:tc>
        <w:tc>
          <w:tcPr>
            <w:tcW w:w="1133" w:type="dxa"/>
            <w:tcBorders>
              <w:top w:val="nil"/>
              <w:left w:val="nil"/>
              <w:bottom w:val="single" w:sz="8" w:space="0" w:color="auto"/>
              <w:right w:val="single" w:sz="8" w:space="0" w:color="auto"/>
            </w:tcBorders>
            <w:shd w:val="clear" w:color="000000" w:fill="B3B3B3"/>
            <w:vAlign w:val="center"/>
            <w:hideMark/>
          </w:tcPr>
          <w:p w14:paraId="5B419585" w14:textId="7C3ACF2F"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4</w:t>
            </w:r>
            <w:r w:rsidRPr="00FB4F49">
              <w:rPr>
                <w:rFonts w:cs="Arial"/>
                <w:b/>
                <w:bCs/>
                <w:color w:val="000000"/>
                <w:spacing w:val="0"/>
                <w:sz w:val="22"/>
                <w:szCs w:val="22"/>
                <w:lang w:eastAsia="en-GB"/>
              </w:rPr>
              <w:t>/2</w:t>
            </w:r>
            <w:r w:rsidR="00D12BA6">
              <w:rPr>
                <w:rFonts w:cs="Arial"/>
                <w:b/>
                <w:bCs/>
                <w:color w:val="000000"/>
                <w:spacing w:val="0"/>
                <w:sz w:val="22"/>
                <w:szCs w:val="22"/>
                <w:lang w:eastAsia="en-GB"/>
              </w:rPr>
              <w:t>5</w:t>
            </w:r>
          </w:p>
        </w:tc>
        <w:tc>
          <w:tcPr>
            <w:tcW w:w="1114" w:type="dxa"/>
            <w:tcBorders>
              <w:top w:val="nil"/>
              <w:left w:val="nil"/>
              <w:bottom w:val="single" w:sz="8" w:space="0" w:color="auto"/>
              <w:right w:val="single" w:sz="8" w:space="0" w:color="auto"/>
            </w:tcBorders>
            <w:shd w:val="clear" w:color="000000" w:fill="B3B3B3"/>
            <w:vAlign w:val="center"/>
            <w:hideMark/>
          </w:tcPr>
          <w:p w14:paraId="7E11EB8D" w14:textId="60D23B29"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5</w:t>
            </w:r>
            <w:r w:rsidRPr="00FB4F49">
              <w:rPr>
                <w:rFonts w:cs="Arial"/>
                <w:b/>
                <w:bCs/>
                <w:color w:val="000000"/>
                <w:spacing w:val="0"/>
                <w:sz w:val="22"/>
                <w:szCs w:val="22"/>
                <w:lang w:eastAsia="en-GB"/>
              </w:rPr>
              <w:t>/2</w:t>
            </w:r>
            <w:r w:rsidR="00D12BA6">
              <w:rPr>
                <w:rFonts w:cs="Arial"/>
                <w:b/>
                <w:bCs/>
                <w:color w:val="000000"/>
                <w:spacing w:val="0"/>
                <w:sz w:val="22"/>
                <w:szCs w:val="22"/>
                <w:lang w:eastAsia="en-GB"/>
              </w:rPr>
              <w:t>6</w:t>
            </w:r>
          </w:p>
        </w:tc>
        <w:tc>
          <w:tcPr>
            <w:tcW w:w="1012" w:type="dxa"/>
            <w:tcBorders>
              <w:top w:val="nil"/>
              <w:left w:val="nil"/>
              <w:bottom w:val="single" w:sz="8" w:space="0" w:color="auto"/>
              <w:right w:val="single" w:sz="8" w:space="0" w:color="auto"/>
            </w:tcBorders>
            <w:shd w:val="clear" w:color="000000" w:fill="B3B3B3"/>
            <w:vAlign w:val="center"/>
            <w:hideMark/>
          </w:tcPr>
          <w:p w14:paraId="10867111" w14:textId="794B5F20"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6</w:t>
            </w:r>
            <w:r w:rsidRPr="00FB4F49">
              <w:rPr>
                <w:rFonts w:cs="Arial"/>
                <w:b/>
                <w:bCs/>
                <w:color w:val="000000"/>
                <w:spacing w:val="0"/>
                <w:sz w:val="22"/>
                <w:szCs w:val="22"/>
                <w:lang w:eastAsia="en-GB"/>
              </w:rPr>
              <w:t>/2</w:t>
            </w:r>
            <w:r w:rsidR="00D12BA6">
              <w:rPr>
                <w:rFonts w:cs="Arial"/>
                <w:b/>
                <w:bCs/>
                <w:color w:val="000000"/>
                <w:spacing w:val="0"/>
                <w:sz w:val="22"/>
                <w:szCs w:val="22"/>
                <w:lang w:eastAsia="en-GB"/>
              </w:rPr>
              <w:t>7</w:t>
            </w:r>
          </w:p>
        </w:tc>
        <w:tc>
          <w:tcPr>
            <w:tcW w:w="1112" w:type="dxa"/>
            <w:tcBorders>
              <w:top w:val="nil"/>
              <w:left w:val="nil"/>
              <w:bottom w:val="single" w:sz="8" w:space="0" w:color="auto"/>
              <w:right w:val="single" w:sz="8" w:space="0" w:color="auto"/>
            </w:tcBorders>
            <w:shd w:val="clear" w:color="000000" w:fill="B3B3B3"/>
            <w:vAlign w:val="center"/>
            <w:hideMark/>
          </w:tcPr>
          <w:p w14:paraId="10AC61EF" w14:textId="055C01E2"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7</w:t>
            </w:r>
            <w:r w:rsidRPr="00FB4F49">
              <w:rPr>
                <w:rFonts w:cs="Arial"/>
                <w:b/>
                <w:bCs/>
                <w:color w:val="000000"/>
                <w:spacing w:val="0"/>
                <w:sz w:val="22"/>
                <w:szCs w:val="22"/>
                <w:lang w:eastAsia="en-GB"/>
              </w:rPr>
              <w:t>/2</w:t>
            </w:r>
            <w:r w:rsidR="00D12BA6">
              <w:rPr>
                <w:rFonts w:cs="Arial"/>
                <w:b/>
                <w:bCs/>
                <w:color w:val="000000"/>
                <w:spacing w:val="0"/>
                <w:sz w:val="22"/>
                <w:szCs w:val="22"/>
                <w:lang w:eastAsia="en-GB"/>
              </w:rPr>
              <w:t>8</w:t>
            </w:r>
          </w:p>
        </w:tc>
        <w:tc>
          <w:tcPr>
            <w:tcW w:w="1012" w:type="dxa"/>
            <w:tcBorders>
              <w:top w:val="nil"/>
              <w:left w:val="nil"/>
              <w:bottom w:val="single" w:sz="8" w:space="0" w:color="auto"/>
              <w:right w:val="single" w:sz="8" w:space="0" w:color="auto"/>
            </w:tcBorders>
            <w:shd w:val="clear" w:color="000000" w:fill="B3B3B3"/>
            <w:vAlign w:val="center"/>
            <w:hideMark/>
          </w:tcPr>
          <w:p w14:paraId="4035CF9D" w14:textId="34729C08" w:rsidR="00FB4F49" w:rsidRPr="00FB4F49" w:rsidRDefault="00FB4F49" w:rsidP="00FB4F49">
            <w:pPr>
              <w:jc w:val="center"/>
              <w:rPr>
                <w:rFonts w:cs="Arial"/>
                <w:b/>
                <w:bCs/>
                <w:color w:val="000000"/>
                <w:spacing w:val="0"/>
                <w:sz w:val="22"/>
                <w:szCs w:val="22"/>
                <w:lang w:eastAsia="en-GB"/>
              </w:rPr>
            </w:pPr>
            <w:r w:rsidRPr="00FB4F49">
              <w:rPr>
                <w:rFonts w:cs="Arial"/>
                <w:b/>
                <w:bCs/>
                <w:color w:val="000000"/>
                <w:spacing w:val="0"/>
                <w:sz w:val="22"/>
                <w:szCs w:val="22"/>
                <w:lang w:eastAsia="en-GB"/>
              </w:rPr>
              <w:t>202</w:t>
            </w:r>
            <w:r w:rsidR="00D12BA6">
              <w:rPr>
                <w:rFonts w:cs="Arial"/>
                <w:b/>
                <w:bCs/>
                <w:color w:val="000000"/>
                <w:spacing w:val="0"/>
                <w:sz w:val="22"/>
                <w:szCs w:val="22"/>
                <w:lang w:eastAsia="en-GB"/>
              </w:rPr>
              <w:t>8</w:t>
            </w:r>
            <w:r w:rsidRPr="00FB4F49">
              <w:rPr>
                <w:rFonts w:cs="Arial"/>
                <w:b/>
                <w:bCs/>
                <w:color w:val="000000"/>
                <w:spacing w:val="0"/>
                <w:sz w:val="22"/>
                <w:szCs w:val="22"/>
                <w:lang w:eastAsia="en-GB"/>
              </w:rPr>
              <w:t>/2</w:t>
            </w:r>
            <w:r w:rsidR="00D12BA6">
              <w:rPr>
                <w:rFonts w:cs="Arial"/>
                <w:b/>
                <w:bCs/>
                <w:color w:val="000000"/>
                <w:spacing w:val="0"/>
                <w:sz w:val="22"/>
                <w:szCs w:val="22"/>
                <w:lang w:eastAsia="en-GB"/>
              </w:rPr>
              <w:t>9</w:t>
            </w:r>
          </w:p>
        </w:tc>
      </w:tr>
      <w:tr w:rsidR="00FB4F49" w:rsidRPr="00FB4F49" w14:paraId="7037185A"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6FBB2C72"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Capital Expenditure – per plan</w:t>
            </w:r>
          </w:p>
        </w:tc>
        <w:tc>
          <w:tcPr>
            <w:tcW w:w="1012" w:type="dxa"/>
            <w:tcBorders>
              <w:top w:val="nil"/>
              <w:left w:val="nil"/>
              <w:bottom w:val="nil"/>
              <w:right w:val="single" w:sz="8" w:space="0" w:color="auto"/>
            </w:tcBorders>
            <w:shd w:val="clear" w:color="auto" w:fill="auto"/>
            <w:vAlign w:val="center"/>
            <w:hideMark/>
          </w:tcPr>
          <w:p w14:paraId="7AA500D4" w14:textId="705C689D" w:rsidR="00FB4F49" w:rsidRPr="00C3362B" w:rsidRDefault="00C25B3D" w:rsidP="00FB4F49">
            <w:pPr>
              <w:jc w:val="right"/>
              <w:rPr>
                <w:rFonts w:cs="Arial"/>
                <w:color w:val="000000"/>
                <w:spacing w:val="0"/>
                <w:sz w:val="22"/>
                <w:szCs w:val="22"/>
                <w:lang w:eastAsia="en-GB"/>
              </w:rPr>
            </w:pPr>
            <w:r w:rsidRPr="00C3362B">
              <w:rPr>
                <w:rFonts w:cs="Arial"/>
                <w:color w:val="000000"/>
                <w:spacing w:val="0"/>
                <w:sz w:val="22"/>
                <w:szCs w:val="22"/>
                <w:lang w:eastAsia="en-GB"/>
              </w:rPr>
              <w:t>96.9</w:t>
            </w:r>
          </w:p>
        </w:tc>
        <w:tc>
          <w:tcPr>
            <w:tcW w:w="1133" w:type="dxa"/>
            <w:tcBorders>
              <w:top w:val="nil"/>
              <w:left w:val="nil"/>
              <w:bottom w:val="nil"/>
              <w:right w:val="single" w:sz="8" w:space="0" w:color="auto"/>
            </w:tcBorders>
            <w:shd w:val="clear" w:color="auto" w:fill="auto"/>
            <w:vAlign w:val="center"/>
            <w:hideMark/>
          </w:tcPr>
          <w:p w14:paraId="271DC91E" w14:textId="774F4AD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12</w:t>
            </w:r>
            <w:r w:rsidR="003B4D1D" w:rsidRPr="00C3362B">
              <w:rPr>
                <w:rFonts w:cs="Arial"/>
                <w:color w:val="000000"/>
                <w:spacing w:val="0"/>
                <w:sz w:val="22"/>
                <w:szCs w:val="22"/>
                <w:lang w:eastAsia="en-GB"/>
              </w:rPr>
              <w:t>1.2</w:t>
            </w:r>
          </w:p>
        </w:tc>
        <w:tc>
          <w:tcPr>
            <w:tcW w:w="1114" w:type="dxa"/>
            <w:tcBorders>
              <w:top w:val="nil"/>
              <w:left w:val="nil"/>
              <w:bottom w:val="nil"/>
              <w:right w:val="single" w:sz="8" w:space="0" w:color="auto"/>
            </w:tcBorders>
            <w:shd w:val="clear" w:color="auto" w:fill="auto"/>
            <w:vAlign w:val="center"/>
            <w:hideMark/>
          </w:tcPr>
          <w:p w14:paraId="3CB9405E" w14:textId="4960B686" w:rsidR="00FB4F49" w:rsidRPr="00C3362B" w:rsidRDefault="003B4D1D" w:rsidP="00FB4F49">
            <w:pPr>
              <w:jc w:val="right"/>
              <w:rPr>
                <w:rFonts w:cs="Arial"/>
                <w:color w:val="000000"/>
                <w:spacing w:val="0"/>
                <w:sz w:val="22"/>
                <w:szCs w:val="22"/>
                <w:lang w:eastAsia="en-GB"/>
              </w:rPr>
            </w:pPr>
            <w:r w:rsidRPr="00C3362B">
              <w:rPr>
                <w:rFonts w:cs="Arial"/>
                <w:color w:val="000000"/>
                <w:spacing w:val="0"/>
                <w:sz w:val="22"/>
                <w:szCs w:val="22"/>
                <w:lang w:eastAsia="en-GB"/>
              </w:rPr>
              <w:t>98.3</w:t>
            </w:r>
          </w:p>
        </w:tc>
        <w:tc>
          <w:tcPr>
            <w:tcW w:w="1012" w:type="dxa"/>
            <w:tcBorders>
              <w:top w:val="nil"/>
              <w:left w:val="nil"/>
              <w:bottom w:val="nil"/>
              <w:right w:val="single" w:sz="8" w:space="0" w:color="auto"/>
            </w:tcBorders>
            <w:shd w:val="clear" w:color="auto" w:fill="auto"/>
            <w:vAlign w:val="center"/>
            <w:hideMark/>
          </w:tcPr>
          <w:p w14:paraId="29E72008" w14:textId="730C235A" w:rsidR="00FB4F49" w:rsidRPr="00C3362B" w:rsidRDefault="003B4D1D" w:rsidP="00FB4F49">
            <w:pPr>
              <w:jc w:val="right"/>
              <w:rPr>
                <w:rFonts w:cs="Arial"/>
                <w:color w:val="000000"/>
                <w:spacing w:val="0"/>
                <w:sz w:val="22"/>
                <w:szCs w:val="22"/>
                <w:lang w:eastAsia="en-GB"/>
              </w:rPr>
            </w:pPr>
            <w:r w:rsidRPr="00C3362B">
              <w:rPr>
                <w:rFonts w:cs="Arial"/>
                <w:color w:val="000000"/>
                <w:spacing w:val="0"/>
                <w:sz w:val="22"/>
                <w:szCs w:val="22"/>
                <w:lang w:eastAsia="en-GB"/>
              </w:rPr>
              <w:t>66.3</w:t>
            </w:r>
          </w:p>
        </w:tc>
        <w:tc>
          <w:tcPr>
            <w:tcW w:w="1112" w:type="dxa"/>
            <w:tcBorders>
              <w:top w:val="nil"/>
              <w:left w:val="nil"/>
              <w:bottom w:val="nil"/>
              <w:right w:val="single" w:sz="8" w:space="0" w:color="auto"/>
            </w:tcBorders>
            <w:shd w:val="clear" w:color="auto" w:fill="auto"/>
            <w:vAlign w:val="center"/>
            <w:hideMark/>
          </w:tcPr>
          <w:p w14:paraId="22C48A21" w14:textId="1E187BAA"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5</w:t>
            </w:r>
            <w:r w:rsidR="003B4D1D" w:rsidRPr="00C3362B">
              <w:rPr>
                <w:rFonts w:cs="Arial"/>
                <w:color w:val="000000"/>
                <w:spacing w:val="0"/>
                <w:sz w:val="22"/>
                <w:szCs w:val="22"/>
                <w:lang w:eastAsia="en-GB"/>
              </w:rPr>
              <w:t>9.6</w:t>
            </w:r>
          </w:p>
        </w:tc>
        <w:tc>
          <w:tcPr>
            <w:tcW w:w="1012" w:type="dxa"/>
            <w:tcBorders>
              <w:top w:val="nil"/>
              <w:left w:val="nil"/>
              <w:bottom w:val="nil"/>
              <w:right w:val="single" w:sz="8" w:space="0" w:color="auto"/>
            </w:tcBorders>
            <w:shd w:val="clear" w:color="auto" w:fill="auto"/>
            <w:vAlign w:val="center"/>
            <w:hideMark/>
          </w:tcPr>
          <w:p w14:paraId="68F3E8CE" w14:textId="1997A0BB" w:rsidR="00FB4F49" w:rsidRPr="00C3362B" w:rsidRDefault="003B4D1D" w:rsidP="00FB4F49">
            <w:pPr>
              <w:jc w:val="right"/>
              <w:rPr>
                <w:rFonts w:cs="Arial"/>
                <w:color w:val="000000"/>
                <w:spacing w:val="0"/>
                <w:sz w:val="22"/>
                <w:szCs w:val="22"/>
                <w:lang w:eastAsia="en-GB"/>
              </w:rPr>
            </w:pPr>
            <w:r w:rsidRPr="00C3362B">
              <w:rPr>
                <w:rFonts w:cs="Arial"/>
                <w:color w:val="000000"/>
                <w:spacing w:val="0"/>
                <w:sz w:val="22"/>
                <w:szCs w:val="22"/>
                <w:lang w:eastAsia="en-GB"/>
              </w:rPr>
              <w:t>24.9</w:t>
            </w:r>
          </w:p>
        </w:tc>
      </w:tr>
      <w:tr w:rsidR="00FB4F49" w:rsidRPr="00FB4F49" w14:paraId="21313186" w14:textId="77777777" w:rsidTr="00D370CC">
        <w:trPr>
          <w:trHeight w:hRule="exact" w:val="340"/>
        </w:trPr>
        <w:tc>
          <w:tcPr>
            <w:tcW w:w="3943" w:type="dxa"/>
            <w:tcBorders>
              <w:top w:val="nil"/>
              <w:left w:val="single" w:sz="8" w:space="0" w:color="auto"/>
              <w:bottom w:val="single" w:sz="8" w:space="0" w:color="auto"/>
              <w:right w:val="single" w:sz="8" w:space="0" w:color="auto"/>
            </w:tcBorders>
            <w:shd w:val="clear" w:color="auto" w:fill="auto"/>
            <w:vAlign w:val="center"/>
            <w:hideMark/>
          </w:tcPr>
          <w:p w14:paraId="0CAE15A8"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Other Relevant Expenditure</w:t>
            </w:r>
          </w:p>
        </w:tc>
        <w:tc>
          <w:tcPr>
            <w:tcW w:w="1012" w:type="dxa"/>
            <w:tcBorders>
              <w:top w:val="nil"/>
              <w:left w:val="nil"/>
              <w:bottom w:val="single" w:sz="8" w:space="0" w:color="auto"/>
              <w:right w:val="single" w:sz="8" w:space="0" w:color="auto"/>
            </w:tcBorders>
            <w:shd w:val="clear" w:color="auto" w:fill="auto"/>
            <w:vAlign w:val="center"/>
            <w:hideMark/>
          </w:tcPr>
          <w:p w14:paraId="0D81834F"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c>
          <w:tcPr>
            <w:tcW w:w="1133" w:type="dxa"/>
            <w:tcBorders>
              <w:top w:val="nil"/>
              <w:left w:val="nil"/>
              <w:bottom w:val="single" w:sz="8" w:space="0" w:color="auto"/>
              <w:right w:val="single" w:sz="8" w:space="0" w:color="auto"/>
            </w:tcBorders>
            <w:shd w:val="clear" w:color="auto" w:fill="auto"/>
            <w:vAlign w:val="center"/>
            <w:hideMark/>
          </w:tcPr>
          <w:p w14:paraId="3C9726CC"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c>
          <w:tcPr>
            <w:tcW w:w="1114" w:type="dxa"/>
            <w:tcBorders>
              <w:top w:val="nil"/>
              <w:left w:val="nil"/>
              <w:bottom w:val="single" w:sz="8" w:space="0" w:color="auto"/>
              <w:right w:val="single" w:sz="8" w:space="0" w:color="auto"/>
            </w:tcBorders>
            <w:shd w:val="clear" w:color="auto" w:fill="auto"/>
            <w:vAlign w:val="center"/>
            <w:hideMark/>
          </w:tcPr>
          <w:p w14:paraId="0DB82353"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c>
          <w:tcPr>
            <w:tcW w:w="1012" w:type="dxa"/>
            <w:tcBorders>
              <w:top w:val="nil"/>
              <w:left w:val="nil"/>
              <w:bottom w:val="single" w:sz="8" w:space="0" w:color="auto"/>
              <w:right w:val="single" w:sz="8" w:space="0" w:color="auto"/>
            </w:tcBorders>
            <w:shd w:val="clear" w:color="auto" w:fill="auto"/>
            <w:vAlign w:val="center"/>
            <w:hideMark/>
          </w:tcPr>
          <w:p w14:paraId="6C2FD801"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c>
          <w:tcPr>
            <w:tcW w:w="1112" w:type="dxa"/>
            <w:tcBorders>
              <w:top w:val="nil"/>
              <w:left w:val="nil"/>
              <w:bottom w:val="single" w:sz="8" w:space="0" w:color="auto"/>
              <w:right w:val="single" w:sz="8" w:space="0" w:color="auto"/>
            </w:tcBorders>
            <w:shd w:val="clear" w:color="auto" w:fill="auto"/>
            <w:vAlign w:val="center"/>
            <w:hideMark/>
          </w:tcPr>
          <w:p w14:paraId="027E88B1"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c>
          <w:tcPr>
            <w:tcW w:w="1012" w:type="dxa"/>
            <w:tcBorders>
              <w:top w:val="nil"/>
              <w:left w:val="nil"/>
              <w:bottom w:val="single" w:sz="8" w:space="0" w:color="auto"/>
              <w:right w:val="single" w:sz="8" w:space="0" w:color="auto"/>
            </w:tcBorders>
            <w:shd w:val="clear" w:color="auto" w:fill="auto"/>
            <w:vAlign w:val="center"/>
            <w:hideMark/>
          </w:tcPr>
          <w:p w14:paraId="4B4E982F" w14:textId="77777777" w:rsidR="00FB4F49" w:rsidRPr="00C3362B" w:rsidRDefault="00FB4F49" w:rsidP="00FB4F49">
            <w:pPr>
              <w:jc w:val="right"/>
              <w:rPr>
                <w:rFonts w:cs="Arial"/>
                <w:color w:val="000000"/>
                <w:spacing w:val="0"/>
                <w:sz w:val="22"/>
                <w:szCs w:val="22"/>
                <w:lang w:eastAsia="en-GB"/>
              </w:rPr>
            </w:pPr>
            <w:r w:rsidRPr="00C3362B">
              <w:rPr>
                <w:rFonts w:cs="Arial"/>
                <w:color w:val="000000"/>
                <w:spacing w:val="0"/>
                <w:sz w:val="22"/>
                <w:szCs w:val="22"/>
                <w:lang w:eastAsia="en-GB"/>
              </w:rPr>
              <w:t>-</w:t>
            </w:r>
          </w:p>
        </w:tc>
      </w:tr>
      <w:tr w:rsidR="00FB4F49" w:rsidRPr="00FB4F49" w14:paraId="204380B3" w14:textId="77777777" w:rsidTr="00D370CC">
        <w:trPr>
          <w:trHeight w:hRule="exact" w:val="340"/>
        </w:trPr>
        <w:tc>
          <w:tcPr>
            <w:tcW w:w="3943" w:type="dxa"/>
            <w:tcBorders>
              <w:top w:val="nil"/>
              <w:left w:val="single" w:sz="8" w:space="0" w:color="auto"/>
              <w:bottom w:val="single" w:sz="8" w:space="0" w:color="auto"/>
              <w:right w:val="single" w:sz="8" w:space="0" w:color="auto"/>
            </w:tcBorders>
            <w:shd w:val="clear" w:color="auto" w:fill="auto"/>
            <w:vAlign w:val="center"/>
            <w:hideMark/>
          </w:tcPr>
          <w:p w14:paraId="7745A21D"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Total Expenditure</w:t>
            </w:r>
          </w:p>
        </w:tc>
        <w:tc>
          <w:tcPr>
            <w:tcW w:w="1012" w:type="dxa"/>
            <w:tcBorders>
              <w:top w:val="nil"/>
              <w:left w:val="nil"/>
              <w:bottom w:val="single" w:sz="8" w:space="0" w:color="auto"/>
              <w:right w:val="single" w:sz="8" w:space="0" w:color="auto"/>
            </w:tcBorders>
            <w:shd w:val="clear" w:color="auto" w:fill="auto"/>
            <w:vAlign w:val="center"/>
            <w:hideMark/>
          </w:tcPr>
          <w:p w14:paraId="45693AD4" w14:textId="7D07577D" w:rsidR="00FB4F49" w:rsidRPr="00C3362B" w:rsidRDefault="003B4D1D"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96.9</w:t>
            </w:r>
          </w:p>
        </w:tc>
        <w:tc>
          <w:tcPr>
            <w:tcW w:w="1133" w:type="dxa"/>
            <w:tcBorders>
              <w:top w:val="nil"/>
              <w:left w:val="nil"/>
              <w:bottom w:val="single" w:sz="8" w:space="0" w:color="auto"/>
              <w:right w:val="single" w:sz="8" w:space="0" w:color="auto"/>
            </w:tcBorders>
            <w:shd w:val="clear" w:color="auto" w:fill="auto"/>
            <w:vAlign w:val="center"/>
            <w:hideMark/>
          </w:tcPr>
          <w:p w14:paraId="7102C070" w14:textId="3C2F8270" w:rsidR="00FB4F49" w:rsidRPr="00C3362B" w:rsidRDefault="00FB4F49"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1</w:t>
            </w:r>
            <w:r w:rsidR="003B4D1D" w:rsidRPr="00C3362B">
              <w:rPr>
                <w:rFonts w:cs="Arial"/>
                <w:b/>
                <w:bCs/>
                <w:color w:val="000000"/>
                <w:spacing w:val="0"/>
                <w:sz w:val="22"/>
                <w:szCs w:val="22"/>
                <w:lang w:eastAsia="en-GB"/>
              </w:rPr>
              <w:t>21.2</w:t>
            </w:r>
          </w:p>
        </w:tc>
        <w:tc>
          <w:tcPr>
            <w:tcW w:w="1114" w:type="dxa"/>
            <w:tcBorders>
              <w:top w:val="nil"/>
              <w:left w:val="nil"/>
              <w:bottom w:val="single" w:sz="8" w:space="0" w:color="auto"/>
              <w:right w:val="single" w:sz="8" w:space="0" w:color="auto"/>
            </w:tcBorders>
            <w:shd w:val="clear" w:color="auto" w:fill="auto"/>
            <w:vAlign w:val="center"/>
            <w:hideMark/>
          </w:tcPr>
          <w:p w14:paraId="119D7855" w14:textId="6513BE16" w:rsidR="00FB4F49" w:rsidRPr="00C3362B" w:rsidRDefault="003B4D1D"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98.3</w:t>
            </w:r>
          </w:p>
        </w:tc>
        <w:tc>
          <w:tcPr>
            <w:tcW w:w="1012" w:type="dxa"/>
            <w:tcBorders>
              <w:top w:val="nil"/>
              <w:left w:val="nil"/>
              <w:bottom w:val="single" w:sz="8" w:space="0" w:color="auto"/>
              <w:right w:val="single" w:sz="8" w:space="0" w:color="auto"/>
            </w:tcBorders>
            <w:shd w:val="clear" w:color="auto" w:fill="auto"/>
            <w:vAlign w:val="center"/>
            <w:hideMark/>
          </w:tcPr>
          <w:p w14:paraId="611E213B" w14:textId="4253336A" w:rsidR="00FB4F49" w:rsidRPr="00C3362B" w:rsidRDefault="003B4D1D"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66.3</w:t>
            </w:r>
          </w:p>
        </w:tc>
        <w:tc>
          <w:tcPr>
            <w:tcW w:w="1112" w:type="dxa"/>
            <w:tcBorders>
              <w:top w:val="nil"/>
              <w:left w:val="nil"/>
              <w:bottom w:val="single" w:sz="8" w:space="0" w:color="auto"/>
              <w:right w:val="single" w:sz="8" w:space="0" w:color="auto"/>
            </w:tcBorders>
            <w:shd w:val="clear" w:color="auto" w:fill="auto"/>
            <w:vAlign w:val="center"/>
            <w:hideMark/>
          </w:tcPr>
          <w:p w14:paraId="5BEDB1CB" w14:textId="7E09790E" w:rsidR="00FB4F49" w:rsidRPr="00C3362B" w:rsidRDefault="00FB4F49"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5</w:t>
            </w:r>
            <w:r w:rsidR="003B4D1D" w:rsidRPr="00C3362B">
              <w:rPr>
                <w:rFonts w:cs="Arial"/>
                <w:b/>
                <w:bCs/>
                <w:color w:val="000000"/>
                <w:spacing w:val="0"/>
                <w:sz w:val="22"/>
                <w:szCs w:val="22"/>
                <w:lang w:eastAsia="en-GB"/>
              </w:rPr>
              <w:t>9.6</w:t>
            </w:r>
          </w:p>
        </w:tc>
        <w:tc>
          <w:tcPr>
            <w:tcW w:w="1012" w:type="dxa"/>
            <w:tcBorders>
              <w:top w:val="nil"/>
              <w:left w:val="nil"/>
              <w:bottom w:val="single" w:sz="8" w:space="0" w:color="auto"/>
              <w:right w:val="single" w:sz="8" w:space="0" w:color="auto"/>
            </w:tcBorders>
            <w:shd w:val="clear" w:color="auto" w:fill="auto"/>
            <w:vAlign w:val="center"/>
            <w:hideMark/>
          </w:tcPr>
          <w:p w14:paraId="48CA9F06" w14:textId="21BFFA36" w:rsidR="00FB4F49" w:rsidRPr="00C3362B" w:rsidRDefault="003B4D1D" w:rsidP="00FB4F49">
            <w:pPr>
              <w:jc w:val="right"/>
              <w:rPr>
                <w:rFonts w:cs="Arial"/>
                <w:b/>
                <w:bCs/>
                <w:color w:val="000000"/>
                <w:spacing w:val="0"/>
                <w:sz w:val="22"/>
                <w:szCs w:val="22"/>
                <w:lang w:eastAsia="en-GB"/>
              </w:rPr>
            </w:pPr>
            <w:r w:rsidRPr="00C3362B">
              <w:rPr>
                <w:rFonts w:cs="Arial"/>
                <w:b/>
                <w:bCs/>
                <w:color w:val="000000"/>
                <w:spacing w:val="0"/>
                <w:sz w:val="22"/>
                <w:szCs w:val="22"/>
                <w:lang w:eastAsia="en-GB"/>
              </w:rPr>
              <w:t>24.9</w:t>
            </w:r>
          </w:p>
        </w:tc>
      </w:tr>
      <w:tr w:rsidR="00FB4F49" w:rsidRPr="00FB4F49" w14:paraId="156B905D"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58AD0C7F" w14:textId="77777777" w:rsidR="00FB4F49" w:rsidRPr="00FB4F49" w:rsidRDefault="00FB4F49" w:rsidP="00FB4F49">
            <w:pPr>
              <w:rPr>
                <w:rFonts w:cs="Arial"/>
                <w:b/>
                <w:bCs/>
                <w:color w:val="000000"/>
                <w:spacing w:val="0"/>
                <w:sz w:val="22"/>
                <w:szCs w:val="22"/>
                <w:lang w:eastAsia="en-GB"/>
              </w:rPr>
            </w:pPr>
            <w:r w:rsidRPr="00FB4F49">
              <w:rPr>
                <w:rFonts w:cs="Arial"/>
                <w:b/>
                <w:bCs/>
                <w:color w:val="000000"/>
                <w:spacing w:val="0"/>
                <w:sz w:val="22"/>
                <w:szCs w:val="22"/>
                <w:lang w:eastAsia="en-GB"/>
              </w:rPr>
              <w:t>Financed by:</w:t>
            </w:r>
          </w:p>
        </w:tc>
        <w:tc>
          <w:tcPr>
            <w:tcW w:w="1012" w:type="dxa"/>
            <w:tcBorders>
              <w:top w:val="nil"/>
              <w:left w:val="nil"/>
              <w:bottom w:val="nil"/>
              <w:right w:val="single" w:sz="8" w:space="0" w:color="auto"/>
            </w:tcBorders>
            <w:shd w:val="clear" w:color="auto" w:fill="auto"/>
            <w:vAlign w:val="center"/>
            <w:hideMark/>
          </w:tcPr>
          <w:p w14:paraId="01C54A31"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c>
          <w:tcPr>
            <w:tcW w:w="1133" w:type="dxa"/>
            <w:tcBorders>
              <w:top w:val="nil"/>
              <w:left w:val="nil"/>
              <w:bottom w:val="nil"/>
              <w:right w:val="single" w:sz="8" w:space="0" w:color="auto"/>
            </w:tcBorders>
            <w:shd w:val="clear" w:color="auto" w:fill="auto"/>
            <w:vAlign w:val="center"/>
            <w:hideMark/>
          </w:tcPr>
          <w:p w14:paraId="08BBFC6A"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c>
          <w:tcPr>
            <w:tcW w:w="1114" w:type="dxa"/>
            <w:tcBorders>
              <w:top w:val="nil"/>
              <w:left w:val="nil"/>
              <w:bottom w:val="nil"/>
              <w:right w:val="single" w:sz="8" w:space="0" w:color="auto"/>
            </w:tcBorders>
            <w:shd w:val="clear" w:color="auto" w:fill="auto"/>
            <w:vAlign w:val="center"/>
            <w:hideMark/>
          </w:tcPr>
          <w:p w14:paraId="2ECF3458"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c>
          <w:tcPr>
            <w:tcW w:w="1012" w:type="dxa"/>
            <w:tcBorders>
              <w:top w:val="nil"/>
              <w:left w:val="nil"/>
              <w:bottom w:val="nil"/>
              <w:right w:val="single" w:sz="8" w:space="0" w:color="auto"/>
            </w:tcBorders>
            <w:shd w:val="clear" w:color="auto" w:fill="auto"/>
            <w:vAlign w:val="center"/>
            <w:hideMark/>
          </w:tcPr>
          <w:p w14:paraId="5E17E987"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c>
          <w:tcPr>
            <w:tcW w:w="1112" w:type="dxa"/>
            <w:tcBorders>
              <w:top w:val="nil"/>
              <w:left w:val="nil"/>
              <w:bottom w:val="nil"/>
              <w:right w:val="single" w:sz="8" w:space="0" w:color="auto"/>
            </w:tcBorders>
            <w:shd w:val="clear" w:color="auto" w:fill="auto"/>
            <w:vAlign w:val="center"/>
            <w:hideMark/>
          </w:tcPr>
          <w:p w14:paraId="5666BB44"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c>
          <w:tcPr>
            <w:tcW w:w="1012" w:type="dxa"/>
            <w:tcBorders>
              <w:top w:val="nil"/>
              <w:left w:val="nil"/>
              <w:bottom w:val="nil"/>
              <w:right w:val="single" w:sz="8" w:space="0" w:color="auto"/>
            </w:tcBorders>
            <w:shd w:val="clear" w:color="auto" w:fill="auto"/>
            <w:vAlign w:val="center"/>
            <w:hideMark/>
          </w:tcPr>
          <w:p w14:paraId="3E2B1258"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 </w:t>
            </w:r>
          </w:p>
        </w:tc>
      </w:tr>
      <w:tr w:rsidR="00FB4F49" w:rsidRPr="00FB4F49" w14:paraId="3EAF16E8"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5A8E03D2"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Capital receipts</w:t>
            </w:r>
          </w:p>
        </w:tc>
        <w:tc>
          <w:tcPr>
            <w:tcW w:w="1012" w:type="dxa"/>
            <w:tcBorders>
              <w:top w:val="nil"/>
              <w:left w:val="nil"/>
              <w:bottom w:val="nil"/>
              <w:right w:val="single" w:sz="8" w:space="0" w:color="auto"/>
            </w:tcBorders>
            <w:shd w:val="clear" w:color="auto" w:fill="auto"/>
            <w:vAlign w:val="center"/>
            <w:hideMark/>
          </w:tcPr>
          <w:p w14:paraId="1535666F" w14:textId="74CA833F"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2.1</w:t>
            </w:r>
          </w:p>
        </w:tc>
        <w:tc>
          <w:tcPr>
            <w:tcW w:w="1133" w:type="dxa"/>
            <w:tcBorders>
              <w:top w:val="nil"/>
              <w:left w:val="nil"/>
              <w:bottom w:val="nil"/>
              <w:right w:val="single" w:sz="8" w:space="0" w:color="auto"/>
            </w:tcBorders>
            <w:shd w:val="clear" w:color="auto" w:fill="auto"/>
            <w:vAlign w:val="center"/>
            <w:hideMark/>
          </w:tcPr>
          <w:p w14:paraId="3CA76D51" w14:textId="2823B928"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3.9</w:t>
            </w:r>
          </w:p>
        </w:tc>
        <w:tc>
          <w:tcPr>
            <w:tcW w:w="1114" w:type="dxa"/>
            <w:tcBorders>
              <w:top w:val="nil"/>
              <w:left w:val="nil"/>
              <w:bottom w:val="nil"/>
              <w:right w:val="single" w:sz="8" w:space="0" w:color="auto"/>
            </w:tcBorders>
            <w:shd w:val="clear" w:color="auto" w:fill="auto"/>
            <w:vAlign w:val="center"/>
            <w:hideMark/>
          </w:tcPr>
          <w:p w14:paraId="7E1990B7" w14:textId="7EB64476"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1.5</w:t>
            </w:r>
          </w:p>
        </w:tc>
        <w:tc>
          <w:tcPr>
            <w:tcW w:w="1012" w:type="dxa"/>
            <w:tcBorders>
              <w:top w:val="nil"/>
              <w:left w:val="nil"/>
              <w:bottom w:val="nil"/>
              <w:right w:val="single" w:sz="8" w:space="0" w:color="auto"/>
            </w:tcBorders>
            <w:shd w:val="clear" w:color="auto" w:fill="auto"/>
            <w:vAlign w:val="center"/>
            <w:hideMark/>
          </w:tcPr>
          <w:p w14:paraId="35D1C9F2" w14:textId="75AF64F5"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1.5</w:t>
            </w:r>
          </w:p>
        </w:tc>
        <w:tc>
          <w:tcPr>
            <w:tcW w:w="1112" w:type="dxa"/>
            <w:tcBorders>
              <w:top w:val="nil"/>
              <w:left w:val="nil"/>
              <w:bottom w:val="nil"/>
              <w:right w:val="single" w:sz="8" w:space="0" w:color="auto"/>
            </w:tcBorders>
            <w:shd w:val="clear" w:color="auto" w:fill="auto"/>
            <w:vAlign w:val="center"/>
            <w:hideMark/>
          </w:tcPr>
          <w:p w14:paraId="4C3D205B" w14:textId="0F742F16"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1.5</w:t>
            </w:r>
          </w:p>
        </w:tc>
        <w:tc>
          <w:tcPr>
            <w:tcW w:w="1012" w:type="dxa"/>
            <w:tcBorders>
              <w:top w:val="nil"/>
              <w:left w:val="nil"/>
              <w:bottom w:val="nil"/>
              <w:right w:val="single" w:sz="8" w:space="0" w:color="auto"/>
            </w:tcBorders>
            <w:shd w:val="clear" w:color="auto" w:fill="auto"/>
            <w:vAlign w:val="center"/>
            <w:hideMark/>
          </w:tcPr>
          <w:p w14:paraId="600F1BEC" w14:textId="43C8CF51"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w:t>
            </w:r>
          </w:p>
        </w:tc>
      </w:tr>
      <w:tr w:rsidR="00FB4F49" w:rsidRPr="00FB4F49" w14:paraId="6D6E9DBD"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5E0EAAE1"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CFCR</w:t>
            </w:r>
          </w:p>
        </w:tc>
        <w:tc>
          <w:tcPr>
            <w:tcW w:w="1012" w:type="dxa"/>
            <w:tcBorders>
              <w:top w:val="nil"/>
              <w:left w:val="nil"/>
              <w:bottom w:val="nil"/>
              <w:right w:val="single" w:sz="8" w:space="0" w:color="auto"/>
            </w:tcBorders>
            <w:shd w:val="clear" w:color="auto" w:fill="auto"/>
            <w:vAlign w:val="center"/>
            <w:hideMark/>
          </w:tcPr>
          <w:p w14:paraId="73BE6974" w14:textId="2E79FA50"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w:t>
            </w:r>
            <w:r w:rsidR="00C3362B">
              <w:rPr>
                <w:rFonts w:cs="Arial"/>
                <w:color w:val="000000"/>
                <w:spacing w:val="0"/>
                <w:sz w:val="22"/>
                <w:szCs w:val="22"/>
                <w:lang w:eastAsia="en-GB"/>
              </w:rPr>
              <w:t>9</w:t>
            </w:r>
          </w:p>
        </w:tc>
        <w:tc>
          <w:tcPr>
            <w:tcW w:w="1133" w:type="dxa"/>
            <w:tcBorders>
              <w:top w:val="nil"/>
              <w:left w:val="nil"/>
              <w:bottom w:val="nil"/>
              <w:right w:val="single" w:sz="8" w:space="0" w:color="auto"/>
            </w:tcBorders>
            <w:shd w:val="clear" w:color="auto" w:fill="auto"/>
            <w:vAlign w:val="center"/>
            <w:hideMark/>
          </w:tcPr>
          <w:p w14:paraId="6AE080AC" w14:textId="31DDD3C9"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1</w:t>
            </w:r>
            <w:r w:rsidR="00FB4F49" w:rsidRPr="00FB4F49">
              <w:rPr>
                <w:rFonts w:cs="Arial"/>
                <w:color w:val="000000"/>
                <w:spacing w:val="0"/>
                <w:sz w:val="22"/>
                <w:szCs w:val="22"/>
                <w:lang w:eastAsia="en-GB"/>
              </w:rPr>
              <w:t>.9</w:t>
            </w:r>
          </w:p>
        </w:tc>
        <w:tc>
          <w:tcPr>
            <w:tcW w:w="1114" w:type="dxa"/>
            <w:tcBorders>
              <w:top w:val="nil"/>
              <w:left w:val="nil"/>
              <w:bottom w:val="nil"/>
              <w:right w:val="single" w:sz="8" w:space="0" w:color="auto"/>
            </w:tcBorders>
            <w:shd w:val="clear" w:color="auto" w:fill="auto"/>
            <w:vAlign w:val="center"/>
            <w:hideMark/>
          </w:tcPr>
          <w:p w14:paraId="41B5384D" w14:textId="3021B3E9"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w:t>
            </w:r>
          </w:p>
        </w:tc>
        <w:tc>
          <w:tcPr>
            <w:tcW w:w="1012" w:type="dxa"/>
            <w:tcBorders>
              <w:top w:val="nil"/>
              <w:left w:val="nil"/>
              <w:bottom w:val="nil"/>
              <w:right w:val="single" w:sz="8" w:space="0" w:color="auto"/>
            </w:tcBorders>
            <w:shd w:val="clear" w:color="auto" w:fill="auto"/>
            <w:vAlign w:val="center"/>
            <w:hideMark/>
          </w:tcPr>
          <w:p w14:paraId="603DB883" w14:textId="4922FD41"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w:t>
            </w:r>
          </w:p>
        </w:tc>
        <w:tc>
          <w:tcPr>
            <w:tcW w:w="1112" w:type="dxa"/>
            <w:tcBorders>
              <w:top w:val="nil"/>
              <w:left w:val="nil"/>
              <w:bottom w:val="nil"/>
              <w:right w:val="single" w:sz="8" w:space="0" w:color="auto"/>
            </w:tcBorders>
            <w:shd w:val="clear" w:color="auto" w:fill="auto"/>
            <w:vAlign w:val="center"/>
            <w:hideMark/>
          </w:tcPr>
          <w:p w14:paraId="3ADC71ED" w14:textId="5418101E"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w:t>
            </w:r>
          </w:p>
        </w:tc>
        <w:tc>
          <w:tcPr>
            <w:tcW w:w="1012" w:type="dxa"/>
            <w:tcBorders>
              <w:top w:val="nil"/>
              <w:left w:val="nil"/>
              <w:bottom w:val="nil"/>
              <w:right w:val="single" w:sz="8" w:space="0" w:color="auto"/>
            </w:tcBorders>
            <w:shd w:val="clear" w:color="auto" w:fill="auto"/>
            <w:vAlign w:val="center"/>
            <w:hideMark/>
          </w:tcPr>
          <w:p w14:paraId="360B6000" w14:textId="402ED5D4" w:rsidR="00FB4F49" w:rsidRPr="00FB4F49" w:rsidRDefault="00C3362B" w:rsidP="00FB4F49">
            <w:pPr>
              <w:jc w:val="right"/>
              <w:rPr>
                <w:rFonts w:cs="Arial"/>
                <w:color w:val="000000"/>
                <w:spacing w:val="0"/>
                <w:sz w:val="22"/>
                <w:szCs w:val="22"/>
                <w:lang w:eastAsia="en-GB"/>
              </w:rPr>
            </w:pPr>
            <w:r>
              <w:rPr>
                <w:rFonts w:cs="Arial"/>
                <w:color w:val="000000"/>
                <w:spacing w:val="0"/>
                <w:sz w:val="22"/>
                <w:szCs w:val="22"/>
                <w:lang w:eastAsia="en-GB"/>
              </w:rPr>
              <w:t>-</w:t>
            </w:r>
          </w:p>
        </w:tc>
      </w:tr>
      <w:tr w:rsidR="00FB4F49" w:rsidRPr="00FB4F49" w14:paraId="1D3A2EC3"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47A64F46"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Developer Contributions</w:t>
            </w:r>
          </w:p>
        </w:tc>
        <w:tc>
          <w:tcPr>
            <w:tcW w:w="1012" w:type="dxa"/>
            <w:tcBorders>
              <w:top w:val="nil"/>
              <w:left w:val="nil"/>
              <w:bottom w:val="nil"/>
              <w:right w:val="single" w:sz="8" w:space="0" w:color="auto"/>
            </w:tcBorders>
            <w:shd w:val="clear" w:color="auto" w:fill="auto"/>
            <w:vAlign w:val="center"/>
            <w:hideMark/>
          </w:tcPr>
          <w:p w14:paraId="523C14C2" w14:textId="7E923292"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w:t>
            </w:r>
            <w:r w:rsidR="00C3362B">
              <w:rPr>
                <w:rFonts w:cs="Arial"/>
                <w:color w:val="000000"/>
                <w:spacing w:val="0"/>
                <w:sz w:val="22"/>
                <w:szCs w:val="22"/>
                <w:lang w:eastAsia="en-GB"/>
              </w:rPr>
              <w:t>6</w:t>
            </w:r>
          </w:p>
        </w:tc>
        <w:tc>
          <w:tcPr>
            <w:tcW w:w="1133" w:type="dxa"/>
            <w:tcBorders>
              <w:top w:val="nil"/>
              <w:left w:val="nil"/>
              <w:bottom w:val="nil"/>
              <w:right w:val="single" w:sz="8" w:space="0" w:color="auto"/>
            </w:tcBorders>
            <w:shd w:val="clear" w:color="auto" w:fill="auto"/>
            <w:vAlign w:val="center"/>
            <w:hideMark/>
          </w:tcPr>
          <w:p w14:paraId="65F538A1" w14:textId="3D110D5B" w:rsidR="00FB4F49" w:rsidRPr="00FB4F49" w:rsidRDefault="0039362A" w:rsidP="00FB4F49">
            <w:pPr>
              <w:jc w:val="right"/>
              <w:rPr>
                <w:rFonts w:cs="Arial"/>
                <w:color w:val="000000"/>
                <w:spacing w:val="0"/>
                <w:sz w:val="22"/>
                <w:szCs w:val="22"/>
                <w:lang w:eastAsia="en-GB"/>
              </w:rPr>
            </w:pPr>
            <w:r>
              <w:rPr>
                <w:rFonts w:cs="Arial"/>
                <w:color w:val="000000"/>
                <w:spacing w:val="0"/>
                <w:sz w:val="22"/>
                <w:szCs w:val="22"/>
                <w:lang w:eastAsia="en-GB"/>
              </w:rPr>
              <w:t>5.9</w:t>
            </w:r>
          </w:p>
        </w:tc>
        <w:tc>
          <w:tcPr>
            <w:tcW w:w="1114" w:type="dxa"/>
            <w:tcBorders>
              <w:top w:val="nil"/>
              <w:left w:val="nil"/>
              <w:bottom w:val="nil"/>
              <w:right w:val="single" w:sz="8" w:space="0" w:color="auto"/>
            </w:tcBorders>
            <w:shd w:val="clear" w:color="auto" w:fill="auto"/>
            <w:vAlign w:val="center"/>
            <w:hideMark/>
          </w:tcPr>
          <w:p w14:paraId="0B8A76BF" w14:textId="51F11FF1" w:rsidR="00FB4F49" w:rsidRPr="00FB4F49" w:rsidRDefault="0039362A" w:rsidP="00FB4F49">
            <w:pPr>
              <w:jc w:val="right"/>
              <w:rPr>
                <w:rFonts w:cs="Arial"/>
                <w:color w:val="000000"/>
                <w:spacing w:val="0"/>
                <w:sz w:val="22"/>
                <w:szCs w:val="22"/>
                <w:lang w:eastAsia="en-GB"/>
              </w:rPr>
            </w:pPr>
            <w:r>
              <w:rPr>
                <w:rFonts w:cs="Arial"/>
                <w:color w:val="000000"/>
                <w:spacing w:val="0"/>
                <w:sz w:val="22"/>
                <w:szCs w:val="22"/>
                <w:lang w:eastAsia="en-GB"/>
              </w:rPr>
              <w:t>0.1</w:t>
            </w:r>
          </w:p>
        </w:tc>
        <w:tc>
          <w:tcPr>
            <w:tcW w:w="1012" w:type="dxa"/>
            <w:tcBorders>
              <w:top w:val="nil"/>
              <w:left w:val="nil"/>
              <w:bottom w:val="nil"/>
              <w:right w:val="single" w:sz="8" w:space="0" w:color="auto"/>
            </w:tcBorders>
            <w:shd w:val="clear" w:color="auto" w:fill="auto"/>
            <w:vAlign w:val="center"/>
            <w:hideMark/>
          </w:tcPr>
          <w:p w14:paraId="59FA3355"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0.1</w:t>
            </w:r>
          </w:p>
        </w:tc>
        <w:tc>
          <w:tcPr>
            <w:tcW w:w="1112" w:type="dxa"/>
            <w:tcBorders>
              <w:top w:val="nil"/>
              <w:left w:val="nil"/>
              <w:bottom w:val="nil"/>
              <w:right w:val="single" w:sz="8" w:space="0" w:color="auto"/>
            </w:tcBorders>
            <w:shd w:val="clear" w:color="auto" w:fill="auto"/>
            <w:vAlign w:val="center"/>
            <w:hideMark/>
          </w:tcPr>
          <w:p w14:paraId="6E903BB0"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0.1</w:t>
            </w:r>
          </w:p>
        </w:tc>
        <w:tc>
          <w:tcPr>
            <w:tcW w:w="1012" w:type="dxa"/>
            <w:tcBorders>
              <w:top w:val="nil"/>
              <w:left w:val="nil"/>
              <w:bottom w:val="nil"/>
              <w:right w:val="single" w:sz="8" w:space="0" w:color="auto"/>
            </w:tcBorders>
            <w:shd w:val="clear" w:color="auto" w:fill="auto"/>
            <w:vAlign w:val="center"/>
            <w:hideMark/>
          </w:tcPr>
          <w:p w14:paraId="2E4EB9C9"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0.1</w:t>
            </w:r>
          </w:p>
        </w:tc>
      </w:tr>
      <w:tr w:rsidR="00FB4F49" w:rsidRPr="00FB4F49" w14:paraId="7CB6D523"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5C20A10A"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Govt. General Capital Grants</w:t>
            </w:r>
          </w:p>
        </w:tc>
        <w:tc>
          <w:tcPr>
            <w:tcW w:w="1012" w:type="dxa"/>
            <w:tcBorders>
              <w:top w:val="nil"/>
              <w:left w:val="nil"/>
              <w:bottom w:val="nil"/>
              <w:right w:val="single" w:sz="8" w:space="0" w:color="auto"/>
            </w:tcBorders>
            <w:shd w:val="clear" w:color="auto" w:fill="auto"/>
            <w:vAlign w:val="center"/>
            <w:hideMark/>
          </w:tcPr>
          <w:p w14:paraId="6ACEF14B" w14:textId="0B53D285"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39362A">
              <w:rPr>
                <w:rFonts w:cs="Arial"/>
                <w:color w:val="000000"/>
                <w:spacing w:val="0"/>
                <w:sz w:val="22"/>
                <w:szCs w:val="22"/>
                <w:lang w:eastAsia="en-GB"/>
              </w:rPr>
              <w:t>6.2</w:t>
            </w:r>
          </w:p>
        </w:tc>
        <w:tc>
          <w:tcPr>
            <w:tcW w:w="1133" w:type="dxa"/>
            <w:tcBorders>
              <w:top w:val="nil"/>
              <w:left w:val="nil"/>
              <w:bottom w:val="nil"/>
              <w:right w:val="single" w:sz="8" w:space="0" w:color="auto"/>
            </w:tcBorders>
            <w:shd w:val="clear" w:color="auto" w:fill="auto"/>
            <w:vAlign w:val="center"/>
            <w:hideMark/>
          </w:tcPr>
          <w:p w14:paraId="200BC355" w14:textId="19ACF1D6" w:rsidR="00FB4F49" w:rsidRPr="00FB4F49" w:rsidRDefault="00D370CC" w:rsidP="00FB4F49">
            <w:pPr>
              <w:jc w:val="right"/>
              <w:rPr>
                <w:rFonts w:cs="Arial"/>
                <w:color w:val="000000"/>
                <w:spacing w:val="0"/>
                <w:sz w:val="22"/>
                <w:szCs w:val="22"/>
                <w:lang w:eastAsia="en-GB"/>
              </w:rPr>
            </w:pPr>
            <w:r>
              <w:rPr>
                <w:rFonts w:cs="Arial"/>
                <w:color w:val="000000"/>
                <w:spacing w:val="0"/>
                <w:sz w:val="22"/>
                <w:szCs w:val="22"/>
                <w:lang w:eastAsia="en-GB"/>
              </w:rPr>
              <w:t>9.8</w:t>
            </w:r>
          </w:p>
        </w:tc>
        <w:tc>
          <w:tcPr>
            <w:tcW w:w="1114" w:type="dxa"/>
            <w:tcBorders>
              <w:top w:val="nil"/>
              <w:left w:val="nil"/>
              <w:bottom w:val="nil"/>
              <w:right w:val="single" w:sz="8" w:space="0" w:color="auto"/>
            </w:tcBorders>
            <w:shd w:val="clear" w:color="auto" w:fill="auto"/>
            <w:vAlign w:val="center"/>
            <w:hideMark/>
          </w:tcPr>
          <w:p w14:paraId="7E515BBB" w14:textId="515266D0"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w:t>
            </w:r>
            <w:r w:rsidR="00D370CC">
              <w:rPr>
                <w:rFonts w:cs="Arial"/>
                <w:color w:val="000000"/>
                <w:spacing w:val="0"/>
                <w:sz w:val="22"/>
                <w:szCs w:val="22"/>
                <w:lang w:eastAsia="en-GB"/>
              </w:rPr>
              <w:t>2.5</w:t>
            </w:r>
          </w:p>
        </w:tc>
        <w:tc>
          <w:tcPr>
            <w:tcW w:w="1012" w:type="dxa"/>
            <w:tcBorders>
              <w:top w:val="nil"/>
              <w:left w:val="nil"/>
              <w:bottom w:val="nil"/>
              <w:right w:val="single" w:sz="8" w:space="0" w:color="auto"/>
            </w:tcBorders>
            <w:shd w:val="clear" w:color="auto" w:fill="auto"/>
            <w:vAlign w:val="center"/>
            <w:hideMark/>
          </w:tcPr>
          <w:p w14:paraId="12391C8F"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11.1</w:t>
            </w:r>
          </w:p>
        </w:tc>
        <w:tc>
          <w:tcPr>
            <w:tcW w:w="1112" w:type="dxa"/>
            <w:tcBorders>
              <w:top w:val="nil"/>
              <w:left w:val="nil"/>
              <w:bottom w:val="nil"/>
              <w:right w:val="single" w:sz="8" w:space="0" w:color="auto"/>
            </w:tcBorders>
            <w:shd w:val="clear" w:color="auto" w:fill="auto"/>
            <w:vAlign w:val="center"/>
            <w:hideMark/>
          </w:tcPr>
          <w:p w14:paraId="340944BC"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11.1</w:t>
            </w:r>
          </w:p>
        </w:tc>
        <w:tc>
          <w:tcPr>
            <w:tcW w:w="1012" w:type="dxa"/>
            <w:tcBorders>
              <w:top w:val="nil"/>
              <w:left w:val="nil"/>
              <w:bottom w:val="nil"/>
              <w:right w:val="single" w:sz="8" w:space="0" w:color="auto"/>
            </w:tcBorders>
            <w:shd w:val="clear" w:color="auto" w:fill="auto"/>
            <w:vAlign w:val="center"/>
            <w:hideMark/>
          </w:tcPr>
          <w:p w14:paraId="629EAF45"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11.1</w:t>
            </w:r>
          </w:p>
        </w:tc>
      </w:tr>
      <w:tr w:rsidR="00FB4F49" w:rsidRPr="00FB4F49" w14:paraId="36A7DD92"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0D1B8F36"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Govt. Specific Capital Grants</w:t>
            </w:r>
          </w:p>
        </w:tc>
        <w:tc>
          <w:tcPr>
            <w:tcW w:w="1012" w:type="dxa"/>
            <w:tcBorders>
              <w:top w:val="nil"/>
              <w:left w:val="nil"/>
              <w:bottom w:val="nil"/>
              <w:right w:val="single" w:sz="8" w:space="0" w:color="auto"/>
            </w:tcBorders>
            <w:shd w:val="clear" w:color="auto" w:fill="auto"/>
            <w:vAlign w:val="center"/>
            <w:hideMark/>
          </w:tcPr>
          <w:p w14:paraId="7551C8E1" w14:textId="5366C531" w:rsidR="00FB4F49" w:rsidRPr="00FB4F49" w:rsidRDefault="0039362A" w:rsidP="00FB4F49">
            <w:pPr>
              <w:jc w:val="right"/>
              <w:rPr>
                <w:rFonts w:cs="Arial"/>
                <w:color w:val="000000"/>
                <w:spacing w:val="0"/>
                <w:sz w:val="22"/>
                <w:szCs w:val="22"/>
                <w:lang w:eastAsia="en-GB"/>
              </w:rPr>
            </w:pPr>
            <w:r>
              <w:rPr>
                <w:rFonts w:cs="Arial"/>
                <w:color w:val="000000"/>
                <w:spacing w:val="0"/>
                <w:sz w:val="22"/>
                <w:szCs w:val="22"/>
                <w:lang w:eastAsia="en-GB"/>
              </w:rPr>
              <w:t>1.6</w:t>
            </w:r>
          </w:p>
        </w:tc>
        <w:tc>
          <w:tcPr>
            <w:tcW w:w="1133" w:type="dxa"/>
            <w:tcBorders>
              <w:top w:val="nil"/>
              <w:left w:val="nil"/>
              <w:bottom w:val="nil"/>
              <w:right w:val="single" w:sz="8" w:space="0" w:color="auto"/>
            </w:tcBorders>
            <w:shd w:val="clear" w:color="auto" w:fill="auto"/>
            <w:vAlign w:val="center"/>
            <w:hideMark/>
          </w:tcPr>
          <w:p w14:paraId="5D945DC4" w14:textId="23786CBB"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2.9</w:t>
            </w:r>
          </w:p>
        </w:tc>
        <w:tc>
          <w:tcPr>
            <w:tcW w:w="1114" w:type="dxa"/>
            <w:tcBorders>
              <w:top w:val="nil"/>
              <w:left w:val="nil"/>
              <w:bottom w:val="nil"/>
              <w:right w:val="single" w:sz="8" w:space="0" w:color="auto"/>
            </w:tcBorders>
            <w:shd w:val="clear" w:color="auto" w:fill="auto"/>
            <w:vAlign w:val="center"/>
            <w:hideMark/>
          </w:tcPr>
          <w:p w14:paraId="1FDE1620" w14:textId="5A8C8478"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w:t>
            </w:r>
            <w:r w:rsidR="00DE1455">
              <w:rPr>
                <w:rFonts w:cs="Arial"/>
                <w:color w:val="000000"/>
                <w:spacing w:val="0"/>
                <w:sz w:val="22"/>
                <w:szCs w:val="22"/>
                <w:lang w:eastAsia="en-GB"/>
              </w:rPr>
              <w:t>0</w:t>
            </w:r>
          </w:p>
        </w:tc>
        <w:tc>
          <w:tcPr>
            <w:tcW w:w="1012" w:type="dxa"/>
            <w:tcBorders>
              <w:top w:val="nil"/>
              <w:left w:val="nil"/>
              <w:bottom w:val="nil"/>
              <w:right w:val="single" w:sz="8" w:space="0" w:color="auto"/>
            </w:tcBorders>
            <w:shd w:val="clear" w:color="auto" w:fill="auto"/>
            <w:vAlign w:val="center"/>
            <w:hideMark/>
          </w:tcPr>
          <w:p w14:paraId="26038F03" w14:textId="70C54907"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0.</w:t>
            </w:r>
            <w:r w:rsidR="003C1E95">
              <w:rPr>
                <w:rFonts w:cs="Arial"/>
                <w:color w:val="000000"/>
                <w:spacing w:val="0"/>
                <w:sz w:val="22"/>
                <w:szCs w:val="22"/>
                <w:lang w:eastAsia="en-GB"/>
              </w:rPr>
              <w:t>3</w:t>
            </w:r>
          </w:p>
        </w:tc>
        <w:tc>
          <w:tcPr>
            <w:tcW w:w="1112" w:type="dxa"/>
            <w:tcBorders>
              <w:top w:val="nil"/>
              <w:left w:val="nil"/>
              <w:bottom w:val="nil"/>
              <w:right w:val="single" w:sz="8" w:space="0" w:color="auto"/>
            </w:tcBorders>
            <w:shd w:val="clear" w:color="auto" w:fill="auto"/>
            <w:vAlign w:val="center"/>
            <w:hideMark/>
          </w:tcPr>
          <w:p w14:paraId="71922135" w14:textId="7475E9FA"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w:t>
            </w:r>
            <w:r w:rsidR="003C1E95">
              <w:rPr>
                <w:rFonts w:cs="Arial"/>
                <w:color w:val="000000"/>
                <w:spacing w:val="0"/>
                <w:sz w:val="22"/>
                <w:szCs w:val="22"/>
                <w:lang w:eastAsia="en-GB"/>
              </w:rPr>
              <w:t>3</w:t>
            </w:r>
          </w:p>
        </w:tc>
        <w:tc>
          <w:tcPr>
            <w:tcW w:w="1012" w:type="dxa"/>
            <w:tcBorders>
              <w:top w:val="nil"/>
              <w:left w:val="nil"/>
              <w:bottom w:val="nil"/>
              <w:right w:val="single" w:sz="8" w:space="0" w:color="auto"/>
            </w:tcBorders>
            <w:shd w:val="clear" w:color="auto" w:fill="auto"/>
            <w:vAlign w:val="center"/>
            <w:hideMark/>
          </w:tcPr>
          <w:p w14:paraId="0E10D429"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0.2</w:t>
            </w:r>
          </w:p>
        </w:tc>
      </w:tr>
      <w:tr w:rsidR="00FB4F49" w:rsidRPr="00FB4F49" w14:paraId="1361E0F0" w14:textId="77777777" w:rsidTr="00D370CC">
        <w:trPr>
          <w:trHeight w:hRule="exact" w:val="340"/>
        </w:trPr>
        <w:tc>
          <w:tcPr>
            <w:tcW w:w="3943" w:type="dxa"/>
            <w:tcBorders>
              <w:top w:val="nil"/>
              <w:left w:val="single" w:sz="8" w:space="0" w:color="auto"/>
              <w:bottom w:val="nil"/>
              <w:right w:val="single" w:sz="8" w:space="0" w:color="auto"/>
            </w:tcBorders>
            <w:shd w:val="clear" w:color="auto" w:fill="auto"/>
            <w:vAlign w:val="center"/>
            <w:hideMark/>
          </w:tcPr>
          <w:p w14:paraId="60EBF81D"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Other Grants &amp; Contributions</w:t>
            </w:r>
          </w:p>
        </w:tc>
        <w:tc>
          <w:tcPr>
            <w:tcW w:w="1012" w:type="dxa"/>
            <w:tcBorders>
              <w:top w:val="nil"/>
              <w:left w:val="nil"/>
              <w:bottom w:val="nil"/>
              <w:right w:val="single" w:sz="8" w:space="0" w:color="auto"/>
            </w:tcBorders>
            <w:shd w:val="clear" w:color="auto" w:fill="auto"/>
            <w:vAlign w:val="center"/>
            <w:hideMark/>
          </w:tcPr>
          <w:p w14:paraId="579A54B7" w14:textId="03D87692" w:rsidR="0039362A" w:rsidRPr="00FB4F49" w:rsidRDefault="00FB4F49" w:rsidP="0039362A">
            <w:pPr>
              <w:jc w:val="right"/>
              <w:rPr>
                <w:rFonts w:cs="Arial"/>
                <w:color w:val="000000"/>
                <w:spacing w:val="0"/>
                <w:sz w:val="22"/>
                <w:szCs w:val="22"/>
                <w:lang w:eastAsia="en-GB"/>
              </w:rPr>
            </w:pPr>
            <w:r w:rsidRPr="00FB4F49">
              <w:rPr>
                <w:rFonts w:cs="Arial"/>
                <w:color w:val="000000"/>
                <w:spacing w:val="0"/>
                <w:sz w:val="22"/>
                <w:szCs w:val="22"/>
                <w:lang w:eastAsia="en-GB"/>
              </w:rPr>
              <w:t>1</w:t>
            </w:r>
            <w:r w:rsidR="0039362A">
              <w:rPr>
                <w:rFonts w:cs="Arial"/>
                <w:color w:val="000000"/>
                <w:spacing w:val="0"/>
                <w:sz w:val="22"/>
                <w:szCs w:val="22"/>
                <w:lang w:eastAsia="en-GB"/>
              </w:rPr>
              <w:t>1.2</w:t>
            </w:r>
          </w:p>
        </w:tc>
        <w:tc>
          <w:tcPr>
            <w:tcW w:w="1133" w:type="dxa"/>
            <w:tcBorders>
              <w:top w:val="nil"/>
              <w:left w:val="nil"/>
              <w:bottom w:val="nil"/>
              <w:right w:val="single" w:sz="8" w:space="0" w:color="auto"/>
            </w:tcBorders>
            <w:shd w:val="clear" w:color="auto" w:fill="auto"/>
            <w:vAlign w:val="center"/>
            <w:hideMark/>
          </w:tcPr>
          <w:p w14:paraId="56B0C4B3" w14:textId="537995D0"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19.1</w:t>
            </w:r>
          </w:p>
        </w:tc>
        <w:tc>
          <w:tcPr>
            <w:tcW w:w="1114" w:type="dxa"/>
            <w:tcBorders>
              <w:top w:val="nil"/>
              <w:left w:val="nil"/>
              <w:bottom w:val="nil"/>
              <w:right w:val="single" w:sz="8" w:space="0" w:color="auto"/>
            </w:tcBorders>
            <w:shd w:val="clear" w:color="auto" w:fill="auto"/>
            <w:vAlign w:val="center"/>
            <w:hideMark/>
          </w:tcPr>
          <w:p w14:paraId="5676E729" w14:textId="7DD2F21E"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17</w:t>
            </w:r>
            <w:r w:rsidR="00DE1455">
              <w:rPr>
                <w:rFonts w:cs="Arial"/>
                <w:color w:val="000000"/>
                <w:spacing w:val="0"/>
                <w:sz w:val="22"/>
                <w:szCs w:val="22"/>
                <w:lang w:eastAsia="en-GB"/>
              </w:rPr>
              <w:t>.2</w:t>
            </w:r>
          </w:p>
        </w:tc>
        <w:tc>
          <w:tcPr>
            <w:tcW w:w="1012" w:type="dxa"/>
            <w:tcBorders>
              <w:top w:val="nil"/>
              <w:left w:val="nil"/>
              <w:bottom w:val="nil"/>
              <w:right w:val="single" w:sz="8" w:space="0" w:color="auto"/>
            </w:tcBorders>
            <w:shd w:val="clear" w:color="auto" w:fill="auto"/>
            <w:vAlign w:val="center"/>
            <w:hideMark/>
          </w:tcPr>
          <w:p w14:paraId="2A8EEB75" w14:textId="040AC8D1"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1</w:t>
            </w:r>
            <w:r w:rsidR="00DE1455">
              <w:rPr>
                <w:rFonts w:cs="Arial"/>
                <w:color w:val="000000"/>
                <w:spacing w:val="0"/>
                <w:sz w:val="22"/>
                <w:szCs w:val="22"/>
                <w:lang w:eastAsia="en-GB"/>
              </w:rPr>
              <w:t>5.6</w:t>
            </w:r>
          </w:p>
        </w:tc>
        <w:tc>
          <w:tcPr>
            <w:tcW w:w="1112" w:type="dxa"/>
            <w:tcBorders>
              <w:top w:val="nil"/>
              <w:left w:val="nil"/>
              <w:bottom w:val="nil"/>
              <w:right w:val="single" w:sz="8" w:space="0" w:color="auto"/>
            </w:tcBorders>
            <w:shd w:val="clear" w:color="auto" w:fill="auto"/>
            <w:vAlign w:val="center"/>
            <w:hideMark/>
          </w:tcPr>
          <w:p w14:paraId="47EBBFFE" w14:textId="3CBC8A96"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9.8</w:t>
            </w:r>
          </w:p>
        </w:tc>
        <w:tc>
          <w:tcPr>
            <w:tcW w:w="1012" w:type="dxa"/>
            <w:tcBorders>
              <w:top w:val="nil"/>
              <w:left w:val="nil"/>
              <w:bottom w:val="nil"/>
              <w:right w:val="single" w:sz="8" w:space="0" w:color="auto"/>
            </w:tcBorders>
            <w:shd w:val="clear" w:color="auto" w:fill="auto"/>
            <w:vAlign w:val="center"/>
            <w:hideMark/>
          </w:tcPr>
          <w:p w14:paraId="3A3160F8" w14:textId="6C132852"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8.1</w:t>
            </w:r>
          </w:p>
        </w:tc>
      </w:tr>
      <w:tr w:rsidR="00FB4F49" w:rsidRPr="00FB4F49" w14:paraId="1782BDB1" w14:textId="77777777" w:rsidTr="00D370CC">
        <w:trPr>
          <w:trHeight w:hRule="exact" w:val="340"/>
        </w:trPr>
        <w:tc>
          <w:tcPr>
            <w:tcW w:w="3943" w:type="dxa"/>
            <w:tcBorders>
              <w:top w:val="nil"/>
              <w:left w:val="single" w:sz="8" w:space="0" w:color="auto"/>
              <w:bottom w:val="single" w:sz="8" w:space="0" w:color="auto"/>
              <w:right w:val="single" w:sz="8" w:space="0" w:color="auto"/>
            </w:tcBorders>
            <w:shd w:val="clear" w:color="auto" w:fill="auto"/>
            <w:vAlign w:val="center"/>
            <w:hideMark/>
          </w:tcPr>
          <w:p w14:paraId="2CFF1EAC"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Plant &amp; Vehicle / Infrastructure Fund</w:t>
            </w:r>
          </w:p>
        </w:tc>
        <w:tc>
          <w:tcPr>
            <w:tcW w:w="1012" w:type="dxa"/>
            <w:tcBorders>
              <w:top w:val="nil"/>
              <w:left w:val="nil"/>
              <w:bottom w:val="single" w:sz="8" w:space="0" w:color="auto"/>
              <w:right w:val="single" w:sz="8" w:space="0" w:color="auto"/>
            </w:tcBorders>
            <w:shd w:val="clear" w:color="auto" w:fill="auto"/>
            <w:vAlign w:val="center"/>
            <w:hideMark/>
          </w:tcPr>
          <w:p w14:paraId="52486AE6" w14:textId="36A33D63" w:rsidR="00FB4F49" w:rsidRPr="00FB4F49" w:rsidRDefault="0039362A" w:rsidP="00FB4F49">
            <w:pPr>
              <w:jc w:val="right"/>
              <w:rPr>
                <w:rFonts w:cs="Arial"/>
                <w:color w:val="000000"/>
                <w:spacing w:val="0"/>
                <w:sz w:val="22"/>
                <w:szCs w:val="22"/>
                <w:lang w:eastAsia="en-GB"/>
              </w:rPr>
            </w:pPr>
            <w:r>
              <w:rPr>
                <w:rFonts w:cs="Arial"/>
                <w:color w:val="000000"/>
                <w:spacing w:val="0"/>
                <w:sz w:val="22"/>
                <w:szCs w:val="22"/>
                <w:lang w:eastAsia="en-GB"/>
              </w:rPr>
              <w:t>6.4</w:t>
            </w:r>
          </w:p>
        </w:tc>
        <w:tc>
          <w:tcPr>
            <w:tcW w:w="1133" w:type="dxa"/>
            <w:tcBorders>
              <w:top w:val="nil"/>
              <w:left w:val="nil"/>
              <w:bottom w:val="single" w:sz="8" w:space="0" w:color="auto"/>
              <w:right w:val="single" w:sz="8" w:space="0" w:color="auto"/>
            </w:tcBorders>
            <w:shd w:val="clear" w:color="auto" w:fill="auto"/>
            <w:vAlign w:val="center"/>
            <w:hideMark/>
          </w:tcPr>
          <w:p w14:paraId="3F39DF28" w14:textId="13245EF3"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DE1455">
              <w:rPr>
                <w:rFonts w:cs="Arial"/>
                <w:color w:val="000000"/>
                <w:spacing w:val="0"/>
                <w:sz w:val="22"/>
                <w:szCs w:val="22"/>
                <w:lang w:eastAsia="en-GB"/>
              </w:rPr>
              <w:t>.0</w:t>
            </w:r>
          </w:p>
        </w:tc>
        <w:tc>
          <w:tcPr>
            <w:tcW w:w="1114" w:type="dxa"/>
            <w:tcBorders>
              <w:top w:val="nil"/>
              <w:left w:val="nil"/>
              <w:bottom w:val="single" w:sz="8" w:space="0" w:color="auto"/>
              <w:right w:val="single" w:sz="8" w:space="0" w:color="auto"/>
            </w:tcBorders>
            <w:shd w:val="clear" w:color="auto" w:fill="auto"/>
            <w:vAlign w:val="center"/>
            <w:hideMark/>
          </w:tcPr>
          <w:p w14:paraId="2A32E710" w14:textId="496E49D9"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DE1455">
              <w:rPr>
                <w:rFonts w:cs="Arial"/>
                <w:color w:val="000000"/>
                <w:spacing w:val="0"/>
                <w:sz w:val="22"/>
                <w:szCs w:val="22"/>
                <w:lang w:eastAsia="en-GB"/>
              </w:rPr>
              <w:t>.0</w:t>
            </w:r>
          </w:p>
        </w:tc>
        <w:tc>
          <w:tcPr>
            <w:tcW w:w="1012" w:type="dxa"/>
            <w:tcBorders>
              <w:top w:val="nil"/>
              <w:left w:val="nil"/>
              <w:bottom w:val="single" w:sz="8" w:space="0" w:color="auto"/>
              <w:right w:val="single" w:sz="8" w:space="0" w:color="auto"/>
            </w:tcBorders>
            <w:shd w:val="clear" w:color="auto" w:fill="auto"/>
            <w:vAlign w:val="center"/>
            <w:hideMark/>
          </w:tcPr>
          <w:p w14:paraId="7DD70901" w14:textId="41E105D8"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DE1455">
              <w:rPr>
                <w:rFonts w:cs="Arial"/>
                <w:color w:val="000000"/>
                <w:spacing w:val="0"/>
                <w:sz w:val="22"/>
                <w:szCs w:val="22"/>
                <w:lang w:eastAsia="en-GB"/>
              </w:rPr>
              <w:t>.0</w:t>
            </w:r>
          </w:p>
        </w:tc>
        <w:tc>
          <w:tcPr>
            <w:tcW w:w="1112" w:type="dxa"/>
            <w:tcBorders>
              <w:top w:val="nil"/>
              <w:left w:val="nil"/>
              <w:bottom w:val="single" w:sz="8" w:space="0" w:color="auto"/>
              <w:right w:val="single" w:sz="8" w:space="0" w:color="auto"/>
            </w:tcBorders>
            <w:shd w:val="clear" w:color="auto" w:fill="auto"/>
            <w:vAlign w:val="center"/>
            <w:hideMark/>
          </w:tcPr>
          <w:p w14:paraId="3D817468" w14:textId="299E4EC3"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3C1E95">
              <w:rPr>
                <w:rFonts w:cs="Arial"/>
                <w:color w:val="000000"/>
                <w:spacing w:val="0"/>
                <w:sz w:val="22"/>
                <w:szCs w:val="22"/>
                <w:lang w:eastAsia="en-GB"/>
              </w:rPr>
              <w:t>.0</w:t>
            </w:r>
          </w:p>
        </w:tc>
        <w:tc>
          <w:tcPr>
            <w:tcW w:w="1012" w:type="dxa"/>
            <w:tcBorders>
              <w:top w:val="nil"/>
              <w:left w:val="nil"/>
              <w:bottom w:val="single" w:sz="8" w:space="0" w:color="auto"/>
              <w:right w:val="single" w:sz="8" w:space="0" w:color="auto"/>
            </w:tcBorders>
            <w:shd w:val="clear" w:color="auto" w:fill="auto"/>
            <w:vAlign w:val="center"/>
            <w:hideMark/>
          </w:tcPr>
          <w:p w14:paraId="2A5B9C2A" w14:textId="4F8EB960"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2</w:t>
            </w:r>
            <w:r w:rsidR="003C1E95">
              <w:rPr>
                <w:rFonts w:cs="Arial"/>
                <w:color w:val="000000"/>
                <w:spacing w:val="0"/>
                <w:sz w:val="22"/>
                <w:szCs w:val="22"/>
                <w:lang w:eastAsia="en-GB"/>
              </w:rPr>
              <w:t>.0</w:t>
            </w:r>
          </w:p>
        </w:tc>
      </w:tr>
      <w:tr w:rsidR="00FB4F49" w:rsidRPr="00FB4F49" w14:paraId="2A779F41" w14:textId="77777777" w:rsidTr="00D370CC">
        <w:trPr>
          <w:trHeight w:hRule="exact" w:val="340"/>
        </w:trPr>
        <w:tc>
          <w:tcPr>
            <w:tcW w:w="3943" w:type="dxa"/>
            <w:tcBorders>
              <w:top w:val="nil"/>
              <w:left w:val="single" w:sz="8" w:space="0" w:color="auto"/>
              <w:bottom w:val="single" w:sz="8" w:space="0" w:color="auto"/>
              <w:right w:val="single" w:sz="8" w:space="0" w:color="auto"/>
            </w:tcBorders>
            <w:shd w:val="clear" w:color="auto" w:fill="auto"/>
            <w:vAlign w:val="center"/>
            <w:hideMark/>
          </w:tcPr>
          <w:p w14:paraId="0DB3FF41" w14:textId="77777777" w:rsidR="00FB4F49" w:rsidRPr="00FB4F49" w:rsidRDefault="00FB4F49" w:rsidP="00FB4F49">
            <w:pPr>
              <w:rPr>
                <w:rFonts w:cs="Arial"/>
                <w:color w:val="000000"/>
                <w:spacing w:val="0"/>
                <w:sz w:val="22"/>
                <w:szCs w:val="22"/>
                <w:lang w:eastAsia="en-GB"/>
              </w:rPr>
            </w:pPr>
            <w:r w:rsidRPr="00FB4F49">
              <w:rPr>
                <w:rFonts w:cs="Arial"/>
                <w:color w:val="000000"/>
                <w:spacing w:val="0"/>
                <w:sz w:val="22"/>
                <w:szCs w:val="22"/>
                <w:lang w:eastAsia="en-GB"/>
              </w:rPr>
              <w:t>Synthetic Pitch Replacement Fund</w:t>
            </w:r>
          </w:p>
        </w:tc>
        <w:tc>
          <w:tcPr>
            <w:tcW w:w="1012" w:type="dxa"/>
            <w:tcBorders>
              <w:top w:val="nil"/>
              <w:left w:val="nil"/>
              <w:bottom w:val="single" w:sz="8" w:space="0" w:color="auto"/>
              <w:right w:val="single" w:sz="8" w:space="0" w:color="auto"/>
            </w:tcBorders>
            <w:shd w:val="clear" w:color="auto" w:fill="auto"/>
            <w:vAlign w:val="center"/>
            <w:hideMark/>
          </w:tcPr>
          <w:p w14:paraId="4D540CD2" w14:textId="0BAE1051"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w:t>
            </w:r>
          </w:p>
        </w:tc>
        <w:tc>
          <w:tcPr>
            <w:tcW w:w="1133" w:type="dxa"/>
            <w:tcBorders>
              <w:top w:val="nil"/>
              <w:left w:val="nil"/>
              <w:bottom w:val="single" w:sz="8" w:space="0" w:color="auto"/>
              <w:right w:val="single" w:sz="8" w:space="0" w:color="auto"/>
            </w:tcBorders>
            <w:shd w:val="clear" w:color="auto" w:fill="auto"/>
            <w:vAlign w:val="center"/>
            <w:hideMark/>
          </w:tcPr>
          <w:p w14:paraId="2C7CB493"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0.4</w:t>
            </w:r>
          </w:p>
        </w:tc>
        <w:tc>
          <w:tcPr>
            <w:tcW w:w="1114" w:type="dxa"/>
            <w:tcBorders>
              <w:top w:val="nil"/>
              <w:left w:val="nil"/>
              <w:bottom w:val="single" w:sz="8" w:space="0" w:color="auto"/>
              <w:right w:val="single" w:sz="8" w:space="0" w:color="auto"/>
            </w:tcBorders>
            <w:shd w:val="clear" w:color="auto" w:fill="auto"/>
            <w:vAlign w:val="center"/>
            <w:hideMark/>
          </w:tcPr>
          <w:p w14:paraId="47282E8A" w14:textId="0A3EE2D8"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1.1</w:t>
            </w:r>
          </w:p>
        </w:tc>
        <w:tc>
          <w:tcPr>
            <w:tcW w:w="1012" w:type="dxa"/>
            <w:tcBorders>
              <w:top w:val="nil"/>
              <w:left w:val="nil"/>
              <w:bottom w:val="single" w:sz="8" w:space="0" w:color="auto"/>
              <w:right w:val="single" w:sz="8" w:space="0" w:color="auto"/>
            </w:tcBorders>
            <w:shd w:val="clear" w:color="auto" w:fill="auto"/>
            <w:vAlign w:val="center"/>
            <w:hideMark/>
          </w:tcPr>
          <w:p w14:paraId="6B8E3461" w14:textId="7328E216" w:rsidR="00FB4F49" w:rsidRPr="00FB4F49" w:rsidRDefault="00DE1455" w:rsidP="00FB4F49">
            <w:pPr>
              <w:jc w:val="right"/>
              <w:rPr>
                <w:rFonts w:cs="Arial"/>
                <w:color w:val="000000"/>
                <w:spacing w:val="0"/>
                <w:sz w:val="22"/>
                <w:szCs w:val="22"/>
                <w:lang w:eastAsia="en-GB"/>
              </w:rPr>
            </w:pPr>
            <w:r>
              <w:rPr>
                <w:rFonts w:cs="Arial"/>
                <w:color w:val="000000"/>
                <w:spacing w:val="0"/>
                <w:sz w:val="22"/>
                <w:szCs w:val="22"/>
                <w:lang w:eastAsia="en-GB"/>
              </w:rPr>
              <w:t>0.5</w:t>
            </w:r>
          </w:p>
        </w:tc>
        <w:tc>
          <w:tcPr>
            <w:tcW w:w="1112" w:type="dxa"/>
            <w:tcBorders>
              <w:top w:val="nil"/>
              <w:left w:val="nil"/>
              <w:bottom w:val="single" w:sz="8" w:space="0" w:color="auto"/>
              <w:right w:val="single" w:sz="8" w:space="0" w:color="auto"/>
            </w:tcBorders>
            <w:shd w:val="clear" w:color="auto" w:fill="auto"/>
            <w:vAlign w:val="center"/>
            <w:hideMark/>
          </w:tcPr>
          <w:p w14:paraId="497C5BAF"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0.5</w:t>
            </w:r>
          </w:p>
        </w:tc>
        <w:tc>
          <w:tcPr>
            <w:tcW w:w="1012" w:type="dxa"/>
            <w:tcBorders>
              <w:top w:val="nil"/>
              <w:left w:val="nil"/>
              <w:bottom w:val="single" w:sz="8" w:space="0" w:color="auto"/>
              <w:right w:val="single" w:sz="8" w:space="0" w:color="auto"/>
            </w:tcBorders>
            <w:shd w:val="clear" w:color="auto" w:fill="auto"/>
            <w:vAlign w:val="center"/>
            <w:hideMark/>
          </w:tcPr>
          <w:p w14:paraId="42D61886" w14:textId="77777777" w:rsidR="00FB4F49" w:rsidRPr="00FB4F49" w:rsidRDefault="00FB4F49" w:rsidP="00FB4F49">
            <w:pPr>
              <w:jc w:val="right"/>
              <w:rPr>
                <w:rFonts w:cs="Arial"/>
                <w:color w:val="000000"/>
                <w:spacing w:val="0"/>
                <w:sz w:val="22"/>
                <w:szCs w:val="22"/>
                <w:lang w:eastAsia="en-GB"/>
              </w:rPr>
            </w:pPr>
            <w:r w:rsidRPr="00FB4F49">
              <w:rPr>
                <w:rFonts w:cs="Arial"/>
                <w:color w:val="000000"/>
                <w:spacing w:val="0"/>
                <w:sz w:val="22"/>
                <w:szCs w:val="22"/>
                <w:lang w:eastAsia="en-GB"/>
              </w:rPr>
              <w:t>0.5</w:t>
            </w:r>
          </w:p>
        </w:tc>
      </w:tr>
      <w:tr w:rsidR="00D370CC" w:rsidRPr="00FB4F49" w14:paraId="4A1B0D92" w14:textId="77777777" w:rsidTr="00D370CC">
        <w:trPr>
          <w:trHeight w:hRule="exact" w:val="340"/>
        </w:trPr>
        <w:tc>
          <w:tcPr>
            <w:tcW w:w="3943" w:type="dxa"/>
            <w:vMerge w:val="restart"/>
            <w:tcBorders>
              <w:top w:val="nil"/>
              <w:left w:val="single" w:sz="8" w:space="0" w:color="auto"/>
              <w:right w:val="single" w:sz="8" w:space="0" w:color="auto"/>
            </w:tcBorders>
            <w:shd w:val="clear" w:color="auto" w:fill="auto"/>
            <w:vAlign w:val="center"/>
            <w:hideMark/>
          </w:tcPr>
          <w:p w14:paraId="4A253A88" w14:textId="7E757FF3" w:rsidR="00D370CC" w:rsidRPr="00FB4F49" w:rsidRDefault="00D370CC" w:rsidP="00FB4F49">
            <w:pPr>
              <w:rPr>
                <w:rFonts w:cs="Arial"/>
                <w:b/>
                <w:bCs/>
                <w:color w:val="000000"/>
                <w:spacing w:val="0"/>
                <w:sz w:val="22"/>
                <w:szCs w:val="22"/>
                <w:lang w:eastAsia="en-GB"/>
              </w:rPr>
            </w:pPr>
            <w:r w:rsidRPr="00FB4F49">
              <w:rPr>
                <w:rFonts w:cs="Arial"/>
                <w:b/>
                <w:bCs/>
                <w:color w:val="000000"/>
                <w:spacing w:val="0"/>
                <w:sz w:val="22"/>
                <w:szCs w:val="22"/>
                <w:lang w:eastAsia="en-GB"/>
              </w:rPr>
              <w:t>Net financing need for the year met by borrowing</w:t>
            </w:r>
          </w:p>
        </w:tc>
        <w:tc>
          <w:tcPr>
            <w:tcW w:w="1012" w:type="dxa"/>
            <w:tcBorders>
              <w:top w:val="nil"/>
              <w:left w:val="nil"/>
              <w:bottom w:val="nil"/>
              <w:right w:val="single" w:sz="8" w:space="0" w:color="auto"/>
            </w:tcBorders>
            <w:shd w:val="clear" w:color="auto" w:fill="auto"/>
            <w:vAlign w:val="center"/>
            <w:hideMark/>
          </w:tcPr>
          <w:p w14:paraId="11435CE9" w14:textId="328DCDF7" w:rsidR="00D370CC" w:rsidRPr="00FB4F49" w:rsidRDefault="00D370CC" w:rsidP="00FB4F49">
            <w:pPr>
              <w:jc w:val="right"/>
              <w:rPr>
                <w:rFonts w:cs="Arial"/>
                <w:b/>
                <w:bCs/>
                <w:color w:val="000000"/>
                <w:spacing w:val="0"/>
                <w:sz w:val="22"/>
                <w:szCs w:val="22"/>
                <w:lang w:eastAsia="en-GB"/>
              </w:rPr>
            </w:pPr>
            <w:r>
              <w:rPr>
                <w:rFonts w:cs="Arial"/>
                <w:b/>
                <w:bCs/>
                <w:color w:val="000000"/>
                <w:spacing w:val="0"/>
                <w:sz w:val="22"/>
                <w:szCs w:val="22"/>
                <w:lang w:eastAsia="en-GB"/>
              </w:rPr>
              <w:t>47.9</w:t>
            </w:r>
          </w:p>
        </w:tc>
        <w:tc>
          <w:tcPr>
            <w:tcW w:w="1133" w:type="dxa"/>
            <w:tcBorders>
              <w:top w:val="nil"/>
              <w:left w:val="nil"/>
              <w:bottom w:val="nil"/>
              <w:right w:val="single" w:sz="8" w:space="0" w:color="auto"/>
            </w:tcBorders>
            <w:shd w:val="clear" w:color="auto" w:fill="auto"/>
            <w:vAlign w:val="center"/>
            <w:hideMark/>
          </w:tcPr>
          <w:p w14:paraId="60500087" w14:textId="54DED666" w:rsidR="00D370CC" w:rsidRPr="00FB4F49" w:rsidRDefault="00D370CC" w:rsidP="00FB4F49">
            <w:pPr>
              <w:jc w:val="right"/>
              <w:rPr>
                <w:rFonts w:cs="Arial"/>
                <w:b/>
                <w:bCs/>
                <w:color w:val="000000"/>
                <w:spacing w:val="0"/>
                <w:sz w:val="22"/>
                <w:szCs w:val="22"/>
                <w:lang w:eastAsia="en-GB"/>
              </w:rPr>
            </w:pPr>
            <w:r w:rsidRPr="00FB4F49">
              <w:rPr>
                <w:rFonts w:cs="Arial"/>
                <w:b/>
                <w:bCs/>
                <w:color w:val="000000"/>
                <w:spacing w:val="0"/>
                <w:sz w:val="22"/>
                <w:szCs w:val="22"/>
                <w:lang w:eastAsia="en-GB"/>
              </w:rPr>
              <w:t>7</w:t>
            </w:r>
            <w:r>
              <w:rPr>
                <w:rFonts w:cs="Arial"/>
                <w:b/>
                <w:bCs/>
                <w:color w:val="000000"/>
                <w:spacing w:val="0"/>
                <w:sz w:val="22"/>
                <w:szCs w:val="22"/>
                <w:lang w:eastAsia="en-GB"/>
              </w:rPr>
              <w:t>5.3</w:t>
            </w:r>
          </w:p>
        </w:tc>
        <w:tc>
          <w:tcPr>
            <w:tcW w:w="1114" w:type="dxa"/>
            <w:tcBorders>
              <w:top w:val="nil"/>
              <w:left w:val="nil"/>
              <w:bottom w:val="nil"/>
              <w:right w:val="single" w:sz="8" w:space="0" w:color="auto"/>
            </w:tcBorders>
            <w:shd w:val="clear" w:color="auto" w:fill="auto"/>
            <w:vAlign w:val="center"/>
            <w:hideMark/>
          </w:tcPr>
          <w:p w14:paraId="7831297C" w14:textId="3E6220BB" w:rsidR="00D370CC" w:rsidRPr="00FB4F49" w:rsidRDefault="00D370CC" w:rsidP="00FB4F49">
            <w:pPr>
              <w:jc w:val="right"/>
              <w:rPr>
                <w:rFonts w:cs="Arial"/>
                <w:b/>
                <w:bCs/>
                <w:color w:val="000000"/>
                <w:spacing w:val="0"/>
                <w:sz w:val="22"/>
                <w:szCs w:val="22"/>
                <w:lang w:eastAsia="en-GB"/>
              </w:rPr>
            </w:pPr>
            <w:r>
              <w:rPr>
                <w:rFonts w:cs="Arial"/>
                <w:b/>
                <w:bCs/>
                <w:color w:val="000000"/>
                <w:spacing w:val="0"/>
                <w:sz w:val="22"/>
                <w:szCs w:val="22"/>
                <w:lang w:eastAsia="en-GB"/>
              </w:rPr>
              <w:t>62.9</w:t>
            </w:r>
          </w:p>
        </w:tc>
        <w:tc>
          <w:tcPr>
            <w:tcW w:w="1012" w:type="dxa"/>
            <w:tcBorders>
              <w:top w:val="nil"/>
              <w:left w:val="nil"/>
              <w:bottom w:val="nil"/>
              <w:right w:val="single" w:sz="8" w:space="0" w:color="auto"/>
            </w:tcBorders>
            <w:shd w:val="clear" w:color="auto" w:fill="auto"/>
            <w:vAlign w:val="center"/>
            <w:hideMark/>
          </w:tcPr>
          <w:p w14:paraId="11117036" w14:textId="35D806D3" w:rsidR="00D370CC" w:rsidRPr="00FB4F49" w:rsidRDefault="00D370CC" w:rsidP="00FB4F49">
            <w:pPr>
              <w:jc w:val="right"/>
              <w:rPr>
                <w:rFonts w:cs="Arial"/>
                <w:b/>
                <w:bCs/>
                <w:color w:val="000000"/>
                <w:spacing w:val="0"/>
                <w:sz w:val="22"/>
                <w:szCs w:val="22"/>
                <w:lang w:eastAsia="en-GB"/>
              </w:rPr>
            </w:pPr>
            <w:r>
              <w:rPr>
                <w:rFonts w:cs="Arial"/>
                <w:b/>
                <w:bCs/>
                <w:color w:val="000000"/>
                <w:spacing w:val="0"/>
                <w:sz w:val="22"/>
                <w:szCs w:val="22"/>
                <w:lang w:eastAsia="en-GB"/>
              </w:rPr>
              <w:t>35.2</w:t>
            </w:r>
          </w:p>
        </w:tc>
        <w:tc>
          <w:tcPr>
            <w:tcW w:w="1112" w:type="dxa"/>
            <w:tcBorders>
              <w:top w:val="nil"/>
              <w:left w:val="nil"/>
              <w:bottom w:val="nil"/>
              <w:right w:val="single" w:sz="8" w:space="0" w:color="auto"/>
            </w:tcBorders>
            <w:shd w:val="clear" w:color="auto" w:fill="auto"/>
            <w:vAlign w:val="center"/>
            <w:hideMark/>
          </w:tcPr>
          <w:p w14:paraId="650A8C53" w14:textId="5962705B" w:rsidR="00D370CC" w:rsidRPr="00FB4F49" w:rsidRDefault="00D370CC" w:rsidP="00FB4F49">
            <w:pPr>
              <w:jc w:val="right"/>
              <w:rPr>
                <w:rFonts w:cs="Arial"/>
                <w:b/>
                <w:bCs/>
                <w:color w:val="000000"/>
                <w:spacing w:val="0"/>
                <w:sz w:val="22"/>
                <w:szCs w:val="22"/>
                <w:lang w:eastAsia="en-GB"/>
              </w:rPr>
            </w:pPr>
            <w:r>
              <w:rPr>
                <w:rFonts w:cs="Arial"/>
                <w:b/>
                <w:bCs/>
                <w:color w:val="000000"/>
                <w:spacing w:val="0"/>
                <w:sz w:val="22"/>
                <w:szCs w:val="22"/>
                <w:lang w:eastAsia="en-GB"/>
              </w:rPr>
              <w:t>34.3</w:t>
            </w:r>
          </w:p>
        </w:tc>
        <w:tc>
          <w:tcPr>
            <w:tcW w:w="1012" w:type="dxa"/>
            <w:tcBorders>
              <w:top w:val="nil"/>
              <w:left w:val="nil"/>
              <w:bottom w:val="nil"/>
              <w:right w:val="single" w:sz="8" w:space="0" w:color="auto"/>
            </w:tcBorders>
            <w:shd w:val="clear" w:color="auto" w:fill="auto"/>
            <w:vAlign w:val="center"/>
            <w:hideMark/>
          </w:tcPr>
          <w:p w14:paraId="60B63BA5" w14:textId="550F75BD" w:rsidR="00D370CC" w:rsidRPr="00FB4F49" w:rsidRDefault="00D370CC" w:rsidP="00FB4F49">
            <w:pPr>
              <w:jc w:val="right"/>
              <w:rPr>
                <w:rFonts w:cs="Arial"/>
                <w:b/>
                <w:bCs/>
                <w:color w:val="000000"/>
                <w:spacing w:val="0"/>
                <w:sz w:val="22"/>
                <w:szCs w:val="22"/>
                <w:lang w:eastAsia="en-GB"/>
              </w:rPr>
            </w:pPr>
            <w:r w:rsidRPr="00FB4F49">
              <w:rPr>
                <w:rFonts w:cs="Arial"/>
                <w:b/>
                <w:bCs/>
                <w:color w:val="000000"/>
                <w:spacing w:val="0"/>
                <w:sz w:val="22"/>
                <w:szCs w:val="22"/>
                <w:lang w:eastAsia="en-GB"/>
              </w:rPr>
              <w:t>2</w:t>
            </w:r>
            <w:r>
              <w:rPr>
                <w:rFonts w:cs="Arial"/>
                <w:b/>
                <w:bCs/>
                <w:color w:val="000000"/>
                <w:spacing w:val="0"/>
                <w:sz w:val="22"/>
                <w:szCs w:val="22"/>
                <w:lang w:eastAsia="en-GB"/>
              </w:rPr>
              <w:t>.9</w:t>
            </w:r>
          </w:p>
        </w:tc>
      </w:tr>
      <w:tr w:rsidR="00D370CC" w:rsidRPr="00FB4F49" w14:paraId="22A68525" w14:textId="77777777" w:rsidTr="00D370CC">
        <w:trPr>
          <w:trHeight w:hRule="exact" w:val="340"/>
        </w:trPr>
        <w:tc>
          <w:tcPr>
            <w:tcW w:w="3943" w:type="dxa"/>
            <w:vMerge/>
            <w:tcBorders>
              <w:left w:val="single" w:sz="8" w:space="0" w:color="auto"/>
              <w:bottom w:val="single" w:sz="8" w:space="0" w:color="auto"/>
              <w:right w:val="single" w:sz="8" w:space="0" w:color="auto"/>
            </w:tcBorders>
            <w:shd w:val="clear" w:color="auto" w:fill="auto"/>
            <w:vAlign w:val="center"/>
          </w:tcPr>
          <w:p w14:paraId="530D6807" w14:textId="77777777" w:rsidR="00D370CC" w:rsidRPr="00FB4F49" w:rsidRDefault="00D370CC" w:rsidP="00FB4F49">
            <w:pPr>
              <w:rPr>
                <w:rFonts w:cs="Arial"/>
                <w:b/>
                <w:bCs/>
                <w:color w:val="000000"/>
                <w:spacing w:val="0"/>
                <w:sz w:val="22"/>
                <w:szCs w:val="22"/>
                <w:lang w:eastAsia="en-GB"/>
              </w:rPr>
            </w:pPr>
          </w:p>
        </w:tc>
        <w:tc>
          <w:tcPr>
            <w:tcW w:w="1012" w:type="dxa"/>
            <w:tcBorders>
              <w:top w:val="nil"/>
              <w:left w:val="nil"/>
              <w:bottom w:val="single" w:sz="8" w:space="0" w:color="auto"/>
              <w:right w:val="single" w:sz="8" w:space="0" w:color="auto"/>
            </w:tcBorders>
            <w:shd w:val="clear" w:color="auto" w:fill="auto"/>
            <w:vAlign w:val="center"/>
          </w:tcPr>
          <w:p w14:paraId="445CB95C" w14:textId="77777777" w:rsidR="00D370CC" w:rsidRDefault="00D370CC" w:rsidP="00FB4F49">
            <w:pPr>
              <w:jc w:val="right"/>
              <w:rPr>
                <w:rFonts w:cs="Arial"/>
                <w:b/>
                <w:bCs/>
                <w:color w:val="000000"/>
                <w:spacing w:val="0"/>
                <w:sz w:val="22"/>
                <w:szCs w:val="22"/>
                <w:lang w:eastAsia="en-GB"/>
              </w:rPr>
            </w:pPr>
          </w:p>
        </w:tc>
        <w:tc>
          <w:tcPr>
            <w:tcW w:w="1133" w:type="dxa"/>
            <w:tcBorders>
              <w:top w:val="nil"/>
              <w:left w:val="nil"/>
              <w:bottom w:val="single" w:sz="8" w:space="0" w:color="auto"/>
              <w:right w:val="single" w:sz="8" w:space="0" w:color="auto"/>
            </w:tcBorders>
            <w:shd w:val="clear" w:color="auto" w:fill="auto"/>
            <w:vAlign w:val="center"/>
          </w:tcPr>
          <w:p w14:paraId="343FD44A" w14:textId="77777777" w:rsidR="00D370CC" w:rsidRPr="00FB4F49" w:rsidRDefault="00D370CC" w:rsidP="00FB4F49">
            <w:pPr>
              <w:jc w:val="right"/>
              <w:rPr>
                <w:rFonts w:cs="Arial"/>
                <w:b/>
                <w:bCs/>
                <w:color w:val="000000"/>
                <w:spacing w:val="0"/>
                <w:sz w:val="22"/>
                <w:szCs w:val="22"/>
                <w:lang w:eastAsia="en-GB"/>
              </w:rPr>
            </w:pPr>
          </w:p>
        </w:tc>
        <w:tc>
          <w:tcPr>
            <w:tcW w:w="1114" w:type="dxa"/>
            <w:tcBorders>
              <w:top w:val="nil"/>
              <w:left w:val="nil"/>
              <w:bottom w:val="single" w:sz="8" w:space="0" w:color="auto"/>
              <w:right w:val="single" w:sz="8" w:space="0" w:color="auto"/>
            </w:tcBorders>
            <w:shd w:val="clear" w:color="auto" w:fill="auto"/>
            <w:vAlign w:val="center"/>
          </w:tcPr>
          <w:p w14:paraId="0FBFFADF" w14:textId="77777777" w:rsidR="00D370CC" w:rsidRPr="00FB4F49" w:rsidRDefault="00D370CC" w:rsidP="00FB4F49">
            <w:pPr>
              <w:jc w:val="right"/>
              <w:rPr>
                <w:rFonts w:cs="Arial"/>
                <w:b/>
                <w:bCs/>
                <w:color w:val="000000"/>
                <w:spacing w:val="0"/>
                <w:sz w:val="22"/>
                <w:szCs w:val="22"/>
                <w:lang w:eastAsia="en-GB"/>
              </w:rPr>
            </w:pPr>
          </w:p>
        </w:tc>
        <w:tc>
          <w:tcPr>
            <w:tcW w:w="1012" w:type="dxa"/>
            <w:tcBorders>
              <w:top w:val="nil"/>
              <w:left w:val="nil"/>
              <w:bottom w:val="single" w:sz="8" w:space="0" w:color="auto"/>
              <w:right w:val="single" w:sz="8" w:space="0" w:color="auto"/>
            </w:tcBorders>
            <w:shd w:val="clear" w:color="auto" w:fill="auto"/>
            <w:vAlign w:val="center"/>
          </w:tcPr>
          <w:p w14:paraId="5307E446" w14:textId="77777777" w:rsidR="00D370CC" w:rsidRPr="00FB4F49" w:rsidRDefault="00D370CC" w:rsidP="00FB4F49">
            <w:pPr>
              <w:jc w:val="right"/>
              <w:rPr>
                <w:rFonts w:cs="Arial"/>
                <w:b/>
                <w:bCs/>
                <w:color w:val="000000"/>
                <w:spacing w:val="0"/>
                <w:sz w:val="22"/>
                <w:szCs w:val="22"/>
                <w:lang w:eastAsia="en-GB"/>
              </w:rPr>
            </w:pPr>
          </w:p>
        </w:tc>
        <w:tc>
          <w:tcPr>
            <w:tcW w:w="1112" w:type="dxa"/>
            <w:tcBorders>
              <w:top w:val="nil"/>
              <w:left w:val="nil"/>
              <w:bottom w:val="single" w:sz="8" w:space="0" w:color="auto"/>
              <w:right w:val="single" w:sz="8" w:space="0" w:color="auto"/>
            </w:tcBorders>
            <w:shd w:val="clear" w:color="auto" w:fill="auto"/>
            <w:vAlign w:val="center"/>
          </w:tcPr>
          <w:p w14:paraId="70CD3229" w14:textId="77777777" w:rsidR="00D370CC" w:rsidRPr="00FB4F49" w:rsidRDefault="00D370CC" w:rsidP="00FB4F49">
            <w:pPr>
              <w:jc w:val="right"/>
              <w:rPr>
                <w:rFonts w:cs="Arial"/>
                <w:b/>
                <w:bCs/>
                <w:color w:val="000000"/>
                <w:spacing w:val="0"/>
                <w:sz w:val="22"/>
                <w:szCs w:val="22"/>
                <w:lang w:eastAsia="en-GB"/>
              </w:rPr>
            </w:pPr>
          </w:p>
        </w:tc>
        <w:tc>
          <w:tcPr>
            <w:tcW w:w="1012" w:type="dxa"/>
            <w:tcBorders>
              <w:top w:val="nil"/>
              <w:left w:val="nil"/>
              <w:bottom w:val="single" w:sz="8" w:space="0" w:color="auto"/>
              <w:right w:val="single" w:sz="8" w:space="0" w:color="auto"/>
            </w:tcBorders>
            <w:shd w:val="clear" w:color="auto" w:fill="auto"/>
            <w:vAlign w:val="center"/>
          </w:tcPr>
          <w:p w14:paraId="0B0A3BD8" w14:textId="77777777" w:rsidR="00D370CC" w:rsidRPr="00FB4F49" w:rsidRDefault="00D370CC" w:rsidP="00FB4F49">
            <w:pPr>
              <w:jc w:val="right"/>
              <w:rPr>
                <w:rFonts w:cs="Arial"/>
                <w:b/>
                <w:bCs/>
                <w:color w:val="000000"/>
                <w:spacing w:val="0"/>
                <w:sz w:val="22"/>
                <w:szCs w:val="22"/>
                <w:lang w:eastAsia="en-GB"/>
              </w:rPr>
            </w:pPr>
          </w:p>
        </w:tc>
      </w:tr>
    </w:tbl>
    <w:p w14:paraId="0AE471B5" w14:textId="77777777" w:rsidR="00FB4F49" w:rsidRPr="00D26131" w:rsidRDefault="00FB4F49" w:rsidP="0058701A">
      <w:pPr>
        <w:ind w:left="567"/>
        <w:rPr>
          <w:rFonts w:cs="Arial"/>
          <w:b/>
          <w:color w:val="993366"/>
          <w:sz w:val="22"/>
          <w:szCs w:val="22"/>
          <w:highlight w:val="yellow"/>
        </w:rPr>
      </w:pPr>
    </w:p>
    <w:p w14:paraId="78EAF428" w14:textId="77777777" w:rsidR="00062BC5" w:rsidRPr="00B41BBD" w:rsidRDefault="00062BC5" w:rsidP="00776C91">
      <w:pPr>
        <w:numPr>
          <w:ilvl w:val="1"/>
          <w:numId w:val="12"/>
        </w:numPr>
        <w:tabs>
          <w:tab w:val="num" w:pos="540"/>
        </w:tabs>
        <w:ind w:left="540" w:hanging="540"/>
        <w:rPr>
          <w:rFonts w:cs="Arial"/>
          <w:b/>
          <w:color w:val="993366"/>
          <w:sz w:val="22"/>
          <w:szCs w:val="22"/>
        </w:rPr>
      </w:pPr>
      <w:r w:rsidRPr="00B41BBD">
        <w:rPr>
          <w:rFonts w:cs="Arial"/>
          <w:b/>
          <w:color w:val="993366"/>
          <w:sz w:val="24"/>
          <w:szCs w:val="24"/>
        </w:rPr>
        <w:t xml:space="preserve">The Council’s Borrowing Need </w:t>
      </w:r>
      <w:r w:rsidRPr="00B41BBD">
        <w:rPr>
          <w:rFonts w:cs="Arial"/>
          <w:b/>
          <w:color w:val="993366"/>
          <w:sz w:val="24"/>
          <w:szCs w:val="24"/>
        </w:rPr>
        <w:br/>
        <w:t>(the Capital Financing Requirement – Prudential Indicator PI-2)</w:t>
      </w:r>
      <w:r w:rsidRPr="00B41BBD">
        <w:rPr>
          <w:rFonts w:cs="Arial"/>
          <w:b/>
          <w:color w:val="993366"/>
          <w:sz w:val="24"/>
          <w:szCs w:val="24"/>
        </w:rPr>
        <w:br/>
      </w:r>
    </w:p>
    <w:p w14:paraId="68A5A6B4" w14:textId="2F9CD75B" w:rsidR="00062BC5" w:rsidRPr="00B41BBD" w:rsidRDefault="00062BC5" w:rsidP="008357CF">
      <w:pPr>
        <w:numPr>
          <w:ilvl w:val="2"/>
          <w:numId w:val="12"/>
        </w:numPr>
        <w:tabs>
          <w:tab w:val="clear" w:pos="720"/>
          <w:tab w:val="num" w:pos="540"/>
        </w:tabs>
        <w:ind w:left="539" w:hanging="539"/>
        <w:rPr>
          <w:rFonts w:cs="Arial"/>
          <w:sz w:val="22"/>
          <w:szCs w:val="22"/>
        </w:rPr>
      </w:pPr>
      <w:r w:rsidRPr="00B41BBD">
        <w:rPr>
          <w:rFonts w:cs="Arial"/>
          <w:sz w:val="22"/>
          <w:szCs w:val="22"/>
        </w:rPr>
        <w:t xml:space="preserve">The second prudential indicator is the Council’s Capital Financing Requirement (CFR). The CFR is simply the total historic outstanding capital expenditure which has not yet been paid for from either revenue or capital resources. It is essentially a measure of the Council’s </w:t>
      </w:r>
      <w:r w:rsidR="00DA18AE" w:rsidRPr="00B41BBD">
        <w:rPr>
          <w:rFonts w:cs="Arial"/>
          <w:sz w:val="22"/>
          <w:szCs w:val="22"/>
        </w:rPr>
        <w:t xml:space="preserve">indebtedness and so its </w:t>
      </w:r>
      <w:r w:rsidRPr="00B41BBD">
        <w:rPr>
          <w:rFonts w:cs="Arial"/>
          <w:sz w:val="22"/>
          <w:szCs w:val="22"/>
        </w:rPr>
        <w:t>underlying borrowing need. Any capital expenditure identified above, which ha</w:t>
      </w:r>
      <w:r w:rsidR="00DA18AE" w:rsidRPr="00B41BBD">
        <w:rPr>
          <w:rFonts w:cs="Arial"/>
          <w:sz w:val="22"/>
          <w:szCs w:val="22"/>
        </w:rPr>
        <w:t xml:space="preserve">s not immediately been paid for through a revenue or capital resource, </w:t>
      </w:r>
      <w:r w:rsidRPr="00B41BBD">
        <w:rPr>
          <w:rFonts w:cs="Arial"/>
          <w:sz w:val="22"/>
          <w:szCs w:val="22"/>
        </w:rPr>
        <w:t xml:space="preserve">will increase the CFR. </w:t>
      </w:r>
      <w:r w:rsidR="0005309D" w:rsidRPr="00B41BBD">
        <w:rPr>
          <w:rFonts w:cs="Arial"/>
          <w:sz w:val="22"/>
          <w:szCs w:val="22"/>
        </w:rPr>
        <w:t xml:space="preserve">The CFR does not increase indefinitely, as prudent annual repayments from revenue need to be made which reflect the useful life of capital assets financed by borrowing.  </w:t>
      </w:r>
      <w:r w:rsidR="00364482" w:rsidRPr="00B41BBD">
        <w:rPr>
          <w:rFonts w:cs="Arial"/>
          <w:sz w:val="22"/>
          <w:szCs w:val="22"/>
        </w:rPr>
        <w:t xml:space="preserve">From 1 April 2016, authorities </w:t>
      </w:r>
      <w:r w:rsidR="00526216">
        <w:rPr>
          <w:rFonts w:cs="Arial"/>
          <w:sz w:val="22"/>
          <w:szCs w:val="22"/>
        </w:rPr>
        <w:t xml:space="preserve">have been able </w:t>
      </w:r>
      <w:r w:rsidR="00364482" w:rsidRPr="00B41BBD">
        <w:rPr>
          <w:rFonts w:cs="Arial"/>
          <w:sz w:val="22"/>
          <w:szCs w:val="22"/>
        </w:rPr>
        <w:t xml:space="preserve">to </w:t>
      </w:r>
      <w:r w:rsidR="00526216">
        <w:rPr>
          <w:rFonts w:cs="Arial"/>
          <w:sz w:val="22"/>
          <w:szCs w:val="22"/>
        </w:rPr>
        <w:t>choose whether to use</w:t>
      </w:r>
      <w:r w:rsidR="00364482" w:rsidRPr="00B41BBD">
        <w:rPr>
          <w:rFonts w:cs="Arial"/>
          <w:sz w:val="22"/>
          <w:szCs w:val="22"/>
        </w:rPr>
        <w:t xml:space="preserve"> scheduled debt amortisation (loans pool charges), or another suitable method of calculation in order to repay borrowing.</w:t>
      </w:r>
      <w:r w:rsidR="00E55CD7" w:rsidRPr="00E55CD7">
        <w:rPr>
          <w:rFonts w:cs="Arial"/>
          <w:sz w:val="22"/>
          <w:szCs w:val="22"/>
        </w:rPr>
        <w:t xml:space="preserve"> </w:t>
      </w:r>
      <w:r w:rsidR="00E55CD7">
        <w:rPr>
          <w:rFonts w:cs="Arial"/>
          <w:sz w:val="22"/>
          <w:szCs w:val="22"/>
        </w:rPr>
        <w:t xml:space="preserve">The Council calculates repayment of </w:t>
      </w:r>
      <w:r w:rsidR="00E55CD7" w:rsidRPr="00754D1B">
        <w:rPr>
          <w:rFonts w:cs="Arial"/>
          <w:sz w:val="22"/>
          <w:szCs w:val="22"/>
        </w:rPr>
        <w:t>loans fund advances with reference to the life of an asset</w:t>
      </w:r>
      <w:r w:rsidR="00E55CD7">
        <w:rPr>
          <w:rFonts w:cs="Arial"/>
          <w:sz w:val="22"/>
          <w:szCs w:val="22"/>
        </w:rPr>
        <w:t xml:space="preserve"> </w:t>
      </w:r>
      <w:r w:rsidR="00E55CD7" w:rsidRPr="00754D1B">
        <w:rPr>
          <w:rFonts w:cs="Arial"/>
          <w:sz w:val="22"/>
          <w:szCs w:val="22"/>
        </w:rPr>
        <w:t xml:space="preserve">using </w:t>
      </w:r>
      <w:r w:rsidR="00E55CD7">
        <w:rPr>
          <w:rFonts w:cs="Arial"/>
          <w:sz w:val="22"/>
          <w:szCs w:val="22"/>
        </w:rPr>
        <w:t xml:space="preserve">the </w:t>
      </w:r>
      <w:r w:rsidR="00E55CD7" w:rsidRPr="00754D1B">
        <w:rPr>
          <w:rFonts w:cs="Arial"/>
          <w:sz w:val="22"/>
          <w:szCs w:val="22"/>
        </w:rPr>
        <w:t>annuity method (option 3)</w:t>
      </w:r>
      <w:r w:rsidR="00E55CD7">
        <w:rPr>
          <w:rFonts w:cs="Arial"/>
          <w:sz w:val="22"/>
          <w:szCs w:val="22"/>
        </w:rPr>
        <w:t xml:space="preserve"> – further details at 3.5 below</w:t>
      </w:r>
      <w:r w:rsidR="00E55CD7" w:rsidRPr="00754D1B">
        <w:rPr>
          <w:rFonts w:cs="Arial"/>
          <w:sz w:val="22"/>
          <w:szCs w:val="22"/>
        </w:rPr>
        <w:t>.</w:t>
      </w:r>
    </w:p>
    <w:p w14:paraId="35F9311E" w14:textId="77777777" w:rsidR="00EF60DC" w:rsidRPr="00D26131" w:rsidRDefault="00EF60DC" w:rsidP="00EF60DC">
      <w:pPr>
        <w:ind w:left="540"/>
        <w:rPr>
          <w:rFonts w:cs="Arial"/>
          <w:sz w:val="22"/>
          <w:szCs w:val="22"/>
          <w:highlight w:val="yellow"/>
        </w:rPr>
      </w:pPr>
    </w:p>
    <w:p w14:paraId="33DE0AB0" w14:textId="023DB93E" w:rsidR="00DF0212" w:rsidRPr="00492285" w:rsidRDefault="00062BC5" w:rsidP="00776C91">
      <w:pPr>
        <w:numPr>
          <w:ilvl w:val="2"/>
          <w:numId w:val="12"/>
        </w:numPr>
        <w:tabs>
          <w:tab w:val="clear" w:pos="720"/>
          <w:tab w:val="num" w:pos="540"/>
        </w:tabs>
        <w:ind w:left="540" w:hanging="540"/>
        <w:rPr>
          <w:rFonts w:cs="Arial"/>
          <w:sz w:val="22"/>
          <w:szCs w:val="22"/>
        </w:rPr>
      </w:pPr>
      <w:r w:rsidRPr="00492285">
        <w:rPr>
          <w:rFonts w:cs="Arial"/>
          <w:sz w:val="22"/>
          <w:szCs w:val="22"/>
        </w:rPr>
        <w:t>The CFR</w:t>
      </w:r>
      <w:r w:rsidR="00526216">
        <w:rPr>
          <w:rFonts w:cs="Arial"/>
          <w:sz w:val="22"/>
          <w:szCs w:val="22"/>
        </w:rPr>
        <w:t xml:space="preserve"> also</w:t>
      </w:r>
      <w:r w:rsidRPr="00492285">
        <w:rPr>
          <w:rFonts w:cs="Arial"/>
          <w:sz w:val="22"/>
          <w:szCs w:val="22"/>
        </w:rPr>
        <w:t xml:space="preserve"> includes any other </w:t>
      </w:r>
      <w:proofErr w:type="gramStart"/>
      <w:r w:rsidRPr="00492285">
        <w:rPr>
          <w:rFonts w:cs="Arial"/>
          <w:sz w:val="22"/>
          <w:szCs w:val="22"/>
        </w:rPr>
        <w:t>long term</w:t>
      </w:r>
      <w:proofErr w:type="gramEnd"/>
      <w:r w:rsidRPr="00492285">
        <w:rPr>
          <w:rFonts w:cs="Arial"/>
          <w:sz w:val="22"/>
          <w:szCs w:val="22"/>
        </w:rPr>
        <w:t xml:space="preserve"> liabilities (e.g. P</w:t>
      </w:r>
      <w:r w:rsidR="00DD05AE" w:rsidRPr="00492285">
        <w:rPr>
          <w:rFonts w:cs="Arial"/>
          <w:sz w:val="22"/>
          <w:szCs w:val="22"/>
        </w:rPr>
        <w:t>FI</w:t>
      </w:r>
      <w:r w:rsidRPr="00492285">
        <w:rPr>
          <w:rFonts w:cs="Arial"/>
          <w:sz w:val="22"/>
          <w:szCs w:val="22"/>
        </w:rPr>
        <w:t xml:space="preserve"> sche</w:t>
      </w:r>
      <w:r w:rsidR="00990CB3" w:rsidRPr="00492285">
        <w:rPr>
          <w:rFonts w:cs="Arial"/>
          <w:sz w:val="22"/>
          <w:szCs w:val="22"/>
        </w:rPr>
        <w:t>mes, finance leases). Whilst these</w:t>
      </w:r>
      <w:r w:rsidRPr="00492285">
        <w:rPr>
          <w:rFonts w:cs="Arial"/>
          <w:sz w:val="22"/>
          <w:szCs w:val="22"/>
        </w:rPr>
        <w:t xml:space="preserve"> increase the CFR, and therefore the Council’s borrowing requirement, these types of </w:t>
      </w:r>
      <w:proofErr w:type="gramStart"/>
      <w:r w:rsidRPr="00492285">
        <w:rPr>
          <w:rFonts w:cs="Arial"/>
          <w:sz w:val="22"/>
          <w:szCs w:val="22"/>
        </w:rPr>
        <w:t>scheme</w:t>
      </w:r>
      <w:proofErr w:type="gramEnd"/>
      <w:r w:rsidRPr="00492285">
        <w:rPr>
          <w:rFonts w:cs="Arial"/>
          <w:sz w:val="22"/>
          <w:szCs w:val="22"/>
        </w:rPr>
        <w:t xml:space="preserve"> include a borrowing facility </w:t>
      </w:r>
      <w:r w:rsidR="00DA18AE" w:rsidRPr="00492285">
        <w:rPr>
          <w:rFonts w:cs="Arial"/>
          <w:sz w:val="22"/>
          <w:szCs w:val="22"/>
        </w:rPr>
        <w:t xml:space="preserve">by the </w:t>
      </w:r>
      <w:r w:rsidR="00DD05AE" w:rsidRPr="00492285">
        <w:rPr>
          <w:rFonts w:cs="Arial"/>
          <w:sz w:val="22"/>
          <w:szCs w:val="22"/>
        </w:rPr>
        <w:t xml:space="preserve">PFI, </w:t>
      </w:r>
      <w:r w:rsidR="00DA18AE" w:rsidRPr="00492285">
        <w:rPr>
          <w:rFonts w:cs="Arial"/>
          <w:sz w:val="22"/>
          <w:szCs w:val="22"/>
        </w:rPr>
        <w:t xml:space="preserve">PPP lease provider </w:t>
      </w:r>
      <w:r w:rsidRPr="00492285">
        <w:rPr>
          <w:rFonts w:cs="Arial"/>
          <w:sz w:val="22"/>
          <w:szCs w:val="22"/>
        </w:rPr>
        <w:t>and so the Council is not required to separately borrow for these schemes. The Council ha</w:t>
      </w:r>
      <w:r w:rsidR="007E3C3F" w:rsidRPr="00492285">
        <w:rPr>
          <w:rFonts w:cs="Arial"/>
          <w:sz w:val="22"/>
          <w:szCs w:val="22"/>
        </w:rPr>
        <w:t>s</w:t>
      </w:r>
      <w:r w:rsidRPr="00492285">
        <w:rPr>
          <w:rFonts w:cs="Arial"/>
          <w:sz w:val="22"/>
          <w:szCs w:val="22"/>
        </w:rPr>
        <w:t xml:space="preserve"> </w:t>
      </w:r>
      <w:r w:rsidR="00282A43" w:rsidRPr="00492285">
        <w:rPr>
          <w:rFonts w:cs="Arial"/>
          <w:sz w:val="22"/>
          <w:szCs w:val="22"/>
        </w:rPr>
        <w:t>£</w:t>
      </w:r>
      <w:r w:rsidR="00492285" w:rsidRPr="00492285">
        <w:rPr>
          <w:rFonts w:cs="Arial"/>
          <w:sz w:val="22"/>
          <w:szCs w:val="22"/>
        </w:rPr>
        <w:t>111.3</w:t>
      </w:r>
      <w:r w:rsidR="00B73464" w:rsidRPr="00492285">
        <w:rPr>
          <w:rFonts w:cs="Arial"/>
          <w:sz w:val="22"/>
          <w:szCs w:val="22"/>
        </w:rPr>
        <w:t>m</w:t>
      </w:r>
      <w:r w:rsidRPr="00492285">
        <w:rPr>
          <w:rFonts w:cs="Arial"/>
          <w:sz w:val="22"/>
          <w:szCs w:val="22"/>
        </w:rPr>
        <w:t xml:space="preserve"> of </w:t>
      </w:r>
      <w:r w:rsidR="00990CB3" w:rsidRPr="00492285">
        <w:rPr>
          <w:rFonts w:cs="Arial"/>
          <w:sz w:val="22"/>
          <w:szCs w:val="22"/>
        </w:rPr>
        <w:t xml:space="preserve">liabilities relating to </w:t>
      </w:r>
      <w:r w:rsidRPr="00492285">
        <w:rPr>
          <w:rFonts w:cs="Arial"/>
          <w:sz w:val="22"/>
          <w:szCs w:val="22"/>
        </w:rPr>
        <w:t xml:space="preserve">such schemes within the </w:t>
      </w:r>
      <w:r w:rsidR="00754D1B" w:rsidRPr="00492285">
        <w:rPr>
          <w:rFonts w:cs="Arial"/>
          <w:sz w:val="22"/>
          <w:szCs w:val="22"/>
        </w:rPr>
        <w:t>2023</w:t>
      </w:r>
      <w:r w:rsidR="00EF60DC" w:rsidRPr="00492285">
        <w:rPr>
          <w:rFonts w:cs="Arial"/>
          <w:sz w:val="22"/>
          <w:szCs w:val="22"/>
        </w:rPr>
        <w:t>/</w:t>
      </w:r>
      <w:r w:rsidR="005D2629" w:rsidRPr="00492285">
        <w:rPr>
          <w:rFonts w:cs="Arial"/>
          <w:sz w:val="22"/>
          <w:szCs w:val="22"/>
        </w:rPr>
        <w:t>2</w:t>
      </w:r>
      <w:r w:rsidR="00754D1B" w:rsidRPr="00492285">
        <w:rPr>
          <w:rFonts w:cs="Arial"/>
          <w:sz w:val="22"/>
          <w:szCs w:val="22"/>
        </w:rPr>
        <w:t>4</w:t>
      </w:r>
      <w:r w:rsidR="00E05C6A" w:rsidRPr="00492285">
        <w:rPr>
          <w:rFonts w:cs="Arial"/>
          <w:sz w:val="22"/>
          <w:szCs w:val="22"/>
        </w:rPr>
        <w:t xml:space="preserve"> </w:t>
      </w:r>
      <w:r w:rsidR="00282A43" w:rsidRPr="00492285">
        <w:rPr>
          <w:rFonts w:cs="Arial"/>
          <w:sz w:val="22"/>
          <w:szCs w:val="22"/>
        </w:rPr>
        <w:t>long term liabilities figure</w:t>
      </w:r>
      <w:r w:rsidR="00B73464" w:rsidRPr="00492285">
        <w:rPr>
          <w:rFonts w:cs="Arial"/>
          <w:sz w:val="22"/>
          <w:szCs w:val="22"/>
        </w:rPr>
        <w:t xml:space="preserve">.  </w:t>
      </w:r>
      <w:r w:rsidR="009A1054" w:rsidRPr="00492285">
        <w:rPr>
          <w:rFonts w:cs="Arial"/>
          <w:sz w:val="22"/>
          <w:szCs w:val="22"/>
        </w:rPr>
        <w:t xml:space="preserve"> </w:t>
      </w:r>
      <w:r w:rsidR="00E84859" w:rsidRPr="00492285">
        <w:rPr>
          <w:rFonts w:cs="Arial"/>
          <w:sz w:val="22"/>
          <w:szCs w:val="22"/>
        </w:rPr>
        <w:t>Th</w:t>
      </w:r>
      <w:r w:rsidR="00955377" w:rsidRPr="00492285">
        <w:rPr>
          <w:rFonts w:cs="Arial"/>
          <w:sz w:val="22"/>
          <w:szCs w:val="22"/>
        </w:rPr>
        <w:t>e CFR</w:t>
      </w:r>
      <w:r w:rsidR="00E84859" w:rsidRPr="00492285">
        <w:rPr>
          <w:rFonts w:cs="Arial"/>
          <w:sz w:val="22"/>
          <w:szCs w:val="22"/>
        </w:rPr>
        <w:t xml:space="preserve"> may be impacted by the changes under IFRS 16 (see 1.9 above).</w:t>
      </w:r>
    </w:p>
    <w:p w14:paraId="684CE404" w14:textId="77777777" w:rsidR="00DA18AE" w:rsidRPr="00D26131" w:rsidRDefault="00DA18AE" w:rsidP="00DA18AE">
      <w:pPr>
        <w:rPr>
          <w:rFonts w:cs="Arial"/>
          <w:sz w:val="22"/>
          <w:szCs w:val="22"/>
          <w:highlight w:val="yellow"/>
        </w:rPr>
      </w:pPr>
    </w:p>
    <w:p w14:paraId="68D464BD" w14:textId="481DC49B" w:rsidR="00612AE4" w:rsidRPr="00B41BBD" w:rsidRDefault="00390EF7" w:rsidP="005B34C4">
      <w:pPr>
        <w:numPr>
          <w:ilvl w:val="2"/>
          <w:numId w:val="33"/>
        </w:numPr>
        <w:tabs>
          <w:tab w:val="clear" w:pos="720"/>
          <w:tab w:val="num" w:pos="567"/>
        </w:tabs>
        <w:ind w:left="567" w:hanging="567"/>
        <w:rPr>
          <w:rFonts w:cs="Arial"/>
          <w:sz w:val="22"/>
          <w:szCs w:val="22"/>
        </w:rPr>
      </w:pPr>
      <w:r w:rsidRPr="00B41BBD">
        <w:rPr>
          <w:rFonts w:cs="Arial"/>
          <w:sz w:val="22"/>
          <w:szCs w:val="22"/>
        </w:rPr>
        <w:t>T</w:t>
      </w:r>
      <w:r w:rsidR="00062BC5" w:rsidRPr="00B41BBD">
        <w:rPr>
          <w:rFonts w:cs="Arial"/>
          <w:sz w:val="22"/>
          <w:szCs w:val="22"/>
        </w:rPr>
        <w:t xml:space="preserve">he Council is asked to approve the </w:t>
      </w:r>
      <w:r w:rsidR="00526216">
        <w:rPr>
          <w:rFonts w:cs="Arial"/>
          <w:sz w:val="22"/>
          <w:szCs w:val="22"/>
        </w:rPr>
        <w:t xml:space="preserve">following </w:t>
      </w:r>
      <w:r w:rsidR="00062BC5" w:rsidRPr="00B41BBD">
        <w:rPr>
          <w:rFonts w:cs="Arial"/>
          <w:sz w:val="22"/>
          <w:szCs w:val="22"/>
        </w:rPr>
        <w:t xml:space="preserve">CFR projections </w:t>
      </w:r>
      <w:r w:rsidR="001A5124" w:rsidRPr="00B41BBD">
        <w:rPr>
          <w:rFonts w:cs="Arial"/>
          <w:sz w:val="22"/>
          <w:szCs w:val="22"/>
        </w:rPr>
        <w:t xml:space="preserve">on the page </w:t>
      </w:r>
      <w:r w:rsidR="00062BC5" w:rsidRPr="00B41BBD">
        <w:rPr>
          <w:rFonts w:cs="Arial"/>
          <w:sz w:val="22"/>
          <w:szCs w:val="22"/>
        </w:rPr>
        <w:t>below:</w:t>
      </w:r>
    </w:p>
    <w:p w14:paraId="37298718" w14:textId="77777777" w:rsidR="00DD05AE" w:rsidRPr="00D26131" w:rsidRDefault="00DD05AE" w:rsidP="00DD05AE">
      <w:pPr>
        <w:ind w:left="567"/>
        <w:rPr>
          <w:rFonts w:cs="Arial"/>
          <w:sz w:val="22"/>
          <w:szCs w:val="22"/>
          <w:highlight w:val="yellow"/>
        </w:rPr>
      </w:pPr>
    </w:p>
    <w:p w14:paraId="4F3074CA" w14:textId="77777777" w:rsidR="00DD05AE" w:rsidRPr="00D26131" w:rsidRDefault="00DD05AE" w:rsidP="00DD05AE">
      <w:pPr>
        <w:ind w:left="567"/>
        <w:rPr>
          <w:rFonts w:cs="Arial"/>
          <w:sz w:val="22"/>
          <w:szCs w:val="22"/>
          <w:highlight w:val="yellow"/>
        </w:rPr>
      </w:pPr>
    </w:p>
    <w:p w14:paraId="10FD57C1" w14:textId="77777777" w:rsidR="00DD05AE" w:rsidRPr="00D26131" w:rsidRDefault="00DD05AE" w:rsidP="00DD05AE">
      <w:pPr>
        <w:ind w:left="567"/>
        <w:rPr>
          <w:rFonts w:cs="Arial"/>
          <w:sz w:val="22"/>
          <w:szCs w:val="22"/>
          <w:highlight w:val="yellow"/>
        </w:rPr>
      </w:pPr>
    </w:p>
    <w:p w14:paraId="621C4FF1" w14:textId="77777777" w:rsidR="00DD05AE" w:rsidRDefault="00DD05AE" w:rsidP="00DD05AE">
      <w:pPr>
        <w:ind w:left="567"/>
        <w:rPr>
          <w:rFonts w:cs="Arial"/>
          <w:sz w:val="22"/>
          <w:szCs w:val="22"/>
          <w:highlight w:val="yellow"/>
        </w:rPr>
      </w:pPr>
    </w:p>
    <w:p w14:paraId="18833230" w14:textId="77777777" w:rsidR="000722E3" w:rsidRPr="00D26131" w:rsidRDefault="000722E3" w:rsidP="00DD05AE">
      <w:pPr>
        <w:ind w:left="567"/>
        <w:rPr>
          <w:rFonts w:cs="Arial"/>
          <w:sz w:val="22"/>
          <w:szCs w:val="22"/>
          <w:highlight w:val="yellow"/>
        </w:rPr>
      </w:pPr>
    </w:p>
    <w:p w14:paraId="7333BFAB" w14:textId="77777777" w:rsidR="00DD05AE" w:rsidRPr="00D26131" w:rsidRDefault="00DD05AE" w:rsidP="00DD05AE">
      <w:pPr>
        <w:ind w:left="567"/>
        <w:rPr>
          <w:rFonts w:cs="Arial"/>
          <w:sz w:val="22"/>
          <w:szCs w:val="22"/>
          <w:highlight w:val="yellow"/>
        </w:rPr>
      </w:pPr>
    </w:p>
    <w:p w14:paraId="234CEB46" w14:textId="77777777" w:rsidR="00DD05AE" w:rsidRDefault="00DD05AE" w:rsidP="00DD05AE">
      <w:pPr>
        <w:ind w:left="567"/>
        <w:rPr>
          <w:rFonts w:cs="Arial"/>
          <w:sz w:val="22"/>
          <w:szCs w:val="22"/>
          <w:highlight w:val="yellow"/>
        </w:rPr>
      </w:pPr>
    </w:p>
    <w:p w14:paraId="35920507" w14:textId="77777777" w:rsidR="000722E3" w:rsidRPr="00D26131" w:rsidRDefault="000722E3" w:rsidP="00DD05AE">
      <w:pPr>
        <w:ind w:left="567"/>
        <w:rPr>
          <w:rFonts w:cs="Arial"/>
          <w:sz w:val="22"/>
          <w:szCs w:val="22"/>
          <w:highlight w:val="yellow"/>
        </w:rPr>
      </w:pPr>
    </w:p>
    <w:p w14:paraId="348AC69E" w14:textId="77777777" w:rsidR="00DD05AE" w:rsidRPr="00D26131" w:rsidRDefault="00DD05AE" w:rsidP="00DD05AE">
      <w:pPr>
        <w:ind w:left="567"/>
        <w:rPr>
          <w:rFonts w:cs="Arial"/>
          <w:sz w:val="22"/>
          <w:szCs w:val="22"/>
          <w:highlight w:val="yell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3260"/>
        <w:gridCol w:w="972"/>
        <w:gridCol w:w="21"/>
        <w:gridCol w:w="951"/>
        <w:gridCol w:w="972"/>
        <w:gridCol w:w="972"/>
        <w:gridCol w:w="972"/>
        <w:gridCol w:w="972"/>
        <w:gridCol w:w="972"/>
      </w:tblGrid>
      <w:tr w:rsidR="00857680" w:rsidRPr="00D26131" w14:paraId="5163BAEE" w14:textId="77777777" w:rsidTr="00EA4BD2">
        <w:trPr>
          <w:trHeight w:hRule="exact" w:val="567"/>
        </w:trPr>
        <w:tc>
          <w:tcPr>
            <w:tcW w:w="3510" w:type="dxa"/>
            <w:gridSpan w:val="2"/>
            <w:vMerge w:val="restart"/>
            <w:shd w:val="clear" w:color="auto" w:fill="B3B3B3"/>
          </w:tcPr>
          <w:p w14:paraId="4AF25F96" w14:textId="77777777" w:rsidR="00857680" w:rsidRPr="006F1912" w:rsidRDefault="00857680" w:rsidP="00602541">
            <w:pPr>
              <w:pStyle w:val="BodyText"/>
              <w:rPr>
                <w:rFonts w:ascii="Arial" w:hAnsi="Arial" w:cs="Arial"/>
                <w:b/>
                <w:sz w:val="22"/>
                <w:szCs w:val="22"/>
                <w:highlight w:val="darkGray"/>
                <w:lang w:val="en-GB"/>
              </w:rPr>
            </w:pPr>
            <w:r w:rsidRPr="006F1912">
              <w:rPr>
                <w:rFonts w:ascii="Arial" w:hAnsi="Arial" w:cs="Arial"/>
                <w:b/>
                <w:bCs/>
                <w:sz w:val="22"/>
                <w:szCs w:val="22"/>
                <w:highlight w:val="darkGray"/>
                <w:lang w:val="en-GB"/>
              </w:rPr>
              <w:t>Capital Financing Requirement</w:t>
            </w:r>
            <w:r w:rsidRPr="006F1912">
              <w:rPr>
                <w:rFonts w:ascii="Arial" w:hAnsi="Arial" w:cs="Arial"/>
                <w:b/>
                <w:bCs/>
                <w:sz w:val="22"/>
                <w:szCs w:val="22"/>
                <w:highlight w:val="darkGray"/>
                <w:lang w:val="en-GB"/>
              </w:rPr>
              <w:br/>
              <w:t xml:space="preserve">(PI-2) </w:t>
            </w:r>
            <w:r w:rsidRPr="006F1912">
              <w:rPr>
                <w:rFonts w:ascii="Arial" w:hAnsi="Arial" w:cs="Arial"/>
                <w:b/>
                <w:sz w:val="22"/>
                <w:szCs w:val="22"/>
                <w:highlight w:val="darkGray"/>
                <w:lang w:val="en-GB"/>
              </w:rPr>
              <w:t xml:space="preserve"> </w:t>
            </w:r>
          </w:p>
          <w:p w14:paraId="4F49C7B5" w14:textId="77777777" w:rsidR="00857680" w:rsidRPr="00D26131" w:rsidRDefault="00857680" w:rsidP="00602541">
            <w:pPr>
              <w:pStyle w:val="BodyText"/>
              <w:rPr>
                <w:rFonts w:ascii="Arial" w:hAnsi="Arial" w:cs="Arial"/>
                <w:b/>
                <w:bCs/>
                <w:sz w:val="22"/>
                <w:szCs w:val="22"/>
                <w:highlight w:val="yellow"/>
                <w:lang w:val="en-GB"/>
              </w:rPr>
            </w:pPr>
            <w:r w:rsidRPr="006F1912">
              <w:rPr>
                <w:rFonts w:ascii="Arial" w:hAnsi="Arial" w:cs="Arial"/>
                <w:b/>
                <w:sz w:val="22"/>
                <w:szCs w:val="22"/>
                <w:highlight w:val="darkGray"/>
                <w:lang w:val="en-GB"/>
              </w:rPr>
              <w:t>£m</w:t>
            </w:r>
          </w:p>
        </w:tc>
        <w:tc>
          <w:tcPr>
            <w:tcW w:w="993" w:type="dxa"/>
            <w:gridSpan w:val="2"/>
            <w:shd w:val="clear" w:color="auto" w:fill="B3B3B3"/>
          </w:tcPr>
          <w:p w14:paraId="5C7F548D" w14:textId="77777777" w:rsidR="00857680" w:rsidRPr="006F1912" w:rsidRDefault="00857680" w:rsidP="0060254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Actual</w:t>
            </w:r>
          </w:p>
        </w:tc>
        <w:tc>
          <w:tcPr>
            <w:tcW w:w="5811" w:type="dxa"/>
            <w:gridSpan w:val="6"/>
            <w:shd w:val="clear" w:color="auto" w:fill="B3B3B3"/>
          </w:tcPr>
          <w:p w14:paraId="1BDB9159" w14:textId="77777777" w:rsidR="00857680" w:rsidRPr="006F1912" w:rsidRDefault="00857680" w:rsidP="00602541">
            <w:pPr>
              <w:pStyle w:val="BodyText"/>
              <w:jc w:val="center"/>
              <w:rPr>
                <w:rFonts w:ascii="Arial" w:hAnsi="Arial" w:cs="Arial"/>
                <w:b/>
                <w:bCs/>
                <w:sz w:val="22"/>
                <w:szCs w:val="22"/>
                <w:highlight w:val="darkGray"/>
                <w:lang w:val="en-GB"/>
              </w:rPr>
            </w:pPr>
            <w:r w:rsidRPr="006F1912">
              <w:rPr>
                <w:rFonts w:ascii="Arial" w:hAnsi="Arial" w:cs="Arial"/>
                <w:b/>
                <w:bCs/>
                <w:sz w:val="22"/>
                <w:szCs w:val="22"/>
                <w:highlight w:val="darkGray"/>
                <w:lang w:val="en-GB"/>
              </w:rPr>
              <w:t>Estimate</w:t>
            </w:r>
          </w:p>
        </w:tc>
      </w:tr>
      <w:tr w:rsidR="00BA09C1" w:rsidRPr="00D26131" w14:paraId="2A1DB0E1" w14:textId="77777777" w:rsidTr="00EA4BD2">
        <w:trPr>
          <w:trHeight w:hRule="exact" w:val="567"/>
        </w:trPr>
        <w:tc>
          <w:tcPr>
            <w:tcW w:w="3510" w:type="dxa"/>
            <w:gridSpan w:val="2"/>
            <w:vMerge/>
            <w:shd w:val="clear" w:color="auto" w:fill="B3B3B3"/>
          </w:tcPr>
          <w:p w14:paraId="7A070DC1" w14:textId="77777777" w:rsidR="00BA09C1" w:rsidRPr="00D26131" w:rsidRDefault="00BA09C1" w:rsidP="00BA09C1">
            <w:pPr>
              <w:pStyle w:val="BodyText"/>
              <w:rPr>
                <w:rFonts w:ascii="Arial" w:hAnsi="Arial" w:cs="Arial"/>
                <w:sz w:val="22"/>
                <w:szCs w:val="22"/>
                <w:highlight w:val="yellow"/>
                <w:lang w:val="en-GB"/>
              </w:rPr>
            </w:pPr>
          </w:p>
        </w:tc>
        <w:tc>
          <w:tcPr>
            <w:tcW w:w="993" w:type="dxa"/>
            <w:gridSpan w:val="2"/>
            <w:shd w:val="clear" w:color="auto" w:fill="B3B3B3"/>
            <w:vAlign w:val="center"/>
          </w:tcPr>
          <w:p w14:paraId="7BA7A862" w14:textId="26931A57"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2</w:t>
            </w: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3</w:t>
            </w:r>
          </w:p>
        </w:tc>
        <w:tc>
          <w:tcPr>
            <w:tcW w:w="951" w:type="dxa"/>
            <w:shd w:val="clear" w:color="auto" w:fill="B3B3B3"/>
            <w:vAlign w:val="center"/>
          </w:tcPr>
          <w:p w14:paraId="69F3C0CB" w14:textId="37CEE604"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3</w:t>
            </w: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4</w:t>
            </w:r>
          </w:p>
        </w:tc>
        <w:tc>
          <w:tcPr>
            <w:tcW w:w="972" w:type="dxa"/>
            <w:shd w:val="clear" w:color="auto" w:fill="B3B3B3"/>
            <w:vAlign w:val="center"/>
          </w:tcPr>
          <w:p w14:paraId="47381C10" w14:textId="35912632"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4</w:t>
            </w: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5</w:t>
            </w:r>
          </w:p>
        </w:tc>
        <w:tc>
          <w:tcPr>
            <w:tcW w:w="972" w:type="dxa"/>
            <w:shd w:val="clear" w:color="auto" w:fill="B3B3B3"/>
            <w:vAlign w:val="center"/>
          </w:tcPr>
          <w:p w14:paraId="4E99765E" w14:textId="464D3B18"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5</w:t>
            </w:r>
            <w:r w:rsidR="00BA09C1"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6</w:t>
            </w:r>
          </w:p>
        </w:tc>
        <w:tc>
          <w:tcPr>
            <w:tcW w:w="972" w:type="dxa"/>
            <w:shd w:val="clear" w:color="auto" w:fill="B3B3B3"/>
            <w:vAlign w:val="center"/>
          </w:tcPr>
          <w:p w14:paraId="705EC4D8" w14:textId="2BFA431A"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6</w:t>
            </w: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7</w:t>
            </w:r>
          </w:p>
        </w:tc>
        <w:tc>
          <w:tcPr>
            <w:tcW w:w="972" w:type="dxa"/>
            <w:shd w:val="clear" w:color="auto" w:fill="B3B3B3"/>
            <w:vAlign w:val="center"/>
          </w:tcPr>
          <w:p w14:paraId="7EB2845B" w14:textId="5BD17A36"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7</w:t>
            </w: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8</w:t>
            </w:r>
          </w:p>
        </w:tc>
        <w:tc>
          <w:tcPr>
            <w:tcW w:w="972" w:type="dxa"/>
            <w:shd w:val="clear" w:color="auto" w:fill="B3B3B3"/>
            <w:vAlign w:val="center"/>
          </w:tcPr>
          <w:p w14:paraId="218C9ADC" w14:textId="41F1AC13" w:rsidR="00BA09C1" w:rsidRPr="006F1912" w:rsidRDefault="00F54CE2" w:rsidP="00BA09C1">
            <w:pPr>
              <w:pStyle w:val="BodyText"/>
              <w:jc w:val="right"/>
              <w:rPr>
                <w:rFonts w:ascii="Arial" w:hAnsi="Arial" w:cs="Arial"/>
                <w:b/>
                <w:bCs/>
                <w:sz w:val="22"/>
                <w:szCs w:val="22"/>
                <w:highlight w:val="darkGray"/>
                <w:lang w:val="en-GB"/>
              </w:rPr>
            </w:pPr>
            <w:r w:rsidRP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8</w:t>
            </w:r>
            <w:r w:rsidR="006F1912">
              <w:rPr>
                <w:rFonts w:ascii="Arial" w:hAnsi="Arial" w:cs="Arial"/>
                <w:b/>
                <w:bCs/>
                <w:sz w:val="22"/>
                <w:szCs w:val="22"/>
                <w:highlight w:val="darkGray"/>
                <w:lang w:val="en-GB"/>
              </w:rPr>
              <w:t>/2</w:t>
            </w:r>
            <w:r w:rsidR="00EA4BD2">
              <w:rPr>
                <w:rFonts w:ascii="Arial" w:hAnsi="Arial" w:cs="Arial"/>
                <w:b/>
                <w:bCs/>
                <w:sz w:val="22"/>
                <w:szCs w:val="22"/>
                <w:highlight w:val="darkGray"/>
                <w:lang w:val="en-GB"/>
              </w:rPr>
              <w:t>9</w:t>
            </w:r>
          </w:p>
        </w:tc>
      </w:tr>
      <w:tr w:rsidR="00995309" w:rsidRPr="00D26131" w14:paraId="45266B16" w14:textId="77777777" w:rsidTr="00EA4BD2">
        <w:trPr>
          <w:trHeight w:hRule="exact" w:val="567"/>
        </w:trPr>
        <w:tc>
          <w:tcPr>
            <w:tcW w:w="3510" w:type="dxa"/>
            <w:gridSpan w:val="2"/>
            <w:tcBorders>
              <w:bottom w:val="nil"/>
            </w:tcBorders>
            <w:vAlign w:val="center"/>
          </w:tcPr>
          <w:p w14:paraId="5017821A" w14:textId="77777777" w:rsidR="00995309" w:rsidRPr="00492285" w:rsidRDefault="00995309" w:rsidP="00602541">
            <w:pPr>
              <w:pStyle w:val="BodyText"/>
              <w:rPr>
                <w:rFonts w:ascii="Arial" w:hAnsi="Arial" w:cs="Arial"/>
                <w:b/>
                <w:sz w:val="22"/>
                <w:szCs w:val="22"/>
                <w:lang w:val="en-GB"/>
              </w:rPr>
            </w:pPr>
            <w:r w:rsidRPr="00492285">
              <w:rPr>
                <w:rFonts w:ascii="Arial" w:hAnsi="Arial" w:cs="Arial"/>
                <w:b/>
                <w:sz w:val="22"/>
                <w:szCs w:val="22"/>
                <w:lang w:val="en-GB"/>
              </w:rPr>
              <w:t>Total CFR (PI-2) *</w:t>
            </w:r>
          </w:p>
        </w:tc>
        <w:tc>
          <w:tcPr>
            <w:tcW w:w="993" w:type="dxa"/>
            <w:gridSpan w:val="2"/>
            <w:tcBorders>
              <w:bottom w:val="nil"/>
            </w:tcBorders>
            <w:vAlign w:val="center"/>
          </w:tcPr>
          <w:p w14:paraId="30E6FB89" w14:textId="066CF10D" w:rsidR="00995309" w:rsidRPr="00492285" w:rsidRDefault="006F1912" w:rsidP="00B16013">
            <w:pPr>
              <w:pStyle w:val="BodyText"/>
              <w:jc w:val="right"/>
              <w:rPr>
                <w:rFonts w:ascii="Arial" w:hAnsi="Arial" w:cs="Arial"/>
                <w:b/>
                <w:sz w:val="22"/>
                <w:szCs w:val="22"/>
                <w:lang w:val="en-GB"/>
              </w:rPr>
            </w:pPr>
            <w:r w:rsidRPr="00492285">
              <w:rPr>
                <w:rFonts w:ascii="Arial" w:hAnsi="Arial" w:cs="Arial"/>
                <w:b/>
                <w:sz w:val="22"/>
                <w:szCs w:val="22"/>
                <w:lang w:val="en-GB"/>
              </w:rPr>
              <w:t>34</w:t>
            </w:r>
            <w:r w:rsidR="00EA4BD2">
              <w:rPr>
                <w:rFonts w:ascii="Arial" w:hAnsi="Arial" w:cs="Arial"/>
                <w:b/>
                <w:sz w:val="22"/>
                <w:szCs w:val="22"/>
                <w:lang w:val="en-GB"/>
              </w:rPr>
              <w:t>7.7</w:t>
            </w:r>
          </w:p>
        </w:tc>
        <w:tc>
          <w:tcPr>
            <w:tcW w:w="951" w:type="dxa"/>
            <w:tcBorders>
              <w:bottom w:val="nil"/>
            </w:tcBorders>
            <w:vAlign w:val="center"/>
          </w:tcPr>
          <w:p w14:paraId="284C7350" w14:textId="70AAB622" w:rsidR="00995309" w:rsidRPr="00492285" w:rsidRDefault="00EA4BD2" w:rsidP="007911AA">
            <w:pPr>
              <w:pStyle w:val="BodyText"/>
              <w:jc w:val="right"/>
              <w:rPr>
                <w:rFonts w:ascii="Arial" w:hAnsi="Arial" w:cs="Arial"/>
                <w:b/>
                <w:sz w:val="22"/>
                <w:szCs w:val="22"/>
                <w:lang w:val="en-GB"/>
              </w:rPr>
            </w:pPr>
            <w:r>
              <w:rPr>
                <w:rFonts w:ascii="Arial" w:hAnsi="Arial" w:cs="Arial"/>
                <w:b/>
                <w:sz w:val="22"/>
                <w:szCs w:val="22"/>
                <w:lang w:val="en-GB"/>
              </w:rPr>
              <w:t>415.5</w:t>
            </w:r>
          </w:p>
        </w:tc>
        <w:tc>
          <w:tcPr>
            <w:tcW w:w="972" w:type="dxa"/>
            <w:tcBorders>
              <w:bottom w:val="nil"/>
            </w:tcBorders>
            <w:vAlign w:val="center"/>
          </w:tcPr>
          <w:p w14:paraId="17F094EA" w14:textId="11AD79AB" w:rsidR="00995309" w:rsidRPr="00492285" w:rsidRDefault="006F1912" w:rsidP="007911AA">
            <w:pPr>
              <w:pStyle w:val="BodyText"/>
              <w:jc w:val="right"/>
              <w:rPr>
                <w:rFonts w:ascii="Arial" w:hAnsi="Arial" w:cs="Arial"/>
                <w:b/>
                <w:sz w:val="22"/>
                <w:szCs w:val="22"/>
                <w:lang w:val="en-GB"/>
              </w:rPr>
            </w:pPr>
            <w:r w:rsidRPr="00492285">
              <w:rPr>
                <w:rFonts w:ascii="Arial" w:hAnsi="Arial" w:cs="Arial"/>
                <w:b/>
                <w:sz w:val="22"/>
                <w:szCs w:val="22"/>
                <w:lang w:val="en-GB"/>
              </w:rPr>
              <w:t>4</w:t>
            </w:r>
            <w:r w:rsidR="00EA4BD2">
              <w:rPr>
                <w:rFonts w:ascii="Arial" w:hAnsi="Arial" w:cs="Arial"/>
                <w:b/>
                <w:sz w:val="22"/>
                <w:szCs w:val="22"/>
                <w:lang w:val="en-GB"/>
              </w:rPr>
              <w:t>80.7</w:t>
            </w:r>
          </w:p>
        </w:tc>
        <w:tc>
          <w:tcPr>
            <w:tcW w:w="972" w:type="dxa"/>
            <w:tcBorders>
              <w:bottom w:val="nil"/>
            </w:tcBorders>
            <w:vAlign w:val="center"/>
          </w:tcPr>
          <w:p w14:paraId="038D881D" w14:textId="7BF13FFA" w:rsidR="00995309" w:rsidRPr="00492285" w:rsidRDefault="00492285" w:rsidP="007911AA">
            <w:pPr>
              <w:pStyle w:val="BodyText"/>
              <w:jc w:val="right"/>
              <w:rPr>
                <w:rFonts w:ascii="Arial" w:hAnsi="Arial" w:cs="Arial"/>
                <w:b/>
                <w:sz w:val="22"/>
                <w:szCs w:val="22"/>
                <w:lang w:val="en-GB"/>
              </w:rPr>
            </w:pPr>
            <w:r w:rsidRPr="00492285">
              <w:rPr>
                <w:rFonts w:ascii="Arial" w:hAnsi="Arial" w:cs="Arial"/>
                <w:b/>
                <w:sz w:val="22"/>
                <w:szCs w:val="22"/>
                <w:lang w:val="en-GB"/>
              </w:rPr>
              <w:t>5</w:t>
            </w:r>
            <w:r w:rsidR="00EA4BD2">
              <w:rPr>
                <w:rFonts w:ascii="Arial" w:hAnsi="Arial" w:cs="Arial"/>
                <w:b/>
                <w:sz w:val="22"/>
                <w:szCs w:val="22"/>
                <w:lang w:val="en-GB"/>
              </w:rPr>
              <w:t>32.4</w:t>
            </w:r>
          </w:p>
        </w:tc>
        <w:tc>
          <w:tcPr>
            <w:tcW w:w="972" w:type="dxa"/>
            <w:tcBorders>
              <w:bottom w:val="nil"/>
            </w:tcBorders>
            <w:vAlign w:val="center"/>
          </w:tcPr>
          <w:p w14:paraId="67AB6F5D" w14:textId="30E6737E" w:rsidR="00995309" w:rsidRPr="00492285" w:rsidRDefault="00492285" w:rsidP="007911AA">
            <w:pPr>
              <w:pStyle w:val="BodyText"/>
              <w:jc w:val="right"/>
              <w:rPr>
                <w:rFonts w:ascii="Arial" w:hAnsi="Arial" w:cs="Arial"/>
                <w:b/>
                <w:sz w:val="22"/>
                <w:szCs w:val="22"/>
                <w:lang w:val="en-GB"/>
              </w:rPr>
            </w:pPr>
            <w:r w:rsidRPr="00492285">
              <w:rPr>
                <w:rFonts w:ascii="Arial" w:hAnsi="Arial" w:cs="Arial"/>
                <w:b/>
                <w:sz w:val="22"/>
                <w:szCs w:val="22"/>
                <w:lang w:val="en-GB"/>
              </w:rPr>
              <w:t>5</w:t>
            </w:r>
            <w:r w:rsidR="009848B2">
              <w:rPr>
                <w:rFonts w:ascii="Arial" w:hAnsi="Arial" w:cs="Arial"/>
                <w:b/>
                <w:sz w:val="22"/>
                <w:szCs w:val="22"/>
                <w:lang w:val="en-GB"/>
              </w:rPr>
              <w:t>55.3</w:t>
            </w:r>
          </w:p>
        </w:tc>
        <w:tc>
          <w:tcPr>
            <w:tcW w:w="972" w:type="dxa"/>
            <w:tcBorders>
              <w:bottom w:val="nil"/>
            </w:tcBorders>
            <w:shd w:val="clear" w:color="auto" w:fill="auto"/>
            <w:vAlign w:val="center"/>
          </w:tcPr>
          <w:p w14:paraId="36DC30C8" w14:textId="2D3BBC65" w:rsidR="00995309" w:rsidRPr="00492285" w:rsidRDefault="00492285" w:rsidP="007911AA">
            <w:pPr>
              <w:pStyle w:val="BodyText"/>
              <w:jc w:val="right"/>
              <w:rPr>
                <w:rFonts w:ascii="Arial" w:hAnsi="Arial" w:cs="Arial"/>
                <w:b/>
                <w:sz w:val="22"/>
                <w:szCs w:val="22"/>
                <w:lang w:val="en-GB"/>
              </w:rPr>
            </w:pPr>
            <w:r w:rsidRPr="00492285">
              <w:rPr>
                <w:rFonts w:ascii="Arial" w:hAnsi="Arial" w:cs="Arial"/>
                <w:b/>
                <w:sz w:val="22"/>
                <w:szCs w:val="22"/>
                <w:lang w:val="en-GB"/>
              </w:rPr>
              <w:t>5</w:t>
            </w:r>
            <w:r w:rsidR="009848B2">
              <w:rPr>
                <w:rFonts w:ascii="Arial" w:hAnsi="Arial" w:cs="Arial"/>
                <w:b/>
                <w:sz w:val="22"/>
                <w:szCs w:val="22"/>
                <w:lang w:val="en-GB"/>
              </w:rPr>
              <w:t>76.5</w:t>
            </w:r>
          </w:p>
        </w:tc>
        <w:tc>
          <w:tcPr>
            <w:tcW w:w="972" w:type="dxa"/>
            <w:tcBorders>
              <w:bottom w:val="nil"/>
            </w:tcBorders>
            <w:shd w:val="clear" w:color="auto" w:fill="auto"/>
            <w:vAlign w:val="center"/>
          </w:tcPr>
          <w:p w14:paraId="38483502" w14:textId="55182EA3" w:rsidR="00995309" w:rsidRPr="00492285" w:rsidRDefault="00492285" w:rsidP="00794623">
            <w:pPr>
              <w:pStyle w:val="BodyText"/>
              <w:jc w:val="right"/>
              <w:rPr>
                <w:rFonts w:ascii="Arial" w:hAnsi="Arial" w:cs="Arial"/>
                <w:b/>
                <w:sz w:val="22"/>
                <w:szCs w:val="22"/>
                <w:lang w:val="en-GB"/>
              </w:rPr>
            </w:pPr>
            <w:r w:rsidRPr="00492285">
              <w:rPr>
                <w:rFonts w:ascii="Arial" w:hAnsi="Arial" w:cs="Arial"/>
                <w:b/>
                <w:sz w:val="22"/>
                <w:szCs w:val="22"/>
                <w:lang w:val="en-GB"/>
              </w:rPr>
              <w:t>5</w:t>
            </w:r>
            <w:r w:rsidR="009848B2">
              <w:rPr>
                <w:rFonts w:ascii="Arial" w:hAnsi="Arial" w:cs="Arial"/>
                <w:b/>
                <w:sz w:val="22"/>
                <w:szCs w:val="22"/>
                <w:lang w:val="en-GB"/>
              </w:rPr>
              <w:t>65.3</w:t>
            </w:r>
          </w:p>
        </w:tc>
      </w:tr>
      <w:tr w:rsidR="00995309" w:rsidRPr="00D26131" w14:paraId="745C42F6" w14:textId="77777777" w:rsidTr="00EA4BD2">
        <w:trPr>
          <w:trHeight w:hRule="exact" w:val="567"/>
        </w:trPr>
        <w:tc>
          <w:tcPr>
            <w:tcW w:w="250" w:type="dxa"/>
            <w:tcBorders>
              <w:bottom w:val="single" w:sz="4" w:space="0" w:color="auto"/>
              <w:right w:val="nil"/>
            </w:tcBorders>
          </w:tcPr>
          <w:p w14:paraId="6DE71144" w14:textId="77777777" w:rsidR="00995309" w:rsidRPr="00492285" w:rsidRDefault="00995309" w:rsidP="00602541">
            <w:pPr>
              <w:pStyle w:val="BodyText"/>
              <w:rPr>
                <w:rFonts w:ascii="Arial" w:hAnsi="Arial" w:cs="Arial"/>
                <w:b/>
                <w:iCs/>
                <w:sz w:val="22"/>
                <w:szCs w:val="22"/>
                <w:lang w:val="en-GB"/>
              </w:rPr>
            </w:pPr>
          </w:p>
        </w:tc>
        <w:tc>
          <w:tcPr>
            <w:tcW w:w="10064" w:type="dxa"/>
            <w:gridSpan w:val="9"/>
            <w:tcBorders>
              <w:left w:val="nil"/>
              <w:bottom w:val="single" w:sz="4" w:space="0" w:color="auto"/>
            </w:tcBorders>
            <w:vAlign w:val="center"/>
          </w:tcPr>
          <w:p w14:paraId="548E5B95" w14:textId="77777777" w:rsidR="00995309" w:rsidRPr="00492285" w:rsidRDefault="00995309" w:rsidP="00602541">
            <w:pPr>
              <w:pStyle w:val="BodyText"/>
              <w:rPr>
                <w:rFonts w:ascii="Arial" w:hAnsi="Arial" w:cs="Arial"/>
                <w:sz w:val="22"/>
                <w:szCs w:val="22"/>
                <w:lang w:val="en-GB"/>
              </w:rPr>
            </w:pPr>
            <w:r w:rsidRPr="00492285">
              <w:rPr>
                <w:rFonts w:ascii="Arial" w:hAnsi="Arial" w:cs="Arial"/>
                <w:b/>
                <w:iCs/>
                <w:sz w:val="22"/>
                <w:szCs w:val="22"/>
                <w:lang w:val="en-GB"/>
              </w:rPr>
              <w:t>Movement in CFR represented by:</w:t>
            </w:r>
          </w:p>
        </w:tc>
      </w:tr>
      <w:tr w:rsidR="006F1912" w:rsidRPr="00D26131" w14:paraId="1ED299A7" w14:textId="77777777" w:rsidTr="00EA4BD2">
        <w:trPr>
          <w:trHeight w:hRule="exact" w:val="567"/>
        </w:trPr>
        <w:tc>
          <w:tcPr>
            <w:tcW w:w="3510" w:type="dxa"/>
            <w:gridSpan w:val="2"/>
            <w:tcBorders>
              <w:bottom w:val="nil"/>
            </w:tcBorders>
          </w:tcPr>
          <w:p w14:paraId="1281BD6C" w14:textId="77777777" w:rsidR="006F1912" w:rsidRPr="00492285" w:rsidRDefault="006F1912" w:rsidP="006F1912">
            <w:pPr>
              <w:pStyle w:val="BodyText"/>
              <w:rPr>
                <w:rFonts w:ascii="Arial" w:hAnsi="Arial" w:cs="Arial"/>
                <w:iCs/>
                <w:sz w:val="22"/>
                <w:szCs w:val="22"/>
                <w:lang w:val="en-GB"/>
              </w:rPr>
            </w:pPr>
            <w:r w:rsidRPr="00492285">
              <w:rPr>
                <w:rFonts w:ascii="Arial" w:hAnsi="Arial" w:cs="Arial"/>
                <w:sz w:val="22"/>
                <w:szCs w:val="22"/>
                <w:lang w:val="en-GB"/>
              </w:rPr>
              <w:t>Net financing need for the year (above)</w:t>
            </w:r>
          </w:p>
        </w:tc>
        <w:tc>
          <w:tcPr>
            <w:tcW w:w="972" w:type="dxa"/>
            <w:tcBorders>
              <w:bottom w:val="nil"/>
            </w:tcBorders>
            <w:shd w:val="clear" w:color="auto" w:fill="E0E0E0"/>
          </w:tcPr>
          <w:p w14:paraId="164C9B00" w14:textId="77777777" w:rsidR="006F1912" w:rsidRPr="00492285" w:rsidRDefault="006F1912" w:rsidP="006F1912">
            <w:pPr>
              <w:pStyle w:val="BodyText"/>
              <w:jc w:val="right"/>
              <w:rPr>
                <w:rFonts w:ascii="Arial" w:hAnsi="Arial" w:cs="Arial"/>
                <w:sz w:val="22"/>
                <w:szCs w:val="22"/>
                <w:lang w:val="en-GB"/>
              </w:rPr>
            </w:pPr>
          </w:p>
        </w:tc>
        <w:tc>
          <w:tcPr>
            <w:tcW w:w="972" w:type="dxa"/>
            <w:gridSpan w:val="2"/>
            <w:tcBorders>
              <w:top w:val="single" w:sz="8" w:space="0" w:color="auto"/>
            </w:tcBorders>
            <w:shd w:val="clear" w:color="auto" w:fill="auto"/>
            <w:vAlign w:val="center"/>
          </w:tcPr>
          <w:p w14:paraId="13E2FC69" w14:textId="683A14E2" w:rsidR="006F1912" w:rsidRPr="00492285" w:rsidRDefault="009848B2" w:rsidP="006F1912">
            <w:pPr>
              <w:pStyle w:val="BodyText"/>
              <w:jc w:val="right"/>
              <w:rPr>
                <w:rFonts w:ascii="Arial" w:hAnsi="Arial" w:cs="Arial"/>
                <w:b/>
                <w:sz w:val="22"/>
                <w:szCs w:val="22"/>
                <w:lang w:val="en-GB"/>
              </w:rPr>
            </w:pPr>
            <w:r>
              <w:rPr>
                <w:rFonts w:ascii="Arial" w:hAnsi="Arial" w:cs="Arial"/>
                <w:b/>
                <w:sz w:val="22"/>
                <w:szCs w:val="22"/>
                <w:lang w:val="en-GB"/>
              </w:rPr>
              <w:t>47.9</w:t>
            </w:r>
          </w:p>
        </w:tc>
        <w:tc>
          <w:tcPr>
            <w:tcW w:w="972" w:type="dxa"/>
            <w:tcBorders>
              <w:top w:val="single" w:sz="8" w:space="0" w:color="auto"/>
            </w:tcBorders>
            <w:vAlign w:val="center"/>
          </w:tcPr>
          <w:p w14:paraId="05F9FE79" w14:textId="30EE0BC7" w:rsidR="006F1912" w:rsidRPr="00492285" w:rsidRDefault="006F1912" w:rsidP="006F1912">
            <w:pPr>
              <w:pStyle w:val="BodyText"/>
              <w:tabs>
                <w:tab w:val="center" w:pos="435"/>
                <w:tab w:val="right" w:pos="871"/>
              </w:tabs>
              <w:jc w:val="right"/>
              <w:rPr>
                <w:rFonts w:ascii="Arial" w:hAnsi="Arial" w:cs="Arial"/>
                <w:b/>
                <w:sz w:val="22"/>
                <w:szCs w:val="22"/>
                <w:lang w:val="en-GB"/>
              </w:rPr>
            </w:pPr>
            <w:r w:rsidRPr="00492285">
              <w:rPr>
                <w:rFonts w:ascii="Arial" w:hAnsi="Arial" w:cs="Arial"/>
                <w:b/>
                <w:sz w:val="22"/>
                <w:szCs w:val="22"/>
                <w:lang w:val="en-GB"/>
              </w:rPr>
              <w:t>7</w:t>
            </w:r>
            <w:r w:rsidR="009848B2">
              <w:rPr>
                <w:rFonts w:ascii="Arial" w:hAnsi="Arial" w:cs="Arial"/>
                <w:b/>
                <w:sz w:val="22"/>
                <w:szCs w:val="22"/>
                <w:lang w:val="en-GB"/>
              </w:rPr>
              <w:t>5.3</w:t>
            </w:r>
          </w:p>
        </w:tc>
        <w:tc>
          <w:tcPr>
            <w:tcW w:w="972" w:type="dxa"/>
            <w:tcBorders>
              <w:top w:val="single" w:sz="8" w:space="0" w:color="auto"/>
            </w:tcBorders>
            <w:vAlign w:val="center"/>
          </w:tcPr>
          <w:p w14:paraId="62A40F84" w14:textId="46111954" w:rsidR="006F1912" w:rsidRPr="00492285" w:rsidRDefault="009848B2" w:rsidP="006F1912">
            <w:pPr>
              <w:pStyle w:val="BodyText"/>
              <w:jc w:val="right"/>
              <w:rPr>
                <w:rFonts w:ascii="Arial" w:hAnsi="Arial" w:cs="Arial"/>
                <w:b/>
                <w:sz w:val="22"/>
                <w:szCs w:val="22"/>
                <w:lang w:val="en-GB"/>
              </w:rPr>
            </w:pPr>
            <w:r>
              <w:rPr>
                <w:rFonts w:ascii="Arial" w:hAnsi="Arial" w:cs="Arial"/>
                <w:b/>
                <w:sz w:val="22"/>
                <w:szCs w:val="22"/>
                <w:lang w:val="en-GB"/>
              </w:rPr>
              <w:t>62.9</w:t>
            </w:r>
          </w:p>
        </w:tc>
        <w:tc>
          <w:tcPr>
            <w:tcW w:w="972" w:type="dxa"/>
            <w:tcBorders>
              <w:top w:val="single" w:sz="8" w:space="0" w:color="auto"/>
            </w:tcBorders>
            <w:vAlign w:val="center"/>
          </w:tcPr>
          <w:p w14:paraId="4AF4378F" w14:textId="4104B146" w:rsidR="006F1912" w:rsidRPr="00492285" w:rsidRDefault="009848B2" w:rsidP="006F1912">
            <w:pPr>
              <w:pStyle w:val="BodyText"/>
              <w:jc w:val="right"/>
              <w:rPr>
                <w:rFonts w:ascii="Arial" w:hAnsi="Arial" w:cs="Arial"/>
                <w:b/>
                <w:sz w:val="22"/>
                <w:szCs w:val="22"/>
                <w:lang w:val="en-GB"/>
              </w:rPr>
            </w:pPr>
            <w:r>
              <w:rPr>
                <w:rFonts w:ascii="Arial" w:hAnsi="Arial" w:cs="Arial"/>
                <w:b/>
                <w:sz w:val="22"/>
                <w:szCs w:val="22"/>
                <w:lang w:val="en-GB"/>
              </w:rPr>
              <w:t>35.2</w:t>
            </w:r>
          </w:p>
        </w:tc>
        <w:tc>
          <w:tcPr>
            <w:tcW w:w="972" w:type="dxa"/>
            <w:tcBorders>
              <w:top w:val="single" w:sz="8" w:space="0" w:color="auto"/>
            </w:tcBorders>
            <w:shd w:val="clear" w:color="auto" w:fill="auto"/>
            <w:vAlign w:val="center"/>
          </w:tcPr>
          <w:p w14:paraId="1604456A" w14:textId="0B8AEF75" w:rsidR="006F1912" w:rsidRPr="007911AA" w:rsidRDefault="009848B2" w:rsidP="006F1912">
            <w:pPr>
              <w:pStyle w:val="BodyText"/>
              <w:jc w:val="right"/>
              <w:rPr>
                <w:rFonts w:ascii="Arial" w:hAnsi="Arial" w:cs="Arial"/>
                <w:b/>
                <w:sz w:val="22"/>
                <w:szCs w:val="22"/>
                <w:lang w:val="en-GB"/>
              </w:rPr>
            </w:pPr>
            <w:r>
              <w:rPr>
                <w:rFonts w:ascii="Arial" w:hAnsi="Arial" w:cs="Arial"/>
                <w:b/>
                <w:sz w:val="22"/>
                <w:szCs w:val="22"/>
                <w:lang w:val="en-GB"/>
              </w:rPr>
              <w:t>34.3</w:t>
            </w:r>
          </w:p>
        </w:tc>
        <w:tc>
          <w:tcPr>
            <w:tcW w:w="972" w:type="dxa"/>
            <w:tcBorders>
              <w:top w:val="single" w:sz="8" w:space="0" w:color="auto"/>
            </w:tcBorders>
            <w:shd w:val="clear" w:color="auto" w:fill="auto"/>
            <w:vAlign w:val="center"/>
          </w:tcPr>
          <w:p w14:paraId="3CE7AC87" w14:textId="6DA7A4AA" w:rsidR="006F1912" w:rsidRPr="007911AA" w:rsidRDefault="006F1912" w:rsidP="006F1912">
            <w:pPr>
              <w:pStyle w:val="BodyText"/>
              <w:jc w:val="right"/>
              <w:rPr>
                <w:rFonts w:ascii="Arial" w:hAnsi="Arial" w:cs="Arial"/>
                <w:b/>
                <w:sz w:val="22"/>
                <w:szCs w:val="22"/>
                <w:lang w:val="en-GB"/>
              </w:rPr>
            </w:pPr>
            <w:r w:rsidRPr="007911AA">
              <w:rPr>
                <w:rFonts w:ascii="Arial" w:hAnsi="Arial" w:cs="Arial"/>
                <w:b/>
                <w:sz w:val="22"/>
                <w:szCs w:val="22"/>
                <w:lang w:val="en-GB"/>
              </w:rPr>
              <w:t>2</w:t>
            </w:r>
            <w:r w:rsidR="009848B2">
              <w:rPr>
                <w:rFonts w:ascii="Arial" w:hAnsi="Arial" w:cs="Arial"/>
                <w:b/>
                <w:sz w:val="22"/>
                <w:szCs w:val="22"/>
                <w:lang w:val="en-GB"/>
              </w:rPr>
              <w:t>.9</w:t>
            </w:r>
          </w:p>
        </w:tc>
      </w:tr>
      <w:tr w:rsidR="00995309" w:rsidRPr="00D26131" w14:paraId="362C8A6F" w14:textId="77777777" w:rsidTr="00EA4BD2">
        <w:trPr>
          <w:trHeight w:hRule="exact" w:val="567"/>
        </w:trPr>
        <w:tc>
          <w:tcPr>
            <w:tcW w:w="3510" w:type="dxa"/>
            <w:gridSpan w:val="2"/>
            <w:tcBorders>
              <w:top w:val="nil"/>
            </w:tcBorders>
          </w:tcPr>
          <w:p w14:paraId="105D50A5" w14:textId="77777777" w:rsidR="00995309" w:rsidRPr="007911AA" w:rsidRDefault="00995309" w:rsidP="00602541">
            <w:pPr>
              <w:pStyle w:val="BodyText"/>
              <w:rPr>
                <w:rFonts w:ascii="Arial" w:hAnsi="Arial" w:cs="Arial"/>
                <w:iCs/>
                <w:sz w:val="22"/>
                <w:szCs w:val="22"/>
                <w:lang w:val="en-GB"/>
              </w:rPr>
            </w:pPr>
            <w:r w:rsidRPr="007911AA">
              <w:rPr>
                <w:rFonts w:ascii="Arial" w:hAnsi="Arial" w:cs="Arial"/>
                <w:iCs/>
                <w:sz w:val="22"/>
                <w:szCs w:val="22"/>
                <w:lang w:val="en-GB"/>
              </w:rPr>
              <w:t>Less scheduled debt amortisation and other financing movements</w:t>
            </w:r>
          </w:p>
        </w:tc>
        <w:tc>
          <w:tcPr>
            <w:tcW w:w="972" w:type="dxa"/>
            <w:tcBorders>
              <w:top w:val="nil"/>
            </w:tcBorders>
            <w:shd w:val="clear" w:color="auto" w:fill="E0E0E0"/>
          </w:tcPr>
          <w:p w14:paraId="66EB8D86" w14:textId="77777777" w:rsidR="00995309" w:rsidRPr="007911AA" w:rsidRDefault="00995309" w:rsidP="00602541">
            <w:pPr>
              <w:pStyle w:val="BodyText"/>
              <w:jc w:val="right"/>
              <w:rPr>
                <w:rFonts w:ascii="Arial" w:hAnsi="Arial" w:cs="Arial"/>
                <w:sz w:val="22"/>
                <w:szCs w:val="22"/>
                <w:lang w:val="en-GB"/>
              </w:rPr>
            </w:pPr>
          </w:p>
        </w:tc>
        <w:tc>
          <w:tcPr>
            <w:tcW w:w="972" w:type="dxa"/>
            <w:gridSpan w:val="2"/>
            <w:tcBorders>
              <w:top w:val="nil"/>
            </w:tcBorders>
            <w:vAlign w:val="center"/>
          </w:tcPr>
          <w:p w14:paraId="75A147BC" w14:textId="40C0B8B3" w:rsidR="00995309" w:rsidRPr="004801F1" w:rsidRDefault="009848B2" w:rsidP="006705B9">
            <w:pPr>
              <w:pStyle w:val="BodyText"/>
              <w:jc w:val="right"/>
              <w:rPr>
                <w:rFonts w:ascii="Arial" w:hAnsi="Arial" w:cs="Arial"/>
                <w:sz w:val="22"/>
                <w:szCs w:val="22"/>
                <w:lang w:val="en-GB"/>
              </w:rPr>
            </w:pPr>
            <w:r>
              <w:rPr>
                <w:rFonts w:ascii="Arial" w:hAnsi="Arial" w:cs="Arial"/>
                <w:sz w:val="22"/>
                <w:szCs w:val="22"/>
                <w:lang w:val="en-GB"/>
              </w:rPr>
              <w:t>19.9</w:t>
            </w:r>
          </w:p>
        </w:tc>
        <w:tc>
          <w:tcPr>
            <w:tcW w:w="972" w:type="dxa"/>
            <w:tcBorders>
              <w:top w:val="nil"/>
            </w:tcBorders>
            <w:vAlign w:val="center"/>
          </w:tcPr>
          <w:p w14:paraId="4749F361" w14:textId="42707405" w:rsidR="00995309" w:rsidRPr="004801F1" w:rsidRDefault="00704FEB" w:rsidP="00F71D2A">
            <w:pPr>
              <w:pStyle w:val="BodyText"/>
              <w:jc w:val="right"/>
              <w:rPr>
                <w:rFonts w:ascii="Arial" w:hAnsi="Arial" w:cs="Arial"/>
                <w:sz w:val="22"/>
                <w:szCs w:val="22"/>
                <w:lang w:val="en-GB"/>
              </w:rPr>
            </w:pPr>
            <w:r>
              <w:rPr>
                <w:rFonts w:ascii="Arial" w:hAnsi="Arial" w:cs="Arial"/>
                <w:sz w:val="22"/>
                <w:szCs w:val="22"/>
                <w:lang w:val="en-GB"/>
              </w:rPr>
              <w:t>(</w:t>
            </w:r>
            <w:r w:rsidR="009848B2">
              <w:rPr>
                <w:rFonts w:ascii="Arial" w:hAnsi="Arial" w:cs="Arial"/>
                <w:sz w:val="22"/>
                <w:szCs w:val="22"/>
                <w:lang w:val="en-GB"/>
              </w:rPr>
              <w:t>10</w:t>
            </w:r>
            <w:r w:rsidR="004F5A87">
              <w:rPr>
                <w:rFonts w:ascii="Arial" w:hAnsi="Arial" w:cs="Arial"/>
                <w:sz w:val="22"/>
                <w:szCs w:val="22"/>
                <w:lang w:val="en-GB"/>
              </w:rPr>
              <w:t>.1</w:t>
            </w:r>
            <w:r>
              <w:rPr>
                <w:rFonts w:ascii="Arial" w:hAnsi="Arial" w:cs="Arial"/>
                <w:sz w:val="22"/>
                <w:szCs w:val="22"/>
                <w:lang w:val="en-GB"/>
              </w:rPr>
              <w:t>)</w:t>
            </w:r>
          </w:p>
        </w:tc>
        <w:tc>
          <w:tcPr>
            <w:tcW w:w="972" w:type="dxa"/>
            <w:tcBorders>
              <w:top w:val="nil"/>
            </w:tcBorders>
            <w:vAlign w:val="center"/>
          </w:tcPr>
          <w:p w14:paraId="7B0AA248" w14:textId="2FFDC4BB" w:rsidR="00147CD0" w:rsidRPr="004801F1" w:rsidRDefault="00704FEB" w:rsidP="007911AA">
            <w:pPr>
              <w:pStyle w:val="BodyText"/>
              <w:jc w:val="right"/>
              <w:rPr>
                <w:rFonts w:ascii="Arial" w:hAnsi="Arial" w:cs="Arial"/>
                <w:sz w:val="22"/>
                <w:szCs w:val="22"/>
                <w:lang w:val="en-GB"/>
              </w:rPr>
            </w:pPr>
            <w:r>
              <w:rPr>
                <w:rFonts w:ascii="Arial" w:hAnsi="Arial" w:cs="Arial"/>
                <w:sz w:val="22"/>
                <w:szCs w:val="22"/>
                <w:lang w:val="en-GB"/>
              </w:rPr>
              <w:t>(</w:t>
            </w:r>
            <w:r w:rsidR="00F71D2A">
              <w:rPr>
                <w:rFonts w:ascii="Arial" w:hAnsi="Arial" w:cs="Arial"/>
                <w:sz w:val="22"/>
                <w:szCs w:val="22"/>
                <w:lang w:val="en-GB"/>
              </w:rPr>
              <w:t>1</w:t>
            </w:r>
            <w:r w:rsidR="004F5A87">
              <w:rPr>
                <w:rFonts w:ascii="Arial" w:hAnsi="Arial" w:cs="Arial"/>
                <w:sz w:val="22"/>
                <w:szCs w:val="22"/>
                <w:lang w:val="en-GB"/>
              </w:rPr>
              <w:t>1.2</w:t>
            </w:r>
            <w:r>
              <w:rPr>
                <w:rFonts w:ascii="Arial" w:hAnsi="Arial" w:cs="Arial"/>
                <w:sz w:val="22"/>
                <w:szCs w:val="22"/>
                <w:lang w:val="en-GB"/>
              </w:rPr>
              <w:t>)</w:t>
            </w:r>
          </w:p>
        </w:tc>
        <w:tc>
          <w:tcPr>
            <w:tcW w:w="972" w:type="dxa"/>
            <w:tcBorders>
              <w:top w:val="nil"/>
            </w:tcBorders>
            <w:vAlign w:val="center"/>
          </w:tcPr>
          <w:p w14:paraId="6200A063" w14:textId="4E93BB3D" w:rsidR="00995309" w:rsidRPr="007911AA" w:rsidRDefault="00897994" w:rsidP="005B0675">
            <w:pPr>
              <w:pStyle w:val="BodyText"/>
              <w:jc w:val="right"/>
              <w:rPr>
                <w:rFonts w:ascii="Arial" w:hAnsi="Arial" w:cs="Arial"/>
                <w:sz w:val="22"/>
                <w:szCs w:val="22"/>
                <w:lang w:val="en-GB"/>
              </w:rPr>
            </w:pPr>
            <w:r w:rsidRPr="007911AA">
              <w:rPr>
                <w:rFonts w:ascii="Arial" w:hAnsi="Arial" w:cs="Arial"/>
                <w:sz w:val="22"/>
                <w:szCs w:val="22"/>
                <w:lang w:val="en-GB"/>
              </w:rPr>
              <w:t>(1</w:t>
            </w:r>
            <w:r w:rsidR="004F5A87">
              <w:rPr>
                <w:rFonts w:ascii="Arial" w:hAnsi="Arial" w:cs="Arial"/>
                <w:sz w:val="22"/>
                <w:szCs w:val="22"/>
                <w:lang w:val="en-GB"/>
              </w:rPr>
              <w:t>2.3</w:t>
            </w:r>
            <w:r w:rsidRPr="007911AA">
              <w:rPr>
                <w:rFonts w:ascii="Arial" w:hAnsi="Arial" w:cs="Arial"/>
                <w:sz w:val="22"/>
                <w:szCs w:val="22"/>
                <w:lang w:val="en-GB"/>
              </w:rPr>
              <w:t>)</w:t>
            </w:r>
          </w:p>
        </w:tc>
        <w:tc>
          <w:tcPr>
            <w:tcW w:w="972" w:type="dxa"/>
            <w:tcBorders>
              <w:top w:val="nil"/>
            </w:tcBorders>
            <w:shd w:val="clear" w:color="auto" w:fill="auto"/>
            <w:vAlign w:val="center"/>
          </w:tcPr>
          <w:p w14:paraId="4D15D619" w14:textId="7C0D5EB7" w:rsidR="00995309" w:rsidRPr="007911AA" w:rsidRDefault="001A5124" w:rsidP="007911AA">
            <w:pPr>
              <w:pStyle w:val="BodyText"/>
              <w:jc w:val="right"/>
              <w:rPr>
                <w:rFonts w:ascii="Arial" w:hAnsi="Arial" w:cs="Arial"/>
                <w:sz w:val="22"/>
                <w:szCs w:val="22"/>
                <w:lang w:val="en-GB"/>
              </w:rPr>
            </w:pPr>
            <w:r w:rsidRPr="007911AA">
              <w:rPr>
                <w:rFonts w:ascii="Arial" w:hAnsi="Arial" w:cs="Arial"/>
                <w:sz w:val="22"/>
                <w:szCs w:val="22"/>
                <w:lang w:val="en-GB"/>
              </w:rPr>
              <w:t>(</w:t>
            </w:r>
            <w:r w:rsidR="00F470D8" w:rsidRPr="007911AA">
              <w:rPr>
                <w:rFonts w:ascii="Arial" w:hAnsi="Arial" w:cs="Arial"/>
                <w:sz w:val="22"/>
                <w:szCs w:val="22"/>
                <w:lang w:val="en-GB"/>
              </w:rPr>
              <w:t>1</w:t>
            </w:r>
            <w:r w:rsidR="004F5A87">
              <w:rPr>
                <w:rFonts w:ascii="Arial" w:hAnsi="Arial" w:cs="Arial"/>
                <w:sz w:val="22"/>
                <w:szCs w:val="22"/>
                <w:lang w:val="en-GB"/>
              </w:rPr>
              <w:t>3</w:t>
            </w:r>
            <w:r w:rsidR="00F71D2A">
              <w:rPr>
                <w:rFonts w:ascii="Arial" w:hAnsi="Arial" w:cs="Arial"/>
                <w:sz w:val="22"/>
                <w:szCs w:val="22"/>
                <w:lang w:val="en-GB"/>
              </w:rPr>
              <w:t>.1</w:t>
            </w:r>
            <w:r w:rsidR="007911AA" w:rsidRPr="007911AA">
              <w:rPr>
                <w:rFonts w:ascii="Arial" w:hAnsi="Arial" w:cs="Arial"/>
                <w:sz w:val="22"/>
                <w:szCs w:val="22"/>
                <w:lang w:val="en-GB"/>
              </w:rPr>
              <w:t>)</w:t>
            </w:r>
          </w:p>
        </w:tc>
        <w:tc>
          <w:tcPr>
            <w:tcW w:w="972" w:type="dxa"/>
            <w:tcBorders>
              <w:top w:val="nil"/>
            </w:tcBorders>
            <w:shd w:val="clear" w:color="auto" w:fill="auto"/>
            <w:vAlign w:val="center"/>
          </w:tcPr>
          <w:p w14:paraId="59C358A5" w14:textId="0A949A11" w:rsidR="00995309" w:rsidRPr="007911AA" w:rsidRDefault="00F71D2A" w:rsidP="005B0675">
            <w:pPr>
              <w:pStyle w:val="BodyText"/>
              <w:jc w:val="right"/>
              <w:rPr>
                <w:rFonts w:ascii="Arial" w:hAnsi="Arial" w:cs="Arial"/>
                <w:sz w:val="22"/>
                <w:szCs w:val="22"/>
                <w:lang w:val="en-GB"/>
              </w:rPr>
            </w:pPr>
            <w:r>
              <w:rPr>
                <w:rFonts w:ascii="Arial" w:hAnsi="Arial" w:cs="Arial"/>
                <w:sz w:val="22"/>
                <w:szCs w:val="22"/>
                <w:lang w:val="en-GB"/>
              </w:rPr>
              <w:t>(1</w:t>
            </w:r>
            <w:r w:rsidR="004F5A87">
              <w:rPr>
                <w:rFonts w:ascii="Arial" w:hAnsi="Arial" w:cs="Arial"/>
                <w:sz w:val="22"/>
                <w:szCs w:val="22"/>
                <w:lang w:val="en-GB"/>
              </w:rPr>
              <w:t>4.1</w:t>
            </w:r>
            <w:r w:rsidR="00897994" w:rsidRPr="007911AA">
              <w:rPr>
                <w:rFonts w:ascii="Arial" w:hAnsi="Arial" w:cs="Arial"/>
                <w:sz w:val="22"/>
                <w:szCs w:val="22"/>
                <w:lang w:val="en-GB"/>
              </w:rPr>
              <w:t>)</w:t>
            </w:r>
          </w:p>
        </w:tc>
      </w:tr>
      <w:tr w:rsidR="00995309" w:rsidRPr="00D26131" w14:paraId="5D4A3E89" w14:textId="77777777" w:rsidTr="00EA4BD2">
        <w:trPr>
          <w:trHeight w:hRule="exact" w:val="567"/>
        </w:trPr>
        <w:tc>
          <w:tcPr>
            <w:tcW w:w="3510" w:type="dxa"/>
            <w:gridSpan w:val="2"/>
          </w:tcPr>
          <w:p w14:paraId="4C1C0024" w14:textId="77777777" w:rsidR="00EA4BD2" w:rsidRDefault="00EA4BD2" w:rsidP="00602541">
            <w:pPr>
              <w:pStyle w:val="BodyText"/>
              <w:rPr>
                <w:rFonts w:ascii="Arial" w:hAnsi="Arial" w:cs="Arial"/>
                <w:b/>
                <w:iCs/>
                <w:sz w:val="22"/>
                <w:szCs w:val="22"/>
                <w:lang w:val="en-GB"/>
              </w:rPr>
            </w:pPr>
          </w:p>
          <w:p w14:paraId="65C78BA7" w14:textId="04FBD4B6" w:rsidR="00995309" w:rsidRPr="007911AA" w:rsidRDefault="00995309" w:rsidP="00602541">
            <w:pPr>
              <w:pStyle w:val="BodyText"/>
              <w:rPr>
                <w:rFonts w:ascii="Arial" w:hAnsi="Arial" w:cs="Arial"/>
                <w:b/>
                <w:iCs/>
                <w:sz w:val="22"/>
                <w:szCs w:val="22"/>
                <w:lang w:val="en-GB"/>
              </w:rPr>
            </w:pPr>
            <w:r w:rsidRPr="007911AA">
              <w:rPr>
                <w:rFonts w:ascii="Arial" w:hAnsi="Arial" w:cs="Arial"/>
                <w:b/>
                <w:iCs/>
                <w:sz w:val="22"/>
                <w:szCs w:val="22"/>
                <w:lang w:val="en-GB"/>
              </w:rPr>
              <w:t>Movement in CFR</w:t>
            </w:r>
          </w:p>
        </w:tc>
        <w:tc>
          <w:tcPr>
            <w:tcW w:w="972" w:type="dxa"/>
            <w:shd w:val="clear" w:color="auto" w:fill="E0E0E0"/>
          </w:tcPr>
          <w:p w14:paraId="334582E0" w14:textId="77777777" w:rsidR="00995309" w:rsidRPr="007911AA" w:rsidRDefault="00995309" w:rsidP="00602541">
            <w:pPr>
              <w:pStyle w:val="BodyText"/>
              <w:jc w:val="right"/>
              <w:rPr>
                <w:rFonts w:ascii="Arial" w:hAnsi="Arial" w:cs="Arial"/>
                <w:b/>
                <w:sz w:val="22"/>
                <w:szCs w:val="22"/>
                <w:lang w:val="en-GB"/>
              </w:rPr>
            </w:pPr>
          </w:p>
        </w:tc>
        <w:tc>
          <w:tcPr>
            <w:tcW w:w="972" w:type="dxa"/>
            <w:gridSpan w:val="2"/>
            <w:vAlign w:val="bottom"/>
          </w:tcPr>
          <w:p w14:paraId="0CBA92DC" w14:textId="292FD5F6" w:rsidR="00995309" w:rsidRPr="007911AA" w:rsidRDefault="009848B2" w:rsidP="007911AA">
            <w:pPr>
              <w:pStyle w:val="BodyText"/>
              <w:jc w:val="right"/>
              <w:rPr>
                <w:rFonts w:ascii="Arial" w:hAnsi="Arial" w:cs="Arial"/>
                <w:b/>
                <w:sz w:val="22"/>
                <w:szCs w:val="22"/>
                <w:lang w:val="en-GB"/>
              </w:rPr>
            </w:pPr>
            <w:r>
              <w:rPr>
                <w:rFonts w:ascii="Arial" w:hAnsi="Arial" w:cs="Arial"/>
                <w:b/>
                <w:sz w:val="22"/>
                <w:szCs w:val="22"/>
                <w:lang w:val="en-GB"/>
              </w:rPr>
              <w:t>67.8</w:t>
            </w:r>
          </w:p>
        </w:tc>
        <w:tc>
          <w:tcPr>
            <w:tcW w:w="972" w:type="dxa"/>
            <w:vAlign w:val="bottom"/>
          </w:tcPr>
          <w:p w14:paraId="6CA0C056" w14:textId="2AE9E290" w:rsidR="00995309" w:rsidRPr="0044522E" w:rsidRDefault="004F5A87" w:rsidP="007911AA">
            <w:pPr>
              <w:pStyle w:val="BodyText"/>
              <w:jc w:val="right"/>
              <w:rPr>
                <w:rFonts w:ascii="Arial" w:hAnsi="Arial" w:cs="Arial"/>
                <w:b/>
                <w:sz w:val="22"/>
                <w:szCs w:val="22"/>
                <w:highlight w:val="yellow"/>
                <w:lang w:val="en-GB"/>
              </w:rPr>
            </w:pPr>
            <w:r>
              <w:rPr>
                <w:rFonts w:ascii="Arial" w:hAnsi="Arial" w:cs="Arial"/>
                <w:b/>
                <w:sz w:val="22"/>
                <w:szCs w:val="22"/>
                <w:lang w:val="en-GB"/>
              </w:rPr>
              <w:t>65.2</w:t>
            </w:r>
          </w:p>
        </w:tc>
        <w:tc>
          <w:tcPr>
            <w:tcW w:w="972" w:type="dxa"/>
            <w:vAlign w:val="bottom"/>
          </w:tcPr>
          <w:p w14:paraId="6DFF88D8" w14:textId="54D57AE6" w:rsidR="00995309" w:rsidRPr="007911AA" w:rsidRDefault="004F5A87" w:rsidP="001377EB">
            <w:pPr>
              <w:pStyle w:val="BodyText"/>
              <w:jc w:val="right"/>
              <w:rPr>
                <w:rFonts w:ascii="Arial" w:hAnsi="Arial" w:cs="Arial"/>
                <w:b/>
                <w:sz w:val="22"/>
                <w:szCs w:val="22"/>
                <w:lang w:val="en-GB"/>
              </w:rPr>
            </w:pPr>
            <w:r>
              <w:rPr>
                <w:rFonts w:ascii="Arial" w:hAnsi="Arial" w:cs="Arial"/>
                <w:b/>
                <w:sz w:val="22"/>
                <w:szCs w:val="22"/>
                <w:lang w:val="en-GB"/>
              </w:rPr>
              <w:t>51.7</w:t>
            </w:r>
          </w:p>
        </w:tc>
        <w:tc>
          <w:tcPr>
            <w:tcW w:w="972" w:type="dxa"/>
            <w:vAlign w:val="bottom"/>
          </w:tcPr>
          <w:p w14:paraId="7F31ABFE" w14:textId="30A7BAC7" w:rsidR="00897994" w:rsidRPr="007911AA" w:rsidRDefault="004F5A87" w:rsidP="001377EB">
            <w:pPr>
              <w:pStyle w:val="BodyText"/>
              <w:jc w:val="right"/>
              <w:rPr>
                <w:rFonts w:ascii="Arial" w:hAnsi="Arial" w:cs="Arial"/>
                <w:b/>
                <w:sz w:val="22"/>
                <w:szCs w:val="22"/>
                <w:lang w:val="en-GB"/>
              </w:rPr>
            </w:pPr>
            <w:r>
              <w:rPr>
                <w:rFonts w:ascii="Arial" w:hAnsi="Arial" w:cs="Arial"/>
                <w:b/>
                <w:sz w:val="22"/>
                <w:szCs w:val="22"/>
                <w:lang w:val="en-GB"/>
              </w:rPr>
              <w:t>22.9</w:t>
            </w:r>
          </w:p>
        </w:tc>
        <w:tc>
          <w:tcPr>
            <w:tcW w:w="972" w:type="dxa"/>
            <w:shd w:val="clear" w:color="auto" w:fill="auto"/>
            <w:vAlign w:val="bottom"/>
          </w:tcPr>
          <w:p w14:paraId="2FA03446" w14:textId="3D2C692A" w:rsidR="00995309" w:rsidRPr="007911AA" w:rsidRDefault="004F5A87" w:rsidP="001377EB">
            <w:pPr>
              <w:pStyle w:val="BodyText"/>
              <w:jc w:val="right"/>
              <w:rPr>
                <w:rFonts w:ascii="Arial" w:hAnsi="Arial" w:cs="Arial"/>
                <w:b/>
                <w:sz w:val="22"/>
                <w:szCs w:val="22"/>
                <w:lang w:val="en-GB"/>
              </w:rPr>
            </w:pPr>
            <w:r>
              <w:rPr>
                <w:rFonts w:ascii="Arial" w:hAnsi="Arial" w:cs="Arial"/>
                <w:b/>
                <w:sz w:val="22"/>
                <w:szCs w:val="22"/>
                <w:lang w:val="en-GB"/>
              </w:rPr>
              <w:t>21.2</w:t>
            </w:r>
          </w:p>
        </w:tc>
        <w:tc>
          <w:tcPr>
            <w:tcW w:w="972" w:type="dxa"/>
            <w:shd w:val="clear" w:color="auto" w:fill="auto"/>
            <w:vAlign w:val="bottom"/>
          </w:tcPr>
          <w:p w14:paraId="300224CB" w14:textId="0FEDFBF4" w:rsidR="00995309" w:rsidRPr="007911AA" w:rsidRDefault="004F5A87" w:rsidP="00BB7AFC">
            <w:pPr>
              <w:pStyle w:val="BodyText"/>
              <w:jc w:val="right"/>
              <w:rPr>
                <w:rFonts w:ascii="Arial" w:hAnsi="Arial" w:cs="Arial"/>
                <w:b/>
                <w:sz w:val="22"/>
                <w:szCs w:val="22"/>
                <w:lang w:val="en-GB"/>
              </w:rPr>
            </w:pPr>
            <w:r>
              <w:rPr>
                <w:rFonts w:ascii="Arial" w:hAnsi="Arial" w:cs="Arial"/>
                <w:b/>
                <w:sz w:val="22"/>
                <w:szCs w:val="22"/>
                <w:lang w:val="en-GB"/>
              </w:rPr>
              <w:t>(11.2)</w:t>
            </w:r>
          </w:p>
        </w:tc>
      </w:tr>
    </w:tbl>
    <w:p w14:paraId="044DEFDB" w14:textId="43446559" w:rsidR="00857680" w:rsidRPr="004801F1" w:rsidRDefault="00857680" w:rsidP="00704FEB">
      <w:pPr>
        <w:pStyle w:val="BodyTextIndent"/>
        <w:ind w:left="567" w:hanging="567"/>
        <w:jc w:val="left"/>
        <w:rPr>
          <w:b w:val="0"/>
          <w:i/>
          <w:color w:val="auto"/>
          <w:sz w:val="20"/>
          <w:szCs w:val="20"/>
        </w:rPr>
      </w:pPr>
      <w:r w:rsidRPr="004801F1">
        <w:rPr>
          <w:b w:val="0"/>
          <w:i/>
          <w:color w:val="auto"/>
          <w:sz w:val="20"/>
          <w:szCs w:val="20"/>
        </w:rPr>
        <w:t xml:space="preserve">*    </w:t>
      </w:r>
      <w:r w:rsidRPr="004801F1">
        <w:rPr>
          <w:b w:val="0"/>
          <w:i/>
          <w:color w:val="auto"/>
          <w:sz w:val="20"/>
          <w:szCs w:val="20"/>
        </w:rPr>
        <w:tab/>
        <w:t>The CFR for this calculation includes</w:t>
      </w:r>
      <w:r w:rsidR="00704FEB">
        <w:rPr>
          <w:b w:val="0"/>
          <w:i/>
          <w:color w:val="auto"/>
          <w:sz w:val="20"/>
          <w:szCs w:val="20"/>
        </w:rPr>
        <w:t xml:space="preserve"> projected</w:t>
      </w:r>
      <w:r w:rsidRPr="004801F1">
        <w:rPr>
          <w:b w:val="0"/>
          <w:i/>
          <w:color w:val="auto"/>
          <w:sz w:val="20"/>
          <w:szCs w:val="20"/>
        </w:rPr>
        <w:t xml:space="preserve"> capital expenditure to 31 March of each financial year</w:t>
      </w:r>
      <w:r w:rsidR="00704FEB">
        <w:rPr>
          <w:b w:val="0"/>
          <w:i/>
          <w:color w:val="auto"/>
          <w:sz w:val="20"/>
          <w:szCs w:val="20"/>
        </w:rPr>
        <w:t xml:space="preserve"> and the retrospective service concession arrangements for 23/24</w:t>
      </w:r>
      <w:r w:rsidRPr="004801F1">
        <w:rPr>
          <w:b w:val="0"/>
          <w:i/>
          <w:color w:val="auto"/>
          <w:sz w:val="20"/>
          <w:szCs w:val="20"/>
        </w:rPr>
        <w:t>.</w:t>
      </w:r>
    </w:p>
    <w:p w14:paraId="76A31254" w14:textId="77777777" w:rsidR="002D20B4" w:rsidRPr="00D26131" w:rsidRDefault="002D20B4" w:rsidP="00857680">
      <w:pPr>
        <w:pStyle w:val="BodyTextIndent"/>
        <w:ind w:left="0"/>
        <w:jc w:val="left"/>
        <w:rPr>
          <w:b w:val="0"/>
          <w:i/>
          <w:color w:val="auto"/>
          <w:sz w:val="20"/>
          <w:szCs w:val="20"/>
          <w:highlight w:val="yellow"/>
        </w:rPr>
      </w:pPr>
    </w:p>
    <w:p w14:paraId="690317F3" w14:textId="6225AFE6" w:rsidR="008357CF" w:rsidRPr="007E3CD3" w:rsidRDefault="00857680" w:rsidP="005B34C4">
      <w:pPr>
        <w:numPr>
          <w:ilvl w:val="2"/>
          <w:numId w:val="33"/>
        </w:numPr>
        <w:tabs>
          <w:tab w:val="clear" w:pos="720"/>
          <w:tab w:val="num" w:pos="567"/>
        </w:tabs>
        <w:ind w:left="567" w:hanging="567"/>
        <w:rPr>
          <w:rFonts w:cs="Arial"/>
          <w:sz w:val="22"/>
          <w:szCs w:val="22"/>
        </w:rPr>
      </w:pPr>
      <w:r w:rsidRPr="00B41BBD">
        <w:rPr>
          <w:rFonts w:cs="Arial"/>
          <w:spacing w:val="0"/>
          <w:sz w:val="22"/>
          <w:szCs w:val="22"/>
        </w:rPr>
        <w:t xml:space="preserve">A key aspect of the regulatory and professional guidance is that elected members are aware of the size and scope of any commercial activity in relation to the authority’s overall financial position.  </w:t>
      </w:r>
      <w:r w:rsidR="00E84859" w:rsidRPr="00B41BBD">
        <w:rPr>
          <w:rFonts w:cs="Arial"/>
          <w:spacing w:val="0"/>
          <w:sz w:val="22"/>
          <w:szCs w:val="22"/>
        </w:rPr>
        <w:t>This Council does not currently have any commercial activity.</w:t>
      </w:r>
    </w:p>
    <w:p w14:paraId="36BAB3CC" w14:textId="77777777" w:rsidR="0020745D" w:rsidRPr="0020745D" w:rsidRDefault="0020745D" w:rsidP="00F54CE2">
      <w:pPr>
        <w:pStyle w:val="subhead"/>
        <w:rPr>
          <w:noProof w:val="0"/>
          <w:color w:val="993366"/>
          <w:spacing w:val="-5"/>
          <w:sz w:val="24"/>
          <w:szCs w:val="24"/>
        </w:rPr>
      </w:pPr>
      <w:bookmarkStart w:id="22" w:name="_Toc121218176"/>
      <w:r w:rsidRPr="0020745D">
        <w:rPr>
          <w:noProof w:val="0"/>
          <w:color w:val="993366"/>
          <w:spacing w:val="-5"/>
          <w:sz w:val="24"/>
          <w:szCs w:val="24"/>
        </w:rPr>
        <w:t>3.4</w:t>
      </w:r>
      <w:r>
        <w:rPr>
          <w:noProof w:val="0"/>
          <w:color w:val="993366"/>
          <w:spacing w:val="-5"/>
          <w:sz w:val="24"/>
          <w:szCs w:val="24"/>
        </w:rPr>
        <w:tab/>
      </w:r>
      <w:r w:rsidRPr="00DF53D6">
        <w:rPr>
          <w:noProof w:val="0"/>
          <w:color w:val="993366"/>
          <w:spacing w:val="-5"/>
          <w:sz w:val="24"/>
          <w:szCs w:val="24"/>
        </w:rPr>
        <w:t>Liability Benchmark</w:t>
      </w:r>
      <w:bookmarkEnd w:id="22"/>
    </w:p>
    <w:p w14:paraId="33906FE1" w14:textId="686C0E3B" w:rsidR="0020745D" w:rsidRDefault="00BB3E02" w:rsidP="0020745D">
      <w:pPr>
        <w:pStyle w:val="BodyText"/>
        <w:spacing w:before="120" w:after="120"/>
        <w:ind w:left="720"/>
        <w:jc w:val="both"/>
        <w:rPr>
          <w:rFonts w:ascii="Arial" w:hAnsi="Arial" w:cs="Arial"/>
          <w:iCs/>
          <w:color w:val="000000" w:themeColor="text1"/>
          <w:sz w:val="22"/>
          <w:szCs w:val="22"/>
        </w:rPr>
      </w:pPr>
      <w:r>
        <w:rPr>
          <w:rFonts w:ascii="Arial" w:hAnsi="Arial" w:cs="Arial"/>
          <w:iCs/>
          <w:color w:val="000000" w:themeColor="text1"/>
          <w:sz w:val="22"/>
          <w:szCs w:val="22"/>
        </w:rPr>
        <w:t>The</w:t>
      </w:r>
      <w:r w:rsidR="0020745D">
        <w:rPr>
          <w:rFonts w:ascii="Arial" w:hAnsi="Arial" w:cs="Arial"/>
          <w:iCs/>
          <w:color w:val="000000" w:themeColor="text1"/>
          <w:sz w:val="22"/>
          <w:szCs w:val="22"/>
        </w:rPr>
        <w:t xml:space="preserve"> third</w:t>
      </w:r>
      <w:r w:rsidR="003B50C7">
        <w:rPr>
          <w:rFonts w:ascii="Arial" w:hAnsi="Arial" w:cs="Arial"/>
          <w:iCs/>
          <w:color w:val="000000" w:themeColor="text1"/>
          <w:sz w:val="22"/>
          <w:szCs w:val="22"/>
        </w:rPr>
        <w:t xml:space="preserve"> </w:t>
      </w:r>
      <w:r w:rsidR="0020745D">
        <w:rPr>
          <w:rFonts w:ascii="Arial" w:hAnsi="Arial" w:cs="Arial"/>
          <w:iCs/>
          <w:color w:val="000000" w:themeColor="text1"/>
          <w:sz w:val="22"/>
          <w:szCs w:val="22"/>
        </w:rPr>
        <w:t>prudential indicator is the Liability Benchmark (LB).  The Authority is required to</w:t>
      </w:r>
      <w:r w:rsidR="0020745D" w:rsidRPr="00F86C02">
        <w:rPr>
          <w:rFonts w:ascii="Arial" w:hAnsi="Arial" w:cs="Arial"/>
          <w:iCs/>
          <w:color w:val="000000" w:themeColor="text1"/>
          <w:sz w:val="22"/>
          <w:szCs w:val="22"/>
        </w:rPr>
        <w:t xml:space="preserve"> estimate and measure the </w:t>
      </w:r>
      <w:r w:rsidR="0020745D">
        <w:rPr>
          <w:rFonts w:ascii="Arial" w:hAnsi="Arial" w:cs="Arial"/>
          <w:iCs/>
          <w:color w:val="000000" w:themeColor="text1"/>
          <w:sz w:val="22"/>
          <w:szCs w:val="22"/>
        </w:rPr>
        <w:t>LB</w:t>
      </w:r>
      <w:r w:rsidR="0020745D" w:rsidRPr="00F86C02">
        <w:rPr>
          <w:rFonts w:ascii="Arial" w:hAnsi="Arial" w:cs="Arial"/>
          <w:iCs/>
          <w:color w:val="000000" w:themeColor="text1"/>
          <w:sz w:val="22"/>
          <w:szCs w:val="22"/>
        </w:rPr>
        <w:t xml:space="preserve"> for the forthcoming financial year and the following two financial years</w:t>
      </w:r>
      <w:r w:rsidR="0020745D">
        <w:rPr>
          <w:rFonts w:ascii="Arial" w:hAnsi="Arial" w:cs="Arial"/>
          <w:iCs/>
          <w:color w:val="000000" w:themeColor="text1"/>
          <w:sz w:val="22"/>
          <w:szCs w:val="22"/>
        </w:rPr>
        <w:t>, as a minimum</w:t>
      </w:r>
      <w:r w:rsidR="00833159">
        <w:rPr>
          <w:rFonts w:ascii="Arial" w:hAnsi="Arial" w:cs="Arial"/>
          <w:iCs/>
          <w:color w:val="000000" w:themeColor="text1"/>
          <w:sz w:val="22"/>
          <w:szCs w:val="22"/>
        </w:rPr>
        <w:t xml:space="preserve"> however CIPFA strongly recommends that the LB is produce</w:t>
      </w:r>
      <w:r w:rsidR="00BF38DB">
        <w:rPr>
          <w:rFonts w:ascii="Arial" w:hAnsi="Arial" w:cs="Arial"/>
          <w:iCs/>
          <w:color w:val="000000" w:themeColor="text1"/>
          <w:sz w:val="22"/>
          <w:szCs w:val="22"/>
        </w:rPr>
        <w:t>d</w:t>
      </w:r>
      <w:r w:rsidR="00833159">
        <w:rPr>
          <w:rFonts w:ascii="Arial" w:hAnsi="Arial" w:cs="Arial"/>
          <w:iCs/>
          <w:color w:val="000000" w:themeColor="text1"/>
          <w:sz w:val="22"/>
          <w:szCs w:val="22"/>
        </w:rPr>
        <w:t xml:space="preserve"> for at least ten years.  </w:t>
      </w:r>
      <w:r w:rsidR="00DF53D6">
        <w:rPr>
          <w:rFonts w:ascii="Arial" w:hAnsi="Arial" w:cs="Arial"/>
          <w:iCs/>
          <w:color w:val="000000" w:themeColor="text1"/>
          <w:sz w:val="22"/>
          <w:szCs w:val="22"/>
        </w:rPr>
        <w:t xml:space="preserve">The Council has measured the LB for a </w:t>
      </w:r>
      <w:proofErr w:type="gramStart"/>
      <w:r w:rsidR="00833159">
        <w:rPr>
          <w:rFonts w:ascii="Arial" w:hAnsi="Arial" w:cs="Arial"/>
          <w:iCs/>
          <w:color w:val="000000" w:themeColor="text1"/>
          <w:sz w:val="22"/>
          <w:szCs w:val="22"/>
        </w:rPr>
        <w:t>ten</w:t>
      </w:r>
      <w:r w:rsidR="00DF53D6">
        <w:rPr>
          <w:rFonts w:ascii="Arial" w:hAnsi="Arial" w:cs="Arial"/>
          <w:iCs/>
          <w:color w:val="000000" w:themeColor="text1"/>
          <w:sz w:val="22"/>
          <w:szCs w:val="22"/>
        </w:rPr>
        <w:t xml:space="preserve"> year</w:t>
      </w:r>
      <w:proofErr w:type="gramEnd"/>
      <w:r w:rsidR="00DF53D6">
        <w:rPr>
          <w:rFonts w:ascii="Arial" w:hAnsi="Arial" w:cs="Arial"/>
          <w:iCs/>
          <w:color w:val="000000" w:themeColor="text1"/>
          <w:sz w:val="22"/>
          <w:szCs w:val="22"/>
        </w:rPr>
        <w:t xml:space="preserve"> period in line with the Capital Plan as shown in the graph below.</w:t>
      </w:r>
    </w:p>
    <w:p w14:paraId="50223F26" w14:textId="77777777" w:rsidR="0020745D" w:rsidRDefault="0020745D" w:rsidP="00DF53D6">
      <w:pPr>
        <w:pStyle w:val="BodyText"/>
        <w:spacing w:before="120" w:after="120"/>
        <w:ind w:firstLine="720"/>
        <w:jc w:val="both"/>
        <w:rPr>
          <w:rFonts w:ascii="Arial" w:hAnsi="Arial" w:cs="Arial"/>
          <w:iCs/>
          <w:color w:val="000000" w:themeColor="text1"/>
          <w:sz w:val="22"/>
          <w:szCs w:val="22"/>
        </w:rPr>
      </w:pPr>
      <w:r>
        <w:rPr>
          <w:rFonts w:ascii="Arial" w:hAnsi="Arial" w:cs="Arial"/>
          <w:iCs/>
          <w:color w:val="000000" w:themeColor="text1"/>
          <w:sz w:val="22"/>
          <w:szCs w:val="22"/>
        </w:rPr>
        <w:t>There are four components to the LB: -</w:t>
      </w:r>
    </w:p>
    <w:p w14:paraId="4CDD7A08" w14:textId="69D7C98A" w:rsidR="0020745D" w:rsidRPr="00F86C02" w:rsidRDefault="0020745D" w:rsidP="00493D08">
      <w:pPr>
        <w:pStyle w:val="BodyText"/>
        <w:numPr>
          <w:ilvl w:val="0"/>
          <w:numId w:val="55"/>
        </w:numPr>
        <w:spacing w:before="120" w:after="120"/>
        <w:jc w:val="both"/>
        <w:rPr>
          <w:rFonts w:ascii="Arial" w:hAnsi="Arial" w:cs="Arial"/>
          <w:iCs/>
          <w:color w:val="000000" w:themeColor="text1"/>
          <w:sz w:val="22"/>
          <w:szCs w:val="22"/>
        </w:rPr>
      </w:pPr>
      <w:r w:rsidRPr="00DF53D6">
        <w:rPr>
          <w:rFonts w:ascii="Arial" w:hAnsi="Arial" w:cs="Arial"/>
          <w:b/>
          <w:color w:val="993366"/>
          <w:spacing w:val="-5"/>
          <w:sz w:val="22"/>
          <w:szCs w:val="22"/>
          <w:lang w:val="en-GB"/>
        </w:rPr>
        <w:t>Existing loan debt outstanding</w:t>
      </w:r>
      <w:r w:rsidRPr="00F86C02">
        <w:rPr>
          <w:rFonts w:ascii="Arial" w:hAnsi="Arial" w:cs="Arial"/>
          <w:iCs/>
          <w:color w:val="000000" w:themeColor="text1"/>
          <w:sz w:val="22"/>
          <w:szCs w:val="22"/>
        </w:rPr>
        <w:t xml:space="preserve">: the </w:t>
      </w:r>
      <w:r>
        <w:rPr>
          <w:rFonts w:ascii="Arial" w:hAnsi="Arial" w:cs="Arial"/>
          <w:iCs/>
          <w:color w:val="000000" w:themeColor="text1"/>
          <w:sz w:val="22"/>
          <w:szCs w:val="22"/>
        </w:rPr>
        <w:t>A</w:t>
      </w:r>
      <w:r w:rsidRPr="00F86C02">
        <w:rPr>
          <w:rFonts w:ascii="Arial" w:hAnsi="Arial" w:cs="Arial"/>
          <w:iCs/>
          <w:color w:val="000000" w:themeColor="text1"/>
          <w:sz w:val="22"/>
          <w:szCs w:val="22"/>
        </w:rPr>
        <w:t>uthority’s existing loans that are still outstanding in future years</w:t>
      </w:r>
      <w:r w:rsidR="00E55CD7">
        <w:rPr>
          <w:rFonts w:ascii="Arial" w:hAnsi="Arial" w:cs="Arial"/>
          <w:iCs/>
          <w:color w:val="000000" w:themeColor="text1"/>
          <w:sz w:val="22"/>
          <w:szCs w:val="22"/>
        </w:rPr>
        <w:t>, with no new borrowing added.</w:t>
      </w:r>
    </w:p>
    <w:p w14:paraId="679F6DF4" w14:textId="77777777" w:rsidR="0020745D" w:rsidRDefault="0020745D" w:rsidP="00493D08">
      <w:pPr>
        <w:pStyle w:val="BodyText"/>
        <w:numPr>
          <w:ilvl w:val="0"/>
          <w:numId w:val="55"/>
        </w:numPr>
        <w:spacing w:before="120" w:after="120"/>
        <w:jc w:val="both"/>
        <w:rPr>
          <w:rFonts w:ascii="Arial" w:hAnsi="Arial" w:cs="Arial"/>
          <w:iCs/>
          <w:color w:val="000000" w:themeColor="text1"/>
          <w:sz w:val="22"/>
          <w:szCs w:val="22"/>
        </w:rPr>
      </w:pPr>
      <w:r w:rsidRPr="00DF53D6">
        <w:rPr>
          <w:rFonts w:ascii="Arial" w:hAnsi="Arial" w:cs="Arial"/>
          <w:b/>
          <w:color w:val="993366"/>
          <w:spacing w:val="-5"/>
          <w:sz w:val="22"/>
          <w:szCs w:val="22"/>
          <w:lang w:val="en-GB"/>
        </w:rPr>
        <w:t>Loans CFR</w:t>
      </w:r>
      <w:r w:rsidRPr="00F86C02">
        <w:rPr>
          <w:rFonts w:ascii="Arial" w:hAnsi="Arial" w:cs="Arial"/>
          <w:iCs/>
          <w:color w:val="000000" w:themeColor="text1"/>
          <w:sz w:val="22"/>
          <w:szCs w:val="22"/>
        </w:rPr>
        <w:t xml:space="preserve">: </w:t>
      </w:r>
      <w:r>
        <w:rPr>
          <w:rFonts w:ascii="Arial" w:hAnsi="Arial" w:cs="Arial"/>
          <w:iCs/>
          <w:color w:val="000000" w:themeColor="text1"/>
          <w:sz w:val="22"/>
          <w:szCs w:val="22"/>
        </w:rPr>
        <w:t xml:space="preserve">this is </w:t>
      </w:r>
      <w:r w:rsidRPr="00F86C02">
        <w:rPr>
          <w:rFonts w:ascii="Arial" w:hAnsi="Arial" w:cs="Arial"/>
          <w:iCs/>
          <w:color w:val="000000" w:themeColor="text1"/>
          <w:sz w:val="22"/>
          <w:szCs w:val="22"/>
        </w:rPr>
        <w:t xml:space="preserve">calculated in accordance with the loans CFR definition in the Prudential Code and projected into the future based on approved prudential borrowing and planned </w:t>
      </w:r>
      <w:r>
        <w:rPr>
          <w:rFonts w:ascii="Arial" w:hAnsi="Arial" w:cs="Arial"/>
          <w:iCs/>
          <w:color w:val="000000" w:themeColor="text1"/>
          <w:sz w:val="22"/>
          <w:szCs w:val="22"/>
        </w:rPr>
        <w:t>Loans Fund advances/Loans Fund principal repayments.</w:t>
      </w:r>
      <w:r w:rsidRPr="00F86C02">
        <w:rPr>
          <w:rFonts w:ascii="Arial" w:hAnsi="Arial" w:cs="Arial"/>
          <w:iCs/>
          <w:color w:val="000000" w:themeColor="text1"/>
          <w:sz w:val="22"/>
          <w:szCs w:val="22"/>
        </w:rPr>
        <w:t xml:space="preserve"> </w:t>
      </w:r>
    </w:p>
    <w:p w14:paraId="383FEBA5" w14:textId="77777777" w:rsidR="0020745D" w:rsidRDefault="0020745D" w:rsidP="00493D08">
      <w:pPr>
        <w:pStyle w:val="BodyText"/>
        <w:numPr>
          <w:ilvl w:val="0"/>
          <w:numId w:val="55"/>
        </w:numPr>
        <w:spacing w:before="120" w:after="120"/>
        <w:jc w:val="both"/>
        <w:rPr>
          <w:rFonts w:ascii="Arial" w:hAnsi="Arial" w:cs="Arial"/>
          <w:iCs/>
          <w:color w:val="000000" w:themeColor="text1"/>
          <w:sz w:val="22"/>
          <w:szCs w:val="22"/>
        </w:rPr>
      </w:pPr>
      <w:r w:rsidRPr="00DF53D6">
        <w:rPr>
          <w:rFonts w:ascii="Arial" w:hAnsi="Arial" w:cs="Arial"/>
          <w:b/>
          <w:color w:val="993366"/>
          <w:spacing w:val="-5"/>
          <w:sz w:val="22"/>
          <w:szCs w:val="22"/>
          <w:lang w:val="en-GB"/>
        </w:rPr>
        <w:t>Net loans requirement</w:t>
      </w:r>
      <w:r w:rsidRPr="00F86C02">
        <w:rPr>
          <w:rFonts w:ascii="Arial" w:hAnsi="Arial" w:cs="Arial"/>
          <w:iCs/>
          <w:color w:val="000000" w:themeColor="text1"/>
          <w:sz w:val="22"/>
          <w:szCs w:val="22"/>
        </w:rPr>
        <w:t>: th</w:t>
      </w:r>
      <w:r>
        <w:rPr>
          <w:rFonts w:ascii="Arial" w:hAnsi="Arial" w:cs="Arial"/>
          <w:iCs/>
          <w:color w:val="000000" w:themeColor="text1"/>
          <w:sz w:val="22"/>
          <w:szCs w:val="22"/>
        </w:rPr>
        <w:t>is will show the</w:t>
      </w:r>
      <w:r w:rsidRPr="00F86C02">
        <w:rPr>
          <w:rFonts w:ascii="Arial" w:hAnsi="Arial" w:cs="Arial"/>
          <w:iCs/>
          <w:color w:val="000000" w:themeColor="text1"/>
          <w:sz w:val="22"/>
          <w:szCs w:val="22"/>
        </w:rPr>
        <w:t xml:space="preserve"> </w:t>
      </w:r>
      <w:r>
        <w:rPr>
          <w:rFonts w:ascii="Arial" w:hAnsi="Arial" w:cs="Arial"/>
          <w:iCs/>
          <w:color w:val="000000" w:themeColor="text1"/>
          <w:sz w:val="22"/>
          <w:szCs w:val="22"/>
        </w:rPr>
        <w:t>A</w:t>
      </w:r>
      <w:r w:rsidRPr="00F86C02">
        <w:rPr>
          <w:rFonts w:ascii="Arial" w:hAnsi="Arial" w:cs="Arial"/>
          <w:iCs/>
          <w:color w:val="000000" w:themeColor="text1"/>
          <w:sz w:val="22"/>
          <w:szCs w:val="22"/>
        </w:rPr>
        <w:t xml:space="preserve">uthority’s gross loan debt less treasury management investments at the last financial year-end, projected into the future and based on its approved prudential borrowing, planned </w:t>
      </w:r>
      <w:r>
        <w:rPr>
          <w:rFonts w:ascii="Arial" w:hAnsi="Arial" w:cs="Arial"/>
          <w:iCs/>
          <w:color w:val="000000" w:themeColor="text1"/>
          <w:sz w:val="22"/>
          <w:szCs w:val="22"/>
        </w:rPr>
        <w:t>Loans Fund principal repayments</w:t>
      </w:r>
      <w:r w:rsidRPr="00F86C02">
        <w:rPr>
          <w:rFonts w:ascii="Arial" w:hAnsi="Arial" w:cs="Arial"/>
          <w:iCs/>
          <w:color w:val="000000" w:themeColor="text1"/>
          <w:sz w:val="22"/>
          <w:szCs w:val="22"/>
        </w:rPr>
        <w:t xml:space="preserve"> and any other major cash flows forecast. </w:t>
      </w:r>
    </w:p>
    <w:p w14:paraId="397A498A" w14:textId="77777777" w:rsidR="0020745D" w:rsidRPr="00F86C02" w:rsidRDefault="0020745D" w:rsidP="00493D08">
      <w:pPr>
        <w:pStyle w:val="BodyText"/>
        <w:numPr>
          <w:ilvl w:val="0"/>
          <w:numId w:val="55"/>
        </w:numPr>
        <w:spacing w:before="120" w:after="120"/>
        <w:jc w:val="both"/>
        <w:rPr>
          <w:rFonts w:ascii="Arial" w:hAnsi="Arial" w:cs="Arial"/>
          <w:iCs/>
          <w:color w:val="000000" w:themeColor="text1"/>
          <w:sz w:val="22"/>
          <w:szCs w:val="22"/>
        </w:rPr>
      </w:pPr>
      <w:r w:rsidRPr="00DF53D6">
        <w:rPr>
          <w:rFonts w:ascii="Arial" w:hAnsi="Arial" w:cs="Arial"/>
          <w:b/>
          <w:color w:val="993366"/>
          <w:spacing w:val="-5"/>
          <w:sz w:val="22"/>
          <w:szCs w:val="22"/>
          <w:lang w:val="en-GB"/>
        </w:rPr>
        <w:t>Liability benchmark</w:t>
      </w:r>
      <w:r w:rsidRPr="00F86C02">
        <w:rPr>
          <w:rFonts w:ascii="Arial" w:hAnsi="Arial" w:cs="Arial"/>
          <w:iCs/>
          <w:color w:val="000000" w:themeColor="text1"/>
          <w:sz w:val="22"/>
          <w:szCs w:val="22"/>
        </w:rPr>
        <w:t xml:space="preserve"> (or gross loans requirement)</w:t>
      </w:r>
      <w:r>
        <w:rPr>
          <w:rFonts w:ascii="Arial" w:hAnsi="Arial" w:cs="Arial"/>
          <w:iCs/>
          <w:color w:val="000000" w:themeColor="text1"/>
          <w:sz w:val="22"/>
          <w:szCs w:val="22"/>
        </w:rPr>
        <w:t>: this</w:t>
      </w:r>
      <w:r w:rsidRPr="00F86C02">
        <w:rPr>
          <w:rFonts w:ascii="Arial" w:hAnsi="Arial" w:cs="Arial"/>
          <w:iCs/>
          <w:color w:val="000000" w:themeColor="text1"/>
          <w:sz w:val="22"/>
          <w:szCs w:val="22"/>
        </w:rPr>
        <w:t xml:space="preserve"> equals net loans requirement plus short-term liquidity allowance. </w:t>
      </w:r>
    </w:p>
    <w:p w14:paraId="042E0378" w14:textId="73E08289" w:rsidR="0020745D" w:rsidRDefault="00383B66" w:rsidP="0020745D">
      <w:pPr>
        <w:pStyle w:val="BodyText"/>
        <w:spacing w:before="120" w:after="120"/>
        <w:ind w:left="720"/>
        <w:jc w:val="both"/>
        <w:rPr>
          <w:rFonts w:ascii="Arial" w:hAnsi="Arial" w:cs="Arial"/>
          <w:iCs/>
          <w:color w:val="000000" w:themeColor="text1"/>
          <w:sz w:val="22"/>
          <w:szCs w:val="22"/>
        </w:rPr>
      </w:pPr>
      <w:r w:rsidRPr="00383B66">
        <w:rPr>
          <w:rFonts w:ascii="Arial" w:hAnsi="Arial" w:cs="Arial"/>
          <w:iCs/>
          <w:color w:val="000000" w:themeColor="text1"/>
          <w:sz w:val="22"/>
          <w:szCs w:val="22"/>
        </w:rPr>
        <w:t xml:space="preserve">The graph </w:t>
      </w:r>
      <w:r w:rsidR="00DF53D6">
        <w:rPr>
          <w:rFonts w:ascii="Arial" w:hAnsi="Arial" w:cs="Arial"/>
          <w:iCs/>
          <w:color w:val="000000" w:themeColor="text1"/>
          <w:sz w:val="22"/>
          <w:szCs w:val="22"/>
        </w:rPr>
        <w:t xml:space="preserve">below </w:t>
      </w:r>
      <w:r w:rsidRPr="00383B66">
        <w:rPr>
          <w:rFonts w:ascii="Arial" w:hAnsi="Arial" w:cs="Arial"/>
          <w:iCs/>
          <w:color w:val="000000" w:themeColor="text1"/>
          <w:sz w:val="22"/>
          <w:szCs w:val="22"/>
        </w:rPr>
        <w:t xml:space="preserve">shows </w:t>
      </w:r>
      <w:r w:rsidR="00DF53D6">
        <w:rPr>
          <w:rFonts w:ascii="Arial" w:hAnsi="Arial" w:cs="Arial"/>
          <w:iCs/>
          <w:color w:val="000000" w:themeColor="text1"/>
          <w:sz w:val="22"/>
          <w:szCs w:val="22"/>
        </w:rPr>
        <w:t xml:space="preserve">the Council to be in </w:t>
      </w:r>
      <w:r w:rsidRPr="00383B66">
        <w:rPr>
          <w:rFonts w:ascii="Arial" w:hAnsi="Arial" w:cs="Arial"/>
          <w:iCs/>
          <w:color w:val="000000" w:themeColor="text1"/>
          <w:sz w:val="22"/>
          <w:szCs w:val="22"/>
        </w:rPr>
        <w:t>an under-borrowed position</w:t>
      </w:r>
      <w:r w:rsidR="00E63C8D" w:rsidRPr="00E63C8D">
        <w:rPr>
          <w:rFonts w:ascii="Arial" w:hAnsi="Arial" w:cs="Arial"/>
          <w:iCs/>
          <w:color w:val="000000" w:themeColor="text1"/>
          <w:sz w:val="22"/>
          <w:szCs w:val="22"/>
        </w:rPr>
        <w:t xml:space="preserve"> with a requirement for further borrowing in future years</w:t>
      </w:r>
      <w:r w:rsidRPr="00383B66">
        <w:rPr>
          <w:rFonts w:ascii="Arial" w:hAnsi="Arial" w:cs="Arial"/>
          <w:iCs/>
          <w:color w:val="000000" w:themeColor="text1"/>
          <w:sz w:val="22"/>
          <w:szCs w:val="22"/>
        </w:rPr>
        <w:t xml:space="preserve">.  The Council will actively monitor </w:t>
      </w:r>
      <w:r>
        <w:rPr>
          <w:rFonts w:ascii="Arial" w:hAnsi="Arial" w:cs="Arial"/>
          <w:iCs/>
          <w:color w:val="000000" w:themeColor="text1"/>
          <w:sz w:val="22"/>
          <w:szCs w:val="22"/>
        </w:rPr>
        <w:t>the progress of the Cap</w:t>
      </w:r>
      <w:r w:rsidRPr="00383B66">
        <w:rPr>
          <w:rFonts w:ascii="Arial" w:hAnsi="Arial" w:cs="Arial"/>
          <w:iCs/>
          <w:color w:val="000000" w:themeColor="text1"/>
          <w:sz w:val="22"/>
          <w:szCs w:val="22"/>
        </w:rPr>
        <w:t xml:space="preserve">ital Plan and align </w:t>
      </w:r>
      <w:r w:rsidR="00DF53D6">
        <w:rPr>
          <w:rFonts w:ascii="Arial" w:hAnsi="Arial" w:cs="Arial"/>
          <w:iCs/>
          <w:color w:val="000000" w:themeColor="text1"/>
          <w:sz w:val="22"/>
          <w:szCs w:val="22"/>
        </w:rPr>
        <w:t>forecast spend</w:t>
      </w:r>
      <w:r w:rsidRPr="00383B66">
        <w:rPr>
          <w:rFonts w:ascii="Arial" w:hAnsi="Arial" w:cs="Arial"/>
          <w:iCs/>
          <w:color w:val="000000" w:themeColor="text1"/>
          <w:sz w:val="22"/>
          <w:szCs w:val="22"/>
        </w:rPr>
        <w:t xml:space="preserve"> to the most efficient borrowing options available</w:t>
      </w:r>
      <w:r w:rsidR="00DF53D6">
        <w:rPr>
          <w:rFonts w:ascii="Arial" w:hAnsi="Arial" w:cs="Arial"/>
          <w:iCs/>
          <w:color w:val="000000" w:themeColor="text1"/>
          <w:sz w:val="22"/>
          <w:szCs w:val="22"/>
        </w:rPr>
        <w:t xml:space="preserve"> at that time</w:t>
      </w:r>
      <w:r w:rsidRPr="00383B66">
        <w:rPr>
          <w:rFonts w:ascii="Arial" w:hAnsi="Arial" w:cs="Arial"/>
          <w:iCs/>
          <w:color w:val="000000" w:themeColor="text1"/>
          <w:sz w:val="22"/>
          <w:szCs w:val="22"/>
        </w:rPr>
        <w:t>.</w:t>
      </w:r>
      <w:r w:rsidR="00DF53D6">
        <w:rPr>
          <w:rFonts w:ascii="Arial" w:hAnsi="Arial" w:cs="Arial"/>
          <w:iCs/>
          <w:color w:val="000000" w:themeColor="text1"/>
          <w:sz w:val="22"/>
          <w:szCs w:val="22"/>
        </w:rPr>
        <w:t xml:space="preserve">  </w:t>
      </w:r>
    </w:p>
    <w:p w14:paraId="0136B704" w14:textId="77777777" w:rsidR="00383B66" w:rsidRDefault="00383B66" w:rsidP="0020745D">
      <w:pPr>
        <w:pStyle w:val="BodyText"/>
        <w:spacing w:before="120" w:after="120"/>
        <w:ind w:left="720"/>
        <w:jc w:val="both"/>
        <w:rPr>
          <w:rFonts w:ascii="Arial" w:hAnsi="Arial" w:cs="Arial"/>
          <w:iCs/>
          <w:color w:val="000000" w:themeColor="text1"/>
          <w:sz w:val="22"/>
          <w:szCs w:val="22"/>
        </w:rPr>
      </w:pPr>
    </w:p>
    <w:p w14:paraId="1E86D52D"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4698C6DA"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2FCFE26C"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6699DAD9"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03A40D85"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7983F8BA" w14:textId="77777777" w:rsidR="000722E3" w:rsidRDefault="000722E3" w:rsidP="0020745D">
      <w:pPr>
        <w:pStyle w:val="BodyText"/>
        <w:spacing w:before="120" w:after="120"/>
        <w:ind w:left="720"/>
        <w:jc w:val="both"/>
        <w:rPr>
          <w:rFonts w:ascii="Arial" w:hAnsi="Arial" w:cs="Arial"/>
          <w:iCs/>
          <w:color w:val="000000" w:themeColor="text1"/>
          <w:sz w:val="22"/>
          <w:szCs w:val="22"/>
        </w:rPr>
      </w:pPr>
    </w:p>
    <w:p w14:paraId="5F820071" w14:textId="77777777" w:rsidR="00704FEB" w:rsidRDefault="00704FEB" w:rsidP="0020745D">
      <w:pPr>
        <w:pStyle w:val="BodyText"/>
        <w:spacing w:before="120" w:after="120"/>
        <w:ind w:left="720"/>
        <w:jc w:val="both"/>
        <w:rPr>
          <w:rFonts w:ascii="Arial" w:hAnsi="Arial" w:cs="Arial"/>
          <w:iCs/>
          <w:color w:val="000000" w:themeColor="text1"/>
          <w:sz w:val="22"/>
          <w:szCs w:val="22"/>
        </w:rPr>
      </w:pPr>
    </w:p>
    <w:p w14:paraId="673B0B0A" w14:textId="12EE4382" w:rsidR="000722E3" w:rsidRDefault="00713219" w:rsidP="0020745D">
      <w:pPr>
        <w:pStyle w:val="BodyText"/>
        <w:spacing w:before="120" w:after="120"/>
        <w:ind w:left="720"/>
        <w:jc w:val="both"/>
        <w:rPr>
          <w:rFonts w:ascii="Arial" w:hAnsi="Arial" w:cs="Arial"/>
          <w:iCs/>
          <w:color w:val="000000" w:themeColor="text1"/>
          <w:sz w:val="22"/>
          <w:szCs w:val="22"/>
        </w:rPr>
      </w:pPr>
      <w:r>
        <w:rPr>
          <w:rFonts w:ascii="Arial" w:hAnsi="Arial" w:cs="Arial"/>
          <w:iCs/>
          <w:noProof/>
          <w:color w:val="000000" w:themeColor="text1"/>
          <w:sz w:val="22"/>
          <w:szCs w:val="22"/>
        </w:rPr>
        <w:drawing>
          <wp:inline distT="0" distB="0" distL="0" distR="0" wp14:anchorId="00B9F9C6" wp14:editId="15BE3A14">
            <wp:extent cx="5800412" cy="3783165"/>
            <wp:effectExtent l="0" t="0" r="0" b="8255"/>
            <wp:docPr id="1539806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954" cy="3812217"/>
                    </a:xfrm>
                    <a:prstGeom prst="rect">
                      <a:avLst/>
                    </a:prstGeom>
                    <a:noFill/>
                  </pic:spPr>
                </pic:pic>
              </a:graphicData>
            </a:graphic>
          </wp:inline>
        </w:drawing>
      </w:r>
    </w:p>
    <w:p w14:paraId="3F9C22A1" w14:textId="64EA97E0" w:rsidR="00383B66" w:rsidRDefault="00383B66" w:rsidP="00592F6B">
      <w:pPr>
        <w:ind w:left="567"/>
        <w:rPr>
          <w:rFonts w:cs="Arial"/>
          <w:sz w:val="22"/>
          <w:szCs w:val="22"/>
          <w:highlight w:val="yellow"/>
        </w:rPr>
      </w:pPr>
    </w:p>
    <w:p w14:paraId="16D150DB" w14:textId="77777777" w:rsidR="00DF53D6" w:rsidRPr="00D26131" w:rsidRDefault="00DF53D6" w:rsidP="00592F6B">
      <w:pPr>
        <w:ind w:left="567"/>
        <w:rPr>
          <w:rFonts w:cs="Arial"/>
          <w:sz w:val="22"/>
          <w:szCs w:val="22"/>
          <w:highlight w:val="yellow"/>
        </w:rPr>
      </w:pPr>
    </w:p>
    <w:p w14:paraId="04100881" w14:textId="77777777" w:rsidR="00754CCA" w:rsidRPr="0020745D" w:rsidRDefault="00754CCA" w:rsidP="005B34C4">
      <w:pPr>
        <w:pStyle w:val="ListParagraph"/>
        <w:numPr>
          <w:ilvl w:val="1"/>
          <w:numId w:val="33"/>
        </w:numPr>
        <w:rPr>
          <w:rFonts w:cs="Arial"/>
          <w:sz w:val="22"/>
          <w:szCs w:val="22"/>
        </w:rPr>
      </w:pPr>
      <w:r w:rsidRPr="0020745D">
        <w:rPr>
          <w:rFonts w:cs="Arial"/>
          <w:b/>
          <w:color w:val="993366"/>
          <w:sz w:val="24"/>
          <w:szCs w:val="24"/>
        </w:rPr>
        <w:t>Statutory Repayment of Loans Fund Advances</w:t>
      </w:r>
    </w:p>
    <w:p w14:paraId="7622DD4E" w14:textId="77777777" w:rsidR="00754CCA" w:rsidRPr="00B41BBD" w:rsidRDefault="00754CCA" w:rsidP="00754CCA">
      <w:pPr>
        <w:ind w:left="567"/>
        <w:rPr>
          <w:rFonts w:cs="Arial"/>
          <w:sz w:val="22"/>
          <w:szCs w:val="22"/>
        </w:rPr>
      </w:pPr>
    </w:p>
    <w:p w14:paraId="3290EC21" w14:textId="77777777" w:rsidR="00B15AE2" w:rsidRPr="00B41BBD" w:rsidRDefault="00B15AE2" w:rsidP="005B34C4">
      <w:pPr>
        <w:pStyle w:val="ListParagraph"/>
        <w:numPr>
          <w:ilvl w:val="0"/>
          <w:numId w:val="46"/>
        </w:numPr>
        <w:ind w:left="567" w:hanging="567"/>
        <w:rPr>
          <w:rFonts w:cs="Arial"/>
          <w:sz w:val="22"/>
          <w:szCs w:val="22"/>
        </w:rPr>
      </w:pPr>
      <w:r w:rsidRPr="00B41BBD">
        <w:rPr>
          <w:rFonts w:cs="Arial"/>
          <w:sz w:val="22"/>
          <w:szCs w:val="22"/>
        </w:rPr>
        <w:t>The Council is required to set out its policy for the statutory repayment of loans fund advances prior to the start of the financial year. The repayment of loans fund advances ensures that the Council makes a prudent provision each year to pay off an element of the accumulated loans fund advances made in previous financial years.</w:t>
      </w:r>
    </w:p>
    <w:p w14:paraId="7CBF6BF3" w14:textId="77777777" w:rsidR="00B15AE2" w:rsidRPr="00B41BBD" w:rsidRDefault="00B15AE2" w:rsidP="00B15AE2">
      <w:pPr>
        <w:ind w:left="567" w:hanging="567"/>
        <w:rPr>
          <w:rFonts w:cs="Arial"/>
          <w:sz w:val="22"/>
          <w:szCs w:val="22"/>
        </w:rPr>
      </w:pPr>
    </w:p>
    <w:p w14:paraId="569D51CC" w14:textId="77777777" w:rsidR="00B15AE2" w:rsidRPr="00B41BBD" w:rsidRDefault="00B15AE2" w:rsidP="005B34C4">
      <w:pPr>
        <w:pStyle w:val="ListParagraph"/>
        <w:numPr>
          <w:ilvl w:val="0"/>
          <w:numId w:val="46"/>
        </w:numPr>
        <w:spacing w:after="120"/>
        <w:ind w:left="567" w:hanging="567"/>
        <w:rPr>
          <w:rFonts w:cs="Arial"/>
          <w:sz w:val="22"/>
          <w:szCs w:val="22"/>
        </w:rPr>
      </w:pPr>
      <w:r w:rsidRPr="00B41BBD">
        <w:rPr>
          <w:rFonts w:cs="Arial"/>
          <w:sz w:val="22"/>
          <w:szCs w:val="22"/>
        </w:rPr>
        <w:t>A variety of options are provided to Councils so long as a prudent provision is made each year.  The Council is recommended to approve the following policy on the repayment of loans fund advances:-</w:t>
      </w:r>
    </w:p>
    <w:p w14:paraId="6C57D726" w14:textId="77777777" w:rsidR="00B15AE2" w:rsidRPr="00754D1B" w:rsidRDefault="00B15AE2" w:rsidP="00B15AE2">
      <w:pPr>
        <w:spacing w:after="120"/>
        <w:ind w:left="567"/>
        <w:rPr>
          <w:rFonts w:cs="Arial"/>
          <w:i/>
          <w:iCs/>
          <w:color w:val="0000FF"/>
          <w:sz w:val="22"/>
          <w:szCs w:val="22"/>
        </w:rPr>
      </w:pPr>
      <w:r w:rsidRPr="00754D1B">
        <w:rPr>
          <w:rFonts w:cs="Arial"/>
          <w:sz w:val="22"/>
          <w:szCs w:val="22"/>
        </w:rPr>
        <w:t xml:space="preserve">For loans fund advances made before 1 April 2016, the policy will be to maintain the practice of previous years and apply the </w:t>
      </w:r>
      <w:r w:rsidRPr="00754D1B">
        <w:rPr>
          <w:rFonts w:cs="Arial"/>
          <w:b/>
          <w:bCs/>
          <w:sz w:val="22"/>
          <w:szCs w:val="22"/>
        </w:rPr>
        <w:t>Statutory Method (option 1)</w:t>
      </w:r>
      <w:r w:rsidRPr="00754D1B">
        <w:rPr>
          <w:rFonts w:cs="Arial"/>
          <w:sz w:val="22"/>
          <w:szCs w:val="22"/>
        </w:rPr>
        <w:t xml:space="preserve">, with all loans fund advances being </w:t>
      </w:r>
      <w:r w:rsidR="00380D67" w:rsidRPr="00754D1B">
        <w:rPr>
          <w:rFonts w:cs="Arial"/>
          <w:color w:val="000000" w:themeColor="text1"/>
          <w:sz w:val="22"/>
          <w:szCs w:val="22"/>
        </w:rPr>
        <w:t xml:space="preserve">repaid </w:t>
      </w:r>
      <w:r w:rsidRPr="00754D1B">
        <w:rPr>
          <w:rFonts w:cs="Arial"/>
          <w:color w:val="000000" w:themeColor="text1"/>
          <w:sz w:val="22"/>
          <w:szCs w:val="22"/>
        </w:rPr>
        <w:t>by the annuity method</w:t>
      </w:r>
      <w:r w:rsidR="00612AE4" w:rsidRPr="00754D1B">
        <w:rPr>
          <w:rFonts w:cs="Arial"/>
          <w:color w:val="000000" w:themeColor="text1"/>
          <w:sz w:val="22"/>
          <w:szCs w:val="22"/>
        </w:rPr>
        <w:t>.</w:t>
      </w:r>
    </w:p>
    <w:p w14:paraId="00E5B70F" w14:textId="77777777" w:rsidR="00B15AE2" w:rsidRPr="00754D1B" w:rsidRDefault="00B15AE2" w:rsidP="005A475D">
      <w:pPr>
        <w:spacing w:after="120"/>
        <w:ind w:left="567"/>
        <w:rPr>
          <w:rFonts w:cs="Arial"/>
          <w:sz w:val="22"/>
          <w:szCs w:val="22"/>
        </w:rPr>
      </w:pPr>
      <w:r w:rsidRPr="00754D1B">
        <w:rPr>
          <w:rFonts w:cs="Arial"/>
          <w:sz w:val="22"/>
          <w:szCs w:val="22"/>
        </w:rPr>
        <w:t>For loans fund advances made after 1 April 2016, the policy for the repayment of loans advances will be the</w:t>
      </w:r>
      <w:r w:rsidRPr="00754D1B">
        <w:rPr>
          <w:rFonts w:cs="Arial"/>
          <w:i/>
          <w:iCs/>
          <w:sz w:val="22"/>
          <w:szCs w:val="22"/>
        </w:rPr>
        <w:t xml:space="preserve">:- </w:t>
      </w:r>
    </w:p>
    <w:p w14:paraId="07AC5D72" w14:textId="32915A53" w:rsidR="00B15AE2" w:rsidRPr="00754D1B" w:rsidRDefault="00B15AE2" w:rsidP="00B15AE2">
      <w:pPr>
        <w:ind w:left="1701" w:hanging="567"/>
        <w:rPr>
          <w:rFonts w:cs="Arial"/>
          <w:sz w:val="22"/>
          <w:szCs w:val="22"/>
        </w:rPr>
      </w:pPr>
      <w:r w:rsidRPr="00754D1B">
        <w:rPr>
          <w:rFonts w:cs="Arial"/>
          <w:sz w:val="22"/>
          <w:szCs w:val="22"/>
        </w:rPr>
        <w:t>1.      </w:t>
      </w:r>
      <w:r w:rsidRPr="00754D1B">
        <w:rPr>
          <w:rFonts w:cs="Arial"/>
          <w:b/>
          <w:bCs/>
          <w:sz w:val="22"/>
          <w:szCs w:val="22"/>
        </w:rPr>
        <w:t>Asset life method</w:t>
      </w:r>
      <w:r w:rsidRPr="00754D1B">
        <w:rPr>
          <w:rFonts w:cs="Arial"/>
          <w:sz w:val="22"/>
          <w:szCs w:val="22"/>
        </w:rPr>
        <w:t xml:space="preserve"> – </w:t>
      </w:r>
      <w:bookmarkStart w:id="23" w:name="_Hlk157758194"/>
      <w:r w:rsidRPr="00754D1B">
        <w:rPr>
          <w:rFonts w:cs="Arial"/>
          <w:sz w:val="22"/>
          <w:szCs w:val="22"/>
        </w:rPr>
        <w:t>loans fund advances will be repaid with reference to the life of an asset</w:t>
      </w:r>
      <w:r w:rsidR="00E55CD7">
        <w:rPr>
          <w:rFonts w:cs="Arial"/>
          <w:sz w:val="22"/>
          <w:szCs w:val="22"/>
        </w:rPr>
        <w:t xml:space="preserve"> </w:t>
      </w:r>
      <w:r w:rsidRPr="00754D1B">
        <w:rPr>
          <w:rFonts w:cs="Arial"/>
          <w:sz w:val="22"/>
          <w:szCs w:val="22"/>
        </w:rPr>
        <w:t>using either the equal instalme</w:t>
      </w:r>
      <w:r w:rsidR="00364482" w:rsidRPr="00754D1B">
        <w:rPr>
          <w:rFonts w:cs="Arial"/>
          <w:sz w:val="22"/>
          <w:szCs w:val="22"/>
        </w:rPr>
        <w:t>nt or annuity method (option 3).</w:t>
      </w:r>
      <w:bookmarkEnd w:id="23"/>
    </w:p>
    <w:p w14:paraId="7A898B38" w14:textId="77777777" w:rsidR="00B15AE2" w:rsidRPr="00754D1B" w:rsidRDefault="00B15AE2" w:rsidP="00B262DF">
      <w:pPr>
        <w:ind w:left="1701" w:hanging="567"/>
        <w:rPr>
          <w:rFonts w:cs="Arial"/>
          <w:sz w:val="22"/>
          <w:szCs w:val="22"/>
        </w:rPr>
      </w:pPr>
      <w:r w:rsidRPr="00754D1B">
        <w:rPr>
          <w:rFonts w:cs="Arial"/>
          <w:sz w:val="22"/>
          <w:szCs w:val="22"/>
        </w:rPr>
        <w:t> </w:t>
      </w:r>
    </w:p>
    <w:p w14:paraId="09AEE084" w14:textId="6A9EBCBC" w:rsidR="00B15AE2" w:rsidRDefault="009A2205" w:rsidP="005A475D">
      <w:pPr>
        <w:ind w:left="567"/>
        <w:rPr>
          <w:rFonts w:cs="Arial"/>
          <w:sz w:val="22"/>
          <w:szCs w:val="22"/>
        </w:rPr>
      </w:pPr>
      <w:r w:rsidRPr="00AF7E09">
        <w:rPr>
          <w:rFonts w:cs="Arial"/>
          <w:sz w:val="22"/>
          <w:szCs w:val="22"/>
        </w:rPr>
        <w:t>U</w:t>
      </w:r>
      <w:r w:rsidR="00B15AE2" w:rsidRPr="00AF7E09">
        <w:rPr>
          <w:rFonts w:cs="Arial"/>
          <w:sz w:val="22"/>
          <w:szCs w:val="22"/>
        </w:rPr>
        <w:t xml:space="preserve">nder regulation 14 (2) of SSI 2016 No 123, the Council </w:t>
      </w:r>
      <w:r w:rsidR="0001699C" w:rsidRPr="00AF7E09">
        <w:rPr>
          <w:rFonts w:cs="Arial"/>
          <w:sz w:val="22"/>
          <w:szCs w:val="22"/>
        </w:rPr>
        <w:t xml:space="preserve">calculates the annuity rate based </w:t>
      </w:r>
      <w:r w:rsidR="00D62101" w:rsidRPr="00AF7E09">
        <w:rPr>
          <w:rFonts w:cs="Arial"/>
          <w:sz w:val="22"/>
          <w:szCs w:val="22"/>
        </w:rPr>
        <w:t xml:space="preserve">on </w:t>
      </w:r>
      <w:r w:rsidR="00B15AE2" w:rsidRPr="00AF7E09">
        <w:rPr>
          <w:rFonts w:cs="Arial"/>
          <w:sz w:val="22"/>
          <w:szCs w:val="22"/>
        </w:rPr>
        <w:t>historic annuity rate</w:t>
      </w:r>
      <w:r w:rsidR="0001699C" w:rsidRPr="00AF7E09">
        <w:rPr>
          <w:rFonts w:cs="Arial"/>
          <w:sz w:val="22"/>
          <w:szCs w:val="22"/>
        </w:rPr>
        <w:t>s</w:t>
      </w:r>
      <w:r w:rsidR="00B15AE2" w:rsidRPr="00AF7E09">
        <w:rPr>
          <w:rFonts w:cs="Arial"/>
          <w:sz w:val="22"/>
          <w:szCs w:val="22"/>
        </w:rPr>
        <w:t xml:space="preserve"> to ensure that it is a prudent </w:t>
      </w:r>
      <w:proofErr w:type="gramStart"/>
      <w:r w:rsidR="00B15AE2" w:rsidRPr="00AF7E09">
        <w:rPr>
          <w:rFonts w:cs="Arial"/>
          <w:sz w:val="22"/>
          <w:szCs w:val="22"/>
        </w:rPr>
        <w:t>application</w:t>
      </w:r>
      <w:proofErr w:type="gramEnd"/>
      <w:r w:rsidRPr="00AF7E09">
        <w:rPr>
          <w:rFonts w:cs="Arial"/>
          <w:sz w:val="22"/>
          <w:szCs w:val="22"/>
        </w:rPr>
        <w:t xml:space="preserve"> and </w:t>
      </w:r>
      <w:r w:rsidR="0001699C" w:rsidRPr="00AF7E09">
        <w:rPr>
          <w:rFonts w:cs="Arial"/>
          <w:sz w:val="22"/>
          <w:szCs w:val="22"/>
        </w:rPr>
        <w:t xml:space="preserve">it is </w:t>
      </w:r>
      <w:r w:rsidRPr="00AF7E09">
        <w:rPr>
          <w:rFonts w:cs="Arial"/>
          <w:sz w:val="22"/>
          <w:szCs w:val="22"/>
        </w:rPr>
        <w:t xml:space="preserve">currently </w:t>
      </w:r>
      <w:r w:rsidR="00F210AB" w:rsidRPr="00AF7E09">
        <w:rPr>
          <w:rFonts w:cs="Arial"/>
          <w:sz w:val="22"/>
          <w:szCs w:val="22"/>
        </w:rPr>
        <w:t>3.</w:t>
      </w:r>
      <w:r w:rsidR="00704FEB" w:rsidRPr="00AF7E09">
        <w:rPr>
          <w:rFonts w:cs="Arial"/>
          <w:sz w:val="22"/>
          <w:szCs w:val="22"/>
        </w:rPr>
        <w:t>18</w:t>
      </w:r>
      <w:r w:rsidRPr="00AF7E09">
        <w:rPr>
          <w:rFonts w:cs="Arial"/>
          <w:sz w:val="22"/>
          <w:szCs w:val="22"/>
        </w:rPr>
        <w:t>%</w:t>
      </w:r>
      <w:r w:rsidR="00B15AE2" w:rsidRPr="00AF7E09">
        <w:rPr>
          <w:rFonts w:cs="Arial"/>
          <w:sz w:val="22"/>
          <w:szCs w:val="22"/>
        </w:rPr>
        <w:t xml:space="preserve">.   </w:t>
      </w:r>
    </w:p>
    <w:p w14:paraId="05832E3A" w14:textId="77777777" w:rsidR="00AF7E09" w:rsidRDefault="00AF7E09" w:rsidP="005A475D">
      <w:pPr>
        <w:ind w:left="567"/>
        <w:rPr>
          <w:rFonts w:cs="Arial"/>
          <w:sz w:val="22"/>
          <w:szCs w:val="22"/>
        </w:rPr>
      </w:pPr>
    </w:p>
    <w:p w14:paraId="1FEA9C0D" w14:textId="24DA6231" w:rsidR="00AF7E09" w:rsidRPr="00AF7E09" w:rsidRDefault="00AC69A9" w:rsidP="005A475D">
      <w:pPr>
        <w:ind w:left="567"/>
        <w:rPr>
          <w:rFonts w:cs="Arial"/>
          <w:sz w:val="22"/>
          <w:szCs w:val="22"/>
        </w:rPr>
      </w:pPr>
      <w:r w:rsidRPr="00526216">
        <w:rPr>
          <w:rFonts w:cs="Arial"/>
          <w:sz w:val="22"/>
          <w:szCs w:val="22"/>
        </w:rPr>
        <w:t xml:space="preserve">A consultation was issued </w:t>
      </w:r>
      <w:r w:rsidR="00D57282" w:rsidRPr="00526216">
        <w:rPr>
          <w:rFonts w:cs="Arial"/>
          <w:sz w:val="22"/>
          <w:szCs w:val="22"/>
        </w:rPr>
        <w:t>for an amendment to the</w:t>
      </w:r>
      <w:r w:rsidR="00793A0D" w:rsidRPr="00526216">
        <w:rPr>
          <w:rFonts w:cs="Arial"/>
          <w:sz w:val="22"/>
          <w:szCs w:val="22"/>
        </w:rPr>
        <w:t xml:space="preserve"> </w:t>
      </w:r>
      <w:r w:rsidR="00D57282" w:rsidRPr="00526216">
        <w:rPr>
          <w:rFonts w:cs="Arial"/>
          <w:sz w:val="22"/>
          <w:szCs w:val="22"/>
        </w:rPr>
        <w:t xml:space="preserve">regulation </w:t>
      </w:r>
      <w:r w:rsidR="00793A0D" w:rsidRPr="00526216">
        <w:rPr>
          <w:rFonts w:cs="Arial"/>
          <w:sz w:val="22"/>
          <w:szCs w:val="22"/>
        </w:rPr>
        <w:t xml:space="preserve">14 </w:t>
      </w:r>
      <w:r w:rsidR="00D57282" w:rsidRPr="00526216">
        <w:rPr>
          <w:rFonts w:cs="Arial"/>
          <w:sz w:val="22"/>
          <w:szCs w:val="22"/>
        </w:rPr>
        <w:t xml:space="preserve">in December 2023 </w:t>
      </w:r>
      <w:r w:rsidR="005516E8" w:rsidRPr="00526216">
        <w:rPr>
          <w:rFonts w:cs="Arial"/>
          <w:sz w:val="22"/>
          <w:szCs w:val="22"/>
        </w:rPr>
        <w:t xml:space="preserve">however </w:t>
      </w:r>
      <w:r w:rsidR="004056EB" w:rsidRPr="00526216">
        <w:rPr>
          <w:rFonts w:cs="Arial"/>
          <w:sz w:val="22"/>
          <w:szCs w:val="22"/>
        </w:rPr>
        <w:t xml:space="preserve">no </w:t>
      </w:r>
      <w:r w:rsidR="0025324D" w:rsidRPr="00526216">
        <w:rPr>
          <w:rFonts w:cs="Arial"/>
          <w:sz w:val="22"/>
          <w:szCs w:val="22"/>
        </w:rPr>
        <w:t>conclusion has been reached</w:t>
      </w:r>
      <w:r w:rsidR="00526216" w:rsidRPr="00526216">
        <w:rPr>
          <w:rFonts w:cs="Arial"/>
          <w:sz w:val="22"/>
          <w:szCs w:val="22"/>
        </w:rPr>
        <w:t xml:space="preserve"> yet</w:t>
      </w:r>
      <w:r w:rsidR="0025324D" w:rsidRPr="00526216">
        <w:rPr>
          <w:rFonts w:cs="Arial"/>
          <w:sz w:val="22"/>
          <w:szCs w:val="22"/>
        </w:rPr>
        <w:t>.</w:t>
      </w:r>
    </w:p>
    <w:p w14:paraId="14E7D8E2" w14:textId="77777777" w:rsidR="00B15AE2" w:rsidRPr="00D26131" w:rsidRDefault="00B15AE2" w:rsidP="005A475D">
      <w:pPr>
        <w:ind w:left="567"/>
        <w:rPr>
          <w:rFonts w:cs="Arial"/>
          <w:sz w:val="22"/>
          <w:szCs w:val="22"/>
          <w:highlight w:val="yellow"/>
        </w:rPr>
      </w:pPr>
    </w:p>
    <w:p w14:paraId="1D782108" w14:textId="77777777" w:rsidR="00364482" w:rsidRDefault="00364482">
      <w:pPr>
        <w:rPr>
          <w:rFonts w:cs="Arial"/>
          <w:b/>
          <w:color w:val="993366"/>
          <w:sz w:val="28"/>
          <w:szCs w:val="28"/>
          <w:highlight w:val="yellow"/>
        </w:rPr>
      </w:pPr>
      <w:r w:rsidRPr="00D26131">
        <w:rPr>
          <w:rFonts w:cs="Arial"/>
          <w:b/>
          <w:color w:val="993366"/>
          <w:sz w:val="28"/>
          <w:szCs w:val="28"/>
          <w:highlight w:val="yellow"/>
        </w:rPr>
        <w:br w:type="page"/>
      </w:r>
    </w:p>
    <w:p w14:paraId="51AED054" w14:textId="77777777" w:rsidR="000722E3" w:rsidRPr="00862C9A" w:rsidRDefault="000722E3">
      <w:pPr>
        <w:rPr>
          <w:rFonts w:cs="Arial"/>
          <w:b/>
          <w:color w:val="993366"/>
          <w:sz w:val="22"/>
          <w:szCs w:val="22"/>
          <w:highlight w:val="yellow"/>
        </w:rPr>
      </w:pPr>
    </w:p>
    <w:p w14:paraId="2497FBF6" w14:textId="77777777" w:rsidR="00062BC5" w:rsidRPr="00B41BBD" w:rsidRDefault="00062BC5" w:rsidP="005B34C4">
      <w:pPr>
        <w:numPr>
          <w:ilvl w:val="0"/>
          <w:numId w:val="33"/>
        </w:numPr>
        <w:ind w:left="540" w:hanging="540"/>
        <w:rPr>
          <w:rFonts w:cs="Arial"/>
          <w:b/>
          <w:color w:val="993366"/>
          <w:sz w:val="28"/>
          <w:szCs w:val="28"/>
        </w:rPr>
      </w:pPr>
      <w:r w:rsidRPr="00B41BBD">
        <w:rPr>
          <w:rFonts w:cs="Arial"/>
          <w:b/>
          <w:bCs/>
          <w:noProof/>
          <w:color w:val="993366"/>
          <w:sz w:val="28"/>
          <w:szCs w:val="28"/>
        </w:rPr>
        <w:t>Treasury Management Strategy</w:t>
      </w:r>
    </w:p>
    <w:p w14:paraId="75A9CDDA" w14:textId="77777777" w:rsidR="00062BC5" w:rsidRPr="00B41BBD" w:rsidRDefault="00062BC5" w:rsidP="00DD53E6">
      <w:pPr>
        <w:rPr>
          <w:rFonts w:cs="Arial"/>
          <w:b/>
          <w:color w:val="993366"/>
          <w:sz w:val="22"/>
          <w:szCs w:val="22"/>
        </w:rPr>
      </w:pPr>
    </w:p>
    <w:p w14:paraId="0E4B1AF6" w14:textId="77777777" w:rsidR="00062BC5" w:rsidRPr="00B41BBD" w:rsidRDefault="00062BC5" w:rsidP="003B1039">
      <w:pPr>
        <w:ind w:left="567"/>
        <w:rPr>
          <w:rFonts w:cs="Arial"/>
          <w:b/>
          <w:color w:val="993366"/>
          <w:sz w:val="22"/>
          <w:szCs w:val="22"/>
        </w:rPr>
      </w:pPr>
      <w:r w:rsidRPr="00B41BBD">
        <w:rPr>
          <w:rFonts w:cs="Arial"/>
          <w:noProof/>
          <w:sz w:val="22"/>
          <w:szCs w:val="22"/>
        </w:rPr>
        <w:t>The capital expenditure plans set out in Section 3 provide details of the service activity of the Council. The treasury management function ensures that the Council’s cash is organised in accordance with the relevant professional Codes, so that sufficient cash is available to meet this service activity</w:t>
      </w:r>
      <w:r w:rsidR="009466A1" w:rsidRPr="00B41BBD">
        <w:rPr>
          <w:rFonts w:cs="Arial"/>
          <w:noProof/>
          <w:sz w:val="22"/>
          <w:szCs w:val="22"/>
        </w:rPr>
        <w:t xml:space="preserve"> and the Council’s capital strategy</w:t>
      </w:r>
      <w:r w:rsidRPr="00B41BBD">
        <w:rPr>
          <w:rFonts w:cs="Arial"/>
          <w:noProof/>
          <w:sz w:val="22"/>
          <w:szCs w:val="22"/>
        </w:rPr>
        <w:t>. This will involve both the organisation of the cash flow and, where capital plans require, the organisation of appropriate borrowing facilities. The strategy covers the relevant treasury</w:t>
      </w:r>
      <w:r w:rsidR="009466A1" w:rsidRPr="00B41BBD">
        <w:rPr>
          <w:rFonts w:cs="Arial"/>
          <w:noProof/>
          <w:sz w:val="22"/>
          <w:szCs w:val="22"/>
        </w:rPr>
        <w:t xml:space="preserve"> </w:t>
      </w:r>
      <w:r w:rsidRPr="00B41BBD">
        <w:rPr>
          <w:rFonts w:cs="Arial"/>
          <w:noProof/>
          <w:sz w:val="22"/>
          <w:szCs w:val="22"/>
        </w:rPr>
        <w:t>/</w:t>
      </w:r>
      <w:r w:rsidR="009466A1" w:rsidRPr="00B41BBD">
        <w:rPr>
          <w:rFonts w:cs="Arial"/>
          <w:noProof/>
          <w:sz w:val="22"/>
          <w:szCs w:val="22"/>
        </w:rPr>
        <w:t xml:space="preserve"> </w:t>
      </w:r>
      <w:r w:rsidRPr="00B41BBD">
        <w:rPr>
          <w:rFonts w:cs="Arial"/>
          <w:noProof/>
          <w:sz w:val="22"/>
          <w:szCs w:val="22"/>
        </w:rPr>
        <w:t>prudential indicators, the current and projected debt positions and the annual investment strategy.</w:t>
      </w:r>
      <w:r w:rsidRPr="00B41BBD">
        <w:rPr>
          <w:rFonts w:cs="Arial"/>
          <w:noProof/>
          <w:sz w:val="22"/>
          <w:szCs w:val="22"/>
        </w:rPr>
        <w:br/>
      </w:r>
    </w:p>
    <w:p w14:paraId="7255FF18" w14:textId="77777777" w:rsidR="00062BC5" w:rsidRPr="00BD7052" w:rsidRDefault="00062BC5" w:rsidP="00E54149">
      <w:pPr>
        <w:ind w:left="567" w:hanging="567"/>
        <w:rPr>
          <w:rFonts w:cs="Arial"/>
          <w:b/>
          <w:color w:val="993366"/>
          <w:sz w:val="24"/>
          <w:szCs w:val="24"/>
        </w:rPr>
      </w:pPr>
      <w:r w:rsidRPr="00BD7052">
        <w:rPr>
          <w:rFonts w:cs="Arial"/>
          <w:b/>
          <w:bCs/>
          <w:noProof/>
          <w:color w:val="993366"/>
          <w:sz w:val="24"/>
          <w:szCs w:val="24"/>
        </w:rPr>
        <w:t>4.1  Current Portfolio Position</w:t>
      </w:r>
    </w:p>
    <w:p w14:paraId="6828309B" w14:textId="77777777" w:rsidR="00062BC5" w:rsidRPr="00BD7052" w:rsidRDefault="00062BC5" w:rsidP="007F5793">
      <w:pPr>
        <w:ind w:left="567"/>
        <w:rPr>
          <w:rFonts w:cs="Arial"/>
          <w:b/>
          <w:color w:val="993366"/>
          <w:sz w:val="22"/>
          <w:szCs w:val="22"/>
        </w:rPr>
      </w:pPr>
    </w:p>
    <w:p w14:paraId="17345FAF" w14:textId="0E70AC3A" w:rsidR="009466A1" w:rsidRPr="00BD7052" w:rsidRDefault="009466A1" w:rsidP="00A34318">
      <w:pPr>
        <w:numPr>
          <w:ilvl w:val="2"/>
          <w:numId w:val="35"/>
        </w:numPr>
        <w:rPr>
          <w:rFonts w:cs="Arial"/>
          <w:b/>
          <w:color w:val="993366"/>
          <w:sz w:val="22"/>
          <w:szCs w:val="22"/>
        </w:rPr>
      </w:pPr>
      <w:r w:rsidRPr="00BD7052">
        <w:rPr>
          <w:rFonts w:cs="Arial"/>
          <w:bCs/>
          <w:noProof/>
          <w:sz w:val="22"/>
          <w:szCs w:val="22"/>
        </w:rPr>
        <w:t xml:space="preserve">The </w:t>
      </w:r>
      <w:r w:rsidRPr="00BD7052">
        <w:rPr>
          <w:rFonts w:cs="Arial"/>
          <w:bCs/>
          <w:sz w:val="22"/>
          <w:szCs w:val="22"/>
        </w:rPr>
        <w:t>overall treasury managem</w:t>
      </w:r>
      <w:r w:rsidR="00364482" w:rsidRPr="00BD7052">
        <w:rPr>
          <w:rFonts w:cs="Arial"/>
          <w:bCs/>
          <w:sz w:val="22"/>
          <w:szCs w:val="22"/>
        </w:rPr>
        <w:t xml:space="preserve">ent portfolio as </w:t>
      </w:r>
      <w:proofErr w:type="gramStart"/>
      <w:r w:rsidR="00364482" w:rsidRPr="00BD7052">
        <w:rPr>
          <w:rFonts w:cs="Arial"/>
          <w:bCs/>
          <w:sz w:val="22"/>
          <w:szCs w:val="22"/>
        </w:rPr>
        <w:t>at</w:t>
      </w:r>
      <w:proofErr w:type="gramEnd"/>
      <w:r w:rsidR="00364482" w:rsidRPr="00BD7052">
        <w:rPr>
          <w:rFonts w:cs="Arial"/>
          <w:bCs/>
          <w:sz w:val="22"/>
          <w:szCs w:val="22"/>
        </w:rPr>
        <w:t xml:space="preserve"> 31 March 202</w:t>
      </w:r>
      <w:r w:rsidR="00570CE1">
        <w:rPr>
          <w:rFonts w:cs="Arial"/>
          <w:bCs/>
          <w:sz w:val="22"/>
          <w:szCs w:val="22"/>
        </w:rPr>
        <w:t>3</w:t>
      </w:r>
      <w:r w:rsidRPr="00BD7052">
        <w:rPr>
          <w:rFonts w:cs="Arial"/>
          <w:bCs/>
          <w:sz w:val="22"/>
          <w:szCs w:val="22"/>
        </w:rPr>
        <w:t xml:space="preserve"> and for the position as at </w:t>
      </w:r>
      <w:r w:rsidR="00E73498" w:rsidRPr="00BD7052">
        <w:rPr>
          <w:rFonts w:cs="Arial"/>
          <w:bCs/>
          <w:sz w:val="22"/>
          <w:szCs w:val="22"/>
        </w:rPr>
        <w:t>31 December 20</w:t>
      </w:r>
      <w:r w:rsidR="00364482" w:rsidRPr="00BD7052">
        <w:rPr>
          <w:rFonts w:cs="Arial"/>
          <w:bCs/>
          <w:sz w:val="22"/>
          <w:szCs w:val="22"/>
        </w:rPr>
        <w:t>2</w:t>
      </w:r>
      <w:r w:rsidR="00570CE1">
        <w:rPr>
          <w:rFonts w:cs="Arial"/>
          <w:bCs/>
          <w:sz w:val="22"/>
          <w:szCs w:val="22"/>
        </w:rPr>
        <w:t>3</w:t>
      </w:r>
      <w:r w:rsidRPr="00BD7052">
        <w:rPr>
          <w:rFonts w:cs="Arial"/>
          <w:bCs/>
          <w:color w:val="17365D" w:themeColor="text2" w:themeShade="BF"/>
          <w:sz w:val="22"/>
          <w:szCs w:val="22"/>
        </w:rPr>
        <w:t xml:space="preserve"> </w:t>
      </w:r>
      <w:r w:rsidRPr="00BD7052">
        <w:rPr>
          <w:rFonts w:cs="Arial"/>
          <w:bCs/>
          <w:sz w:val="22"/>
          <w:szCs w:val="22"/>
        </w:rPr>
        <w:t>are shown below for both borrowing and investments.</w:t>
      </w:r>
      <w:r w:rsidR="0017034E" w:rsidRPr="00BD7052">
        <w:rPr>
          <w:rFonts w:cs="Arial"/>
          <w:bCs/>
          <w:sz w:val="22"/>
          <w:szCs w:val="22"/>
        </w:rPr>
        <w:t xml:space="preserve"> </w:t>
      </w:r>
    </w:p>
    <w:p w14:paraId="26CA2DD6" w14:textId="77777777" w:rsidR="00BD7052" w:rsidRPr="00BD7052" w:rsidRDefault="00BD7052" w:rsidP="00BD7052">
      <w:pPr>
        <w:ind w:left="720"/>
        <w:rPr>
          <w:rFonts w:cs="Arial"/>
          <w:b/>
          <w:color w:val="993366"/>
          <w:sz w:val="22"/>
          <w:szCs w:val="22"/>
          <w:highlight w:val="yellow"/>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76"/>
        <w:gridCol w:w="1417"/>
        <w:gridCol w:w="1276"/>
        <w:gridCol w:w="1418"/>
      </w:tblGrid>
      <w:tr w:rsidR="003415D7" w:rsidRPr="00D26131" w14:paraId="03EA25A8" w14:textId="77777777" w:rsidTr="005936F3">
        <w:trPr>
          <w:trHeight w:val="70"/>
        </w:trPr>
        <w:tc>
          <w:tcPr>
            <w:tcW w:w="10065" w:type="dxa"/>
            <w:gridSpan w:val="5"/>
            <w:tcBorders>
              <w:top w:val="single" w:sz="4" w:space="0" w:color="auto"/>
              <w:left w:val="single" w:sz="4" w:space="0" w:color="auto"/>
              <w:bottom w:val="single" w:sz="4" w:space="0" w:color="auto"/>
              <w:right w:val="single" w:sz="4" w:space="0" w:color="auto"/>
            </w:tcBorders>
            <w:vAlign w:val="center"/>
          </w:tcPr>
          <w:p w14:paraId="4F477897" w14:textId="77777777" w:rsidR="003415D7" w:rsidRPr="0017034E" w:rsidRDefault="003415D7" w:rsidP="003415D7">
            <w:pPr>
              <w:jc w:val="center"/>
              <w:rPr>
                <w:rFonts w:cs="Arial"/>
                <w:b/>
                <w:bCs/>
                <w:sz w:val="28"/>
                <w:szCs w:val="28"/>
              </w:rPr>
            </w:pPr>
            <w:r w:rsidRPr="0017034E">
              <w:rPr>
                <w:rFonts w:cs="Arial"/>
                <w:b/>
                <w:bCs/>
                <w:sz w:val="28"/>
                <w:szCs w:val="28"/>
              </w:rPr>
              <w:t>TREASURY PORTFOLIO</w:t>
            </w:r>
          </w:p>
        </w:tc>
      </w:tr>
      <w:tr w:rsidR="003415D7" w:rsidRPr="00D26131" w14:paraId="6EDB62C7" w14:textId="77777777" w:rsidTr="00173A88">
        <w:tc>
          <w:tcPr>
            <w:tcW w:w="4678" w:type="dxa"/>
            <w:tcBorders>
              <w:top w:val="single" w:sz="4" w:space="0" w:color="auto"/>
              <w:left w:val="single" w:sz="4" w:space="0" w:color="auto"/>
              <w:right w:val="single" w:sz="4" w:space="0" w:color="auto"/>
            </w:tcBorders>
            <w:vAlign w:val="bottom"/>
          </w:tcPr>
          <w:p w14:paraId="48B3479E" w14:textId="77777777" w:rsidR="003415D7" w:rsidRPr="00BD7052" w:rsidRDefault="003415D7">
            <w:pPr>
              <w:rPr>
                <w:rFonts w:cs="Arial"/>
                <w:b/>
                <w:bCs/>
                <w:sz w:val="22"/>
                <w:szCs w:val="22"/>
              </w:rPr>
            </w:pPr>
            <w:r w:rsidRPr="00BD7052">
              <w:rPr>
                <w:rFonts w:cs="Arial"/>
                <w:b/>
                <w:bCs/>
                <w:sz w:val="22"/>
                <w:szCs w:val="22"/>
              </w:rPr>
              <w:t> </w:t>
            </w:r>
          </w:p>
        </w:tc>
        <w:tc>
          <w:tcPr>
            <w:tcW w:w="1276" w:type="dxa"/>
            <w:tcBorders>
              <w:top w:val="single" w:sz="4" w:space="0" w:color="auto"/>
              <w:left w:val="single" w:sz="4" w:space="0" w:color="auto"/>
              <w:right w:val="single" w:sz="4" w:space="0" w:color="auto"/>
            </w:tcBorders>
            <w:vAlign w:val="bottom"/>
          </w:tcPr>
          <w:p w14:paraId="20CF4AF9" w14:textId="77777777" w:rsidR="003415D7" w:rsidRPr="0017034E" w:rsidRDefault="003415D7">
            <w:pPr>
              <w:jc w:val="right"/>
              <w:rPr>
                <w:rFonts w:cs="Arial"/>
                <w:sz w:val="22"/>
                <w:szCs w:val="22"/>
              </w:rPr>
            </w:pPr>
            <w:r w:rsidRPr="0017034E">
              <w:rPr>
                <w:rFonts w:cs="Arial"/>
                <w:sz w:val="22"/>
                <w:szCs w:val="22"/>
              </w:rPr>
              <w:t>actual</w:t>
            </w:r>
          </w:p>
        </w:tc>
        <w:tc>
          <w:tcPr>
            <w:tcW w:w="1417" w:type="dxa"/>
            <w:tcBorders>
              <w:top w:val="single" w:sz="4" w:space="0" w:color="auto"/>
              <w:left w:val="single" w:sz="4" w:space="0" w:color="auto"/>
              <w:right w:val="single" w:sz="4" w:space="0" w:color="auto"/>
            </w:tcBorders>
            <w:vAlign w:val="bottom"/>
          </w:tcPr>
          <w:p w14:paraId="4B7BEC60" w14:textId="77777777" w:rsidR="003415D7" w:rsidRPr="0017034E" w:rsidRDefault="003415D7">
            <w:pPr>
              <w:jc w:val="center"/>
              <w:rPr>
                <w:rFonts w:cs="Arial"/>
                <w:sz w:val="22"/>
                <w:szCs w:val="22"/>
              </w:rPr>
            </w:pPr>
            <w:r w:rsidRPr="0017034E">
              <w:rPr>
                <w:rFonts w:cs="Arial"/>
                <w:sz w:val="22"/>
                <w:szCs w:val="22"/>
              </w:rPr>
              <w:t>actual</w:t>
            </w:r>
          </w:p>
        </w:tc>
        <w:tc>
          <w:tcPr>
            <w:tcW w:w="1276" w:type="dxa"/>
            <w:tcBorders>
              <w:top w:val="single" w:sz="4" w:space="0" w:color="auto"/>
              <w:left w:val="single" w:sz="4" w:space="0" w:color="auto"/>
              <w:right w:val="single" w:sz="4" w:space="0" w:color="auto"/>
            </w:tcBorders>
            <w:vAlign w:val="bottom"/>
          </w:tcPr>
          <w:p w14:paraId="6C28085F" w14:textId="77777777" w:rsidR="003415D7" w:rsidRPr="0017034E" w:rsidRDefault="003415D7">
            <w:pPr>
              <w:jc w:val="right"/>
              <w:rPr>
                <w:rFonts w:cs="Arial"/>
                <w:sz w:val="22"/>
                <w:szCs w:val="22"/>
              </w:rPr>
            </w:pPr>
            <w:r w:rsidRPr="0017034E">
              <w:rPr>
                <w:rFonts w:cs="Arial"/>
                <w:sz w:val="22"/>
                <w:szCs w:val="22"/>
              </w:rPr>
              <w:t>current</w:t>
            </w:r>
          </w:p>
        </w:tc>
        <w:tc>
          <w:tcPr>
            <w:tcW w:w="1418" w:type="dxa"/>
            <w:tcBorders>
              <w:top w:val="single" w:sz="4" w:space="0" w:color="auto"/>
              <w:left w:val="single" w:sz="4" w:space="0" w:color="auto"/>
              <w:right w:val="single" w:sz="4" w:space="0" w:color="auto"/>
            </w:tcBorders>
            <w:vAlign w:val="bottom"/>
          </w:tcPr>
          <w:p w14:paraId="56D61B1F" w14:textId="77777777" w:rsidR="003415D7" w:rsidRPr="0017034E" w:rsidRDefault="003415D7">
            <w:pPr>
              <w:jc w:val="center"/>
              <w:rPr>
                <w:rFonts w:cs="Arial"/>
                <w:sz w:val="22"/>
                <w:szCs w:val="22"/>
              </w:rPr>
            </w:pPr>
            <w:r w:rsidRPr="0017034E">
              <w:rPr>
                <w:rFonts w:cs="Arial"/>
                <w:sz w:val="22"/>
                <w:szCs w:val="22"/>
              </w:rPr>
              <w:t>current</w:t>
            </w:r>
          </w:p>
        </w:tc>
      </w:tr>
      <w:tr w:rsidR="003415D7" w:rsidRPr="00D26131" w14:paraId="2B6B3C1E" w14:textId="77777777" w:rsidTr="00173A88">
        <w:tc>
          <w:tcPr>
            <w:tcW w:w="4678" w:type="dxa"/>
            <w:tcBorders>
              <w:left w:val="single" w:sz="4" w:space="0" w:color="auto"/>
              <w:right w:val="single" w:sz="4" w:space="0" w:color="auto"/>
            </w:tcBorders>
            <w:vAlign w:val="bottom"/>
          </w:tcPr>
          <w:p w14:paraId="7169696C" w14:textId="77777777" w:rsidR="003415D7" w:rsidRPr="00BD7052" w:rsidRDefault="003415D7">
            <w:pPr>
              <w:rPr>
                <w:rFonts w:cs="Arial"/>
                <w:b/>
                <w:bCs/>
                <w:sz w:val="22"/>
                <w:szCs w:val="22"/>
              </w:rPr>
            </w:pPr>
            <w:r w:rsidRPr="00BD7052">
              <w:rPr>
                <w:rFonts w:cs="Arial"/>
                <w:b/>
                <w:bCs/>
                <w:sz w:val="22"/>
                <w:szCs w:val="22"/>
              </w:rPr>
              <w:t> </w:t>
            </w:r>
          </w:p>
        </w:tc>
        <w:tc>
          <w:tcPr>
            <w:tcW w:w="1276" w:type="dxa"/>
            <w:tcBorders>
              <w:left w:val="single" w:sz="4" w:space="0" w:color="auto"/>
              <w:right w:val="single" w:sz="4" w:space="0" w:color="auto"/>
            </w:tcBorders>
            <w:vAlign w:val="bottom"/>
          </w:tcPr>
          <w:p w14:paraId="73FE3B42" w14:textId="1C7EB32C" w:rsidR="003415D7" w:rsidRPr="00BD7052" w:rsidRDefault="003415D7" w:rsidP="0017034E">
            <w:pPr>
              <w:jc w:val="right"/>
              <w:rPr>
                <w:rFonts w:cs="Arial"/>
                <w:b/>
                <w:bCs/>
                <w:sz w:val="22"/>
                <w:szCs w:val="22"/>
              </w:rPr>
            </w:pPr>
            <w:r w:rsidRPr="00BD7052">
              <w:rPr>
                <w:rFonts w:cs="Arial"/>
                <w:b/>
                <w:bCs/>
                <w:sz w:val="22"/>
                <w:szCs w:val="22"/>
              </w:rPr>
              <w:t>31.3.</w:t>
            </w:r>
            <w:r w:rsidR="00B648E6" w:rsidRPr="00BD7052">
              <w:rPr>
                <w:rFonts w:cs="Arial"/>
                <w:b/>
                <w:bCs/>
                <w:sz w:val="22"/>
                <w:szCs w:val="22"/>
              </w:rPr>
              <w:t>2</w:t>
            </w:r>
            <w:r w:rsidR="000407D5">
              <w:rPr>
                <w:rFonts w:cs="Arial"/>
                <w:b/>
                <w:bCs/>
                <w:sz w:val="22"/>
                <w:szCs w:val="22"/>
              </w:rPr>
              <w:t>3</w:t>
            </w:r>
          </w:p>
        </w:tc>
        <w:tc>
          <w:tcPr>
            <w:tcW w:w="1417" w:type="dxa"/>
            <w:tcBorders>
              <w:left w:val="single" w:sz="4" w:space="0" w:color="auto"/>
              <w:right w:val="single" w:sz="4" w:space="0" w:color="auto"/>
            </w:tcBorders>
            <w:vAlign w:val="bottom"/>
          </w:tcPr>
          <w:p w14:paraId="7B3449E2" w14:textId="47B2EA35" w:rsidR="003415D7" w:rsidRPr="00BD7052" w:rsidRDefault="003415D7" w:rsidP="0017034E">
            <w:pPr>
              <w:jc w:val="center"/>
              <w:rPr>
                <w:rFonts w:cs="Arial"/>
                <w:b/>
                <w:bCs/>
                <w:sz w:val="22"/>
                <w:szCs w:val="22"/>
              </w:rPr>
            </w:pPr>
            <w:r w:rsidRPr="00BD7052">
              <w:rPr>
                <w:rFonts w:cs="Arial"/>
                <w:b/>
                <w:bCs/>
                <w:sz w:val="22"/>
                <w:szCs w:val="22"/>
              </w:rPr>
              <w:t>3</w:t>
            </w:r>
            <w:r w:rsidR="00306DD9" w:rsidRPr="00BD7052">
              <w:rPr>
                <w:rFonts w:cs="Arial"/>
                <w:b/>
                <w:bCs/>
                <w:sz w:val="22"/>
                <w:szCs w:val="22"/>
              </w:rPr>
              <w:t>1.3.</w:t>
            </w:r>
            <w:r w:rsidR="00B648E6" w:rsidRPr="00BD7052">
              <w:rPr>
                <w:rFonts w:cs="Arial"/>
                <w:b/>
                <w:bCs/>
                <w:sz w:val="22"/>
                <w:szCs w:val="22"/>
              </w:rPr>
              <w:t>2</w:t>
            </w:r>
            <w:r w:rsidR="000407D5">
              <w:rPr>
                <w:rFonts w:cs="Arial"/>
                <w:b/>
                <w:bCs/>
                <w:sz w:val="22"/>
                <w:szCs w:val="22"/>
              </w:rPr>
              <w:t>3</w:t>
            </w:r>
          </w:p>
        </w:tc>
        <w:tc>
          <w:tcPr>
            <w:tcW w:w="1276" w:type="dxa"/>
            <w:tcBorders>
              <w:left w:val="single" w:sz="4" w:space="0" w:color="auto"/>
              <w:right w:val="single" w:sz="4" w:space="0" w:color="auto"/>
            </w:tcBorders>
            <w:vAlign w:val="bottom"/>
          </w:tcPr>
          <w:p w14:paraId="20036D7F" w14:textId="00BF5A9A" w:rsidR="003415D7" w:rsidRPr="00BD7052" w:rsidRDefault="003415D7" w:rsidP="0017034E">
            <w:pPr>
              <w:jc w:val="right"/>
              <w:rPr>
                <w:rFonts w:cs="Arial"/>
                <w:b/>
                <w:bCs/>
                <w:sz w:val="22"/>
                <w:szCs w:val="22"/>
              </w:rPr>
            </w:pPr>
            <w:r w:rsidRPr="00BD7052">
              <w:rPr>
                <w:rFonts w:cs="Arial"/>
                <w:b/>
                <w:bCs/>
                <w:sz w:val="22"/>
                <w:szCs w:val="22"/>
              </w:rPr>
              <w:t>31.12.</w:t>
            </w:r>
            <w:r w:rsidR="00B648E6" w:rsidRPr="00BD7052">
              <w:rPr>
                <w:rFonts w:cs="Arial"/>
                <w:b/>
                <w:bCs/>
                <w:sz w:val="22"/>
                <w:szCs w:val="22"/>
              </w:rPr>
              <w:t>2</w:t>
            </w:r>
            <w:r w:rsidR="000407D5">
              <w:rPr>
                <w:rFonts w:cs="Arial"/>
                <w:b/>
                <w:bCs/>
                <w:sz w:val="22"/>
                <w:szCs w:val="22"/>
              </w:rPr>
              <w:t>3</w:t>
            </w:r>
          </w:p>
        </w:tc>
        <w:tc>
          <w:tcPr>
            <w:tcW w:w="1418" w:type="dxa"/>
            <w:tcBorders>
              <w:left w:val="single" w:sz="4" w:space="0" w:color="auto"/>
              <w:right w:val="single" w:sz="4" w:space="0" w:color="auto"/>
            </w:tcBorders>
            <w:vAlign w:val="bottom"/>
          </w:tcPr>
          <w:p w14:paraId="3E8C677F" w14:textId="46844ADC" w:rsidR="003415D7" w:rsidRPr="00BD7052" w:rsidRDefault="003415D7" w:rsidP="0017034E">
            <w:pPr>
              <w:jc w:val="center"/>
              <w:rPr>
                <w:rFonts w:cs="Arial"/>
                <w:b/>
                <w:bCs/>
                <w:sz w:val="22"/>
                <w:szCs w:val="22"/>
              </w:rPr>
            </w:pPr>
            <w:r w:rsidRPr="00BD7052">
              <w:rPr>
                <w:rFonts w:cs="Arial"/>
                <w:b/>
                <w:bCs/>
                <w:sz w:val="22"/>
                <w:szCs w:val="22"/>
              </w:rPr>
              <w:t>31.12.</w:t>
            </w:r>
            <w:r w:rsidR="00B648E6" w:rsidRPr="00BD7052">
              <w:rPr>
                <w:rFonts w:cs="Arial"/>
                <w:b/>
                <w:bCs/>
                <w:sz w:val="22"/>
                <w:szCs w:val="22"/>
              </w:rPr>
              <w:t>2</w:t>
            </w:r>
            <w:r w:rsidR="000407D5">
              <w:rPr>
                <w:rFonts w:cs="Arial"/>
                <w:b/>
                <w:bCs/>
                <w:sz w:val="22"/>
                <w:szCs w:val="22"/>
              </w:rPr>
              <w:t>3</w:t>
            </w:r>
          </w:p>
        </w:tc>
      </w:tr>
      <w:tr w:rsidR="003415D7" w:rsidRPr="00D26131" w14:paraId="207DC9FC" w14:textId="77777777" w:rsidTr="00173A88">
        <w:tc>
          <w:tcPr>
            <w:tcW w:w="4678" w:type="dxa"/>
            <w:tcBorders>
              <w:left w:val="single" w:sz="4" w:space="0" w:color="auto"/>
              <w:right w:val="single" w:sz="4" w:space="0" w:color="auto"/>
            </w:tcBorders>
            <w:vAlign w:val="bottom"/>
          </w:tcPr>
          <w:p w14:paraId="4BEE2197" w14:textId="77777777" w:rsidR="003415D7" w:rsidRPr="00BD7052" w:rsidRDefault="003415D7">
            <w:pPr>
              <w:rPr>
                <w:rFonts w:cs="Arial"/>
                <w:b/>
                <w:bCs/>
                <w:sz w:val="22"/>
                <w:szCs w:val="22"/>
              </w:rPr>
            </w:pPr>
            <w:r w:rsidRPr="00BD7052">
              <w:rPr>
                <w:rFonts w:cs="Arial"/>
                <w:b/>
                <w:bCs/>
                <w:sz w:val="22"/>
                <w:szCs w:val="22"/>
              </w:rPr>
              <w:t>Treasury investments</w:t>
            </w:r>
          </w:p>
        </w:tc>
        <w:tc>
          <w:tcPr>
            <w:tcW w:w="1276" w:type="dxa"/>
            <w:tcBorders>
              <w:left w:val="single" w:sz="4" w:space="0" w:color="auto"/>
              <w:right w:val="single" w:sz="4" w:space="0" w:color="auto"/>
            </w:tcBorders>
            <w:vAlign w:val="bottom"/>
          </w:tcPr>
          <w:p w14:paraId="098B7DC4" w14:textId="77777777" w:rsidR="003415D7" w:rsidRPr="00BD7052" w:rsidRDefault="003415D7">
            <w:pPr>
              <w:jc w:val="right"/>
              <w:rPr>
                <w:rFonts w:cs="Arial"/>
                <w:sz w:val="22"/>
                <w:szCs w:val="22"/>
              </w:rPr>
            </w:pPr>
            <w:r w:rsidRPr="00BD7052">
              <w:rPr>
                <w:rFonts w:cs="Arial"/>
                <w:sz w:val="22"/>
                <w:szCs w:val="22"/>
              </w:rPr>
              <w:t>£000</w:t>
            </w:r>
          </w:p>
        </w:tc>
        <w:tc>
          <w:tcPr>
            <w:tcW w:w="1417" w:type="dxa"/>
            <w:tcBorders>
              <w:left w:val="single" w:sz="4" w:space="0" w:color="auto"/>
              <w:right w:val="single" w:sz="4" w:space="0" w:color="auto"/>
            </w:tcBorders>
            <w:vAlign w:val="bottom"/>
          </w:tcPr>
          <w:p w14:paraId="47648EDC" w14:textId="77777777" w:rsidR="003415D7" w:rsidRPr="00BD7052" w:rsidRDefault="003415D7">
            <w:pPr>
              <w:jc w:val="center"/>
              <w:rPr>
                <w:rFonts w:cs="Arial"/>
                <w:sz w:val="22"/>
                <w:szCs w:val="22"/>
              </w:rPr>
            </w:pPr>
            <w:r w:rsidRPr="00BD7052">
              <w:rPr>
                <w:rFonts w:cs="Arial"/>
                <w:sz w:val="22"/>
                <w:szCs w:val="22"/>
              </w:rPr>
              <w:t xml:space="preserve">%  </w:t>
            </w:r>
          </w:p>
        </w:tc>
        <w:tc>
          <w:tcPr>
            <w:tcW w:w="1276" w:type="dxa"/>
            <w:tcBorders>
              <w:left w:val="single" w:sz="4" w:space="0" w:color="auto"/>
              <w:right w:val="single" w:sz="4" w:space="0" w:color="auto"/>
            </w:tcBorders>
            <w:vAlign w:val="bottom"/>
          </w:tcPr>
          <w:p w14:paraId="77C972C6" w14:textId="77777777" w:rsidR="003415D7" w:rsidRPr="00BD7052" w:rsidRDefault="003415D7">
            <w:pPr>
              <w:jc w:val="right"/>
              <w:rPr>
                <w:rFonts w:cs="Arial"/>
                <w:sz w:val="22"/>
                <w:szCs w:val="22"/>
              </w:rPr>
            </w:pPr>
            <w:r w:rsidRPr="00BD7052">
              <w:rPr>
                <w:rFonts w:cs="Arial"/>
                <w:sz w:val="22"/>
                <w:szCs w:val="22"/>
              </w:rPr>
              <w:t>£000</w:t>
            </w:r>
          </w:p>
        </w:tc>
        <w:tc>
          <w:tcPr>
            <w:tcW w:w="1418" w:type="dxa"/>
            <w:tcBorders>
              <w:left w:val="single" w:sz="4" w:space="0" w:color="auto"/>
              <w:right w:val="single" w:sz="4" w:space="0" w:color="auto"/>
            </w:tcBorders>
            <w:vAlign w:val="bottom"/>
          </w:tcPr>
          <w:p w14:paraId="06450281" w14:textId="77777777" w:rsidR="003415D7" w:rsidRPr="00BD7052" w:rsidRDefault="003415D7">
            <w:pPr>
              <w:jc w:val="center"/>
              <w:rPr>
                <w:rFonts w:cs="Arial"/>
                <w:sz w:val="22"/>
                <w:szCs w:val="22"/>
              </w:rPr>
            </w:pPr>
            <w:r w:rsidRPr="00BD7052">
              <w:rPr>
                <w:rFonts w:cs="Arial"/>
                <w:sz w:val="22"/>
                <w:szCs w:val="22"/>
              </w:rPr>
              <w:t xml:space="preserve">%  </w:t>
            </w:r>
          </w:p>
        </w:tc>
      </w:tr>
      <w:tr w:rsidR="003415D7" w:rsidRPr="00D26131" w14:paraId="5B79427F" w14:textId="77777777" w:rsidTr="00173A88">
        <w:tc>
          <w:tcPr>
            <w:tcW w:w="4678" w:type="dxa"/>
            <w:tcBorders>
              <w:left w:val="single" w:sz="4" w:space="0" w:color="auto"/>
              <w:right w:val="single" w:sz="4" w:space="0" w:color="auto"/>
            </w:tcBorders>
            <w:vAlign w:val="bottom"/>
          </w:tcPr>
          <w:p w14:paraId="14BA8817" w14:textId="77777777" w:rsidR="003415D7" w:rsidRPr="00BD7052" w:rsidRDefault="00754D1B">
            <w:pPr>
              <w:rPr>
                <w:rFonts w:cs="Arial"/>
                <w:sz w:val="22"/>
                <w:szCs w:val="22"/>
              </w:rPr>
            </w:pPr>
            <w:r w:rsidRPr="00BD7052">
              <w:rPr>
                <w:rFonts w:cs="Arial"/>
                <w:sz w:val="22"/>
                <w:szCs w:val="22"/>
              </w:rPr>
              <w:t>B</w:t>
            </w:r>
            <w:r w:rsidR="003415D7" w:rsidRPr="00BD7052">
              <w:rPr>
                <w:rFonts w:cs="Arial"/>
                <w:sz w:val="22"/>
                <w:szCs w:val="22"/>
              </w:rPr>
              <w:t>anks</w:t>
            </w:r>
          </w:p>
        </w:tc>
        <w:tc>
          <w:tcPr>
            <w:tcW w:w="1276" w:type="dxa"/>
            <w:tcBorders>
              <w:left w:val="single" w:sz="4" w:space="0" w:color="auto"/>
              <w:right w:val="single" w:sz="4" w:space="0" w:color="auto"/>
            </w:tcBorders>
            <w:vAlign w:val="bottom"/>
          </w:tcPr>
          <w:p w14:paraId="53038F07" w14:textId="1AF24DF4" w:rsidR="003415D7" w:rsidRPr="00BD7052" w:rsidRDefault="00D23F78" w:rsidP="007A3389">
            <w:pPr>
              <w:jc w:val="right"/>
              <w:rPr>
                <w:rFonts w:cs="Arial"/>
                <w:sz w:val="22"/>
                <w:szCs w:val="22"/>
              </w:rPr>
            </w:pPr>
            <w:r>
              <w:rPr>
                <w:rFonts w:cs="Arial"/>
                <w:sz w:val="22"/>
                <w:szCs w:val="22"/>
              </w:rPr>
              <w:t>2,163</w:t>
            </w:r>
          </w:p>
        </w:tc>
        <w:tc>
          <w:tcPr>
            <w:tcW w:w="1417" w:type="dxa"/>
            <w:tcBorders>
              <w:left w:val="single" w:sz="4" w:space="0" w:color="auto"/>
              <w:right w:val="single" w:sz="4" w:space="0" w:color="auto"/>
            </w:tcBorders>
            <w:vAlign w:val="bottom"/>
          </w:tcPr>
          <w:p w14:paraId="4A92F3FB" w14:textId="5A499DF5" w:rsidR="003415D7" w:rsidRPr="00BD7052" w:rsidRDefault="00C96897" w:rsidP="007A3389">
            <w:pPr>
              <w:jc w:val="center"/>
              <w:rPr>
                <w:rFonts w:cs="Arial"/>
                <w:sz w:val="22"/>
                <w:szCs w:val="22"/>
              </w:rPr>
            </w:pPr>
            <w:r>
              <w:rPr>
                <w:rFonts w:cs="Arial"/>
                <w:sz w:val="22"/>
                <w:szCs w:val="22"/>
              </w:rPr>
              <w:t>7</w:t>
            </w:r>
            <w:r w:rsidR="003415D7" w:rsidRPr="00BD7052">
              <w:rPr>
                <w:rFonts w:cs="Arial"/>
                <w:sz w:val="22"/>
                <w:szCs w:val="22"/>
              </w:rPr>
              <w:t>%</w:t>
            </w:r>
          </w:p>
        </w:tc>
        <w:tc>
          <w:tcPr>
            <w:tcW w:w="1276" w:type="dxa"/>
            <w:tcBorders>
              <w:left w:val="single" w:sz="4" w:space="0" w:color="auto"/>
              <w:right w:val="single" w:sz="4" w:space="0" w:color="auto"/>
            </w:tcBorders>
            <w:vAlign w:val="bottom"/>
          </w:tcPr>
          <w:p w14:paraId="02A6C85E" w14:textId="497B3D08" w:rsidR="003415D7" w:rsidRPr="00BD7052" w:rsidRDefault="00C96897">
            <w:pPr>
              <w:jc w:val="right"/>
              <w:rPr>
                <w:rFonts w:cs="Arial"/>
                <w:sz w:val="22"/>
                <w:szCs w:val="22"/>
              </w:rPr>
            </w:pPr>
            <w:r>
              <w:rPr>
                <w:rFonts w:cs="Arial"/>
                <w:sz w:val="22"/>
                <w:szCs w:val="22"/>
              </w:rPr>
              <w:t>1,450</w:t>
            </w:r>
          </w:p>
        </w:tc>
        <w:tc>
          <w:tcPr>
            <w:tcW w:w="1418" w:type="dxa"/>
            <w:tcBorders>
              <w:left w:val="single" w:sz="4" w:space="0" w:color="auto"/>
              <w:right w:val="single" w:sz="4" w:space="0" w:color="auto"/>
            </w:tcBorders>
            <w:vAlign w:val="bottom"/>
          </w:tcPr>
          <w:p w14:paraId="53616C01" w14:textId="47DEE153" w:rsidR="003415D7" w:rsidRPr="00BD7052" w:rsidRDefault="00C96897">
            <w:pPr>
              <w:jc w:val="center"/>
              <w:rPr>
                <w:rFonts w:cs="Arial"/>
                <w:sz w:val="22"/>
                <w:szCs w:val="22"/>
              </w:rPr>
            </w:pPr>
            <w:r>
              <w:rPr>
                <w:rFonts w:cs="Arial"/>
                <w:sz w:val="22"/>
                <w:szCs w:val="22"/>
              </w:rPr>
              <w:t>3</w:t>
            </w:r>
            <w:r w:rsidR="008E487E">
              <w:rPr>
                <w:rFonts w:cs="Arial"/>
                <w:sz w:val="22"/>
                <w:szCs w:val="22"/>
              </w:rPr>
              <w:t>9</w:t>
            </w:r>
            <w:r w:rsidR="003415D7" w:rsidRPr="00BD7052">
              <w:rPr>
                <w:rFonts w:cs="Arial"/>
                <w:sz w:val="22"/>
                <w:szCs w:val="22"/>
              </w:rPr>
              <w:t>%</w:t>
            </w:r>
          </w:p>
        </w:tc>
      </w:tr>
      <w:tr w:rsidR="003415D7" w:rsidRPr="00D26131" w14:paraId="08097294" w14:textId="77777777" w:rsidTr="00173A88">
        <w:tc>
          <w:tcPr>
            <w:tcW w:w="4678" w:type="dxa"/>
            <w:tcBorders>
              <w:left w:val="single" w:sz="4" w:space="0" w:color="auto"/>
              <w:right w:val="single" w:sz="4" w:space="0" w:color="auto"/>
            </w:tcBorders>
            <w:vAlign w:val="bottom"/>
          </w:tcPr>
          <w:p w14:paraId="55F8F4B3" w14:textId="77777777" w:rsidR="003415D7" w:rsidRPr="00BD7052" w:rsidRDefault="003415D7">
            <w:pPr>
              <w:rPr>
                <w:rFonts w:cs="Arial"/>
                <w:sz w:val="22"/>
                <w:szCs w:val="22"/>
              </w:rPr>
            </w:pPr>
            <w:r w:rsidRPr="00BD7052">
              <w:rPr>
                <w:rFonts w:cs="Arial"/>
                <w:sz w:val="22"/>
                <w:szCs w:val="22"/>
              </w:rPr>
              <w:t>DMADF (</w:t>
            </w:r>
            <w:proofErr w:type="spellStart"/>
            <w:r w:rsidRPr="00BD7052">
              <w:rPr>
                <w:rFonts w:cs="Arial"/>
                <w:sz w:val="22"/>
                <w:szCs w:val="22"/>
              </w:rPr>
              <w:t>H.M.Treasury</w:t>
            </w:r>
            <w:proofErr w:type="spellEnd"/>
            <w:r w:rsidRPr="00BD7052">
              <w:rPr>
                <w:rFonts w:cs="Arial"/>
                <w:sz w:val="22"/>
                <w:szCs w:val="22"/>
              </w:rPr>
              <w:t>)</w:t>
            </w:r>
          </w:p>
        </w:tc>
        <w:tc>
          <w:tcPr>
            <w:tcW w:w="1276" w:type="dxa"/>
            <w:tcBorders>
              <w:left w:val="single" w:sz="4" w:space="0" w:color="auto"/>
              <w:right w:val="single" w:sz="4" w:space="0" w:color="auto"/>
            </w:tcBorders>
            <w:vAlign w:val="bottom"/>
          </w:tcPr>
          <w:p w14:paraId="4AD06CD0" w14:textId="4C3DCD99" w:rsidR="003415D7" w:rsidRPr="00BD7052" w:rsidRDefault="00D23F78">
            <w:pPr>
              <w:jc w:val="right"/>
              <w:rPr>
                <w:rFonts w:cs="Arial"/>
                <w:sz w:val="22"/>
                <w:szCs w:val="22"/>
              </w:rPr>
            </w:pPr>
            <w:r>
              <w:rPr>
                <w:rFonts w:cs="Arial"/>
                <w:sz w:val="22"/>
                <w:szCs w:val="22"/>
              </w:rPr>
              <w:t>8</w:t>
            </w:r>
            <w:r w:rsidR="008E487E">
              <w:rPr>
                <w:rFonts w:cs="Arial"/>
                <w:sz w:val="22"/>
                <w:szCs w:val="22"/>
              </w:rPr>
              <w:t>,5</w:t>
            </w:r>
            <w:r w:rsidR="00BA2080">
              <w:rPr>
                <w:rFonts w:cs="Arial"/>
                <w:sz w:val="22"/>
                <w:szCs w:val="22"/>
              </w:rPr>
              <w:t>0</w:t>
            </w:r>
            <w:r w:rsidR="003415D7" w:rsidRPr="00BD7052">
              <w:rPr>
                <w:rFonts w:cs="Arial"/>
                <w:sz w:val="22"/>
                <w:szCs w:val="22"/>
              </w:rPr>
              <w:t>0</w:t>
            </w:r>
          </w:p>
        </w:tc>
        <w:tc>
          <w:tcPr>
            <w:tcW w:w="1417" w:type="dxa"/>
            <w:tcBorders>
              <w:left w:val="single" w:sz="4" w:space="0" w:color="auto"/>
              <w:right w:val="single" w:sz="4" w:space="0" w:color="auto"/>
            </w:tcBorders>
            <w:vAlign w:val="bottom"/>
          </w:tcPr>
          <w:p w14:paraId="38EB5615" w14:textId="59E18BEB" w:rsidR="003415D7" w:rsidRPr="00BD7052" w:rsidRDefault="00C96897">
            <w:pPr>
              <w:jc w:val="center"/>
              <w:rPr>
                <w:rFonts w:cs="Arial"/>
                <w:sz w:val="22"/>
                <w:szCs w:val="22"/>
              </w:rPr>
            </w:pPr>
            <w:r>
              <w:rPr>
                <w:rFonts w:cs="Arial"/>
                <w:sz w:val="22"/>
                <w:szCs w:val="22"/>
              </w:rPr>
              <w:t>30</w:t>
            </w:r>
            <w:r w:rsidR="003415D7" w:rsidRPr="00BD7052">
              <w:rPr>
                <w:rFonts w:cs="Arial"/>
                <w:sz w:val="22"/>
                <w:szCs w:val="22"/>
              </w:rPr>
              <w:t>%</w:t>
            </w:r>
          </w:p>
        </w:tc>
        <w:tc>
          <w:tcPr>
            <w:tcW w:w="1276" w:type="dxa"/>
            <w:tcBorders>
              <w:left w:val="single" w:sz="4" w:space="0" w:color="auto"/>
              <w:right w:val="single" w:sz="4" w:space="0" w:color="auto"/>
            </w:tcBorders>
            <w:vAlign w:val="bottom"/>
          </w:tcPr>
          <w:p w14:paraId="37523A66" w14:textId="5E2D153C" w:rsidR="003415D7" w:rsidRPr="00BD7052" w:rsidRDefault="00D23F78">
            <w:pPr>
              <w:jc w:val="right"/>
              <w:rPr>
                <w:rFonts w:cs="Arial"/>
                <w:sz w:val="22"/>
                <w:szCs w:val="22"/>
              </w:rPr>
            </w:pPr>
            <w:r>
              <w:rPr>
                <w:rFonts w:cs="Arial"/>
                <w:sz w:val="22"/>
                <w:szCs w:val="22"/>
              </w:rPr>
              <w:t>0</w:t>
            </w:r>
          </w:p>
        </w:tc>
        <w:tc>
          <w:tcPr>
            <w:tcW w:w="1418" w:type="dxa"/>
            <w:tcBorders>
              <w:left w:val="single" w:sz="4" w:space="0" w:color="auto"/>
              <w:right w:val="single" w:sz="4" w:space="0" w:color="auto"/>
            </w:tcBorders>
            <w:vAlign w:val="bottom"/>
          </w:tcPr>
          <w:p w14:paraId="68971B91" w14:textId="0A945FFF" w:rsidR="003415D7" w:rsidRPr="00BD7052" w:rsidRDefault="00C96897">
            <w:pPr>
              <w:jc w:val="center"/>
              <w:rPr>
                <w:rFonts w:cs="Arial"/>
                <w:sz w:val="22"/>
                <w:szCs w:val="22"/>
              </w:rPr>
            </w:pPr>
            <w:r>
              <w:rPr>
                <w:rFonts w:cs="Arial"/>
                <w:sz w:val="22"/>
                <w:szCs w:val="22"/>
              </w:rPr>
              <w:t>0</w:t>
            </w:r>
            <w:r w:rsidR="003415D7" w:rsidRPr="00BD7052">
              <w:rPr>
                <w:rFonts w:cs="Arial"/>
                <w:sz w:val="22"/>
                <w:szCs w:val="22"/>
              </w:rPr>
              <w:t>%</w:t>
            </w:r>
          </w:p>
        </w:tc>
      </w:tr>
      <w:tr w:rsidR="003415D7" w:rsidRPr="00D26131" w14:paraId="1156E97B" w14:textId="77777777" w:rsidTr="00173A88">
        <w:tc>
          <w:tcPr>
            <w:tcW w:w="4678" w:type="dxa"/>
            <w:tcBorders>
              <w:left w:val="single" w:sz="4" w:space="0" w:color="auto"/>
              <w:right w:val="single" w:sz="4" w:space="0" w:color="auto"/>
            </w:tcBorders>
            <w:vAlign w:val="bottom"/>
          </w:tcPr>
          <w:p w14:paraId="6D7D56A1" w14:textId="5C17B4D7" w:rsidR="003415D7" w:rsidRPr="00BD7052" w:rsidRDefault="00FA58EC">
            <w:pPr>
              <w:rPr>
                <w:rFonts w:cs="Arial"/>
                <w:sz w:val="22"/>
                <w:szCs w:val="22"/>
              </w:rPr>
            </w:pPr>
            <w:r>
              <w:rPr>
                <w:rFonts w:cs="Arial"/>
                <w:sz w:val="22"/>
                <w:szCs w:val="22"/>
              </w:rPr>
              <w:t>M</w:t>
            </w:r>
            <w:r w:rsidR="003415D7" w:rsidRPr="00BD7052">
              <w:rPr>
                <w:rFonts w:cs="Arial"/>
                <w:sz w:val="22"/>
                <w:szCs w:val="22"/>
              </w:rPr>
              <w:t xml:space="preserve">oney </w:t>
            </w:r>
            <w:r>
              <w:rPr>
                <w:rFonts w:cs="Arial"/>
                <w:sz w:val="22"/>
                <w:szCs w:val="22"/>
              </w:rPr>
              <w:t>M</w:t>
            </w:r>
            <w:r w:rsidR="003415D7" w:rsidRPr="00BD7052">
              <w:rPr>
                <w:rFonts w:cs="Arial"/>
                <w:sz w:val="22"/>
                <w:szCs w:val="22"/>
              </w:rPr>
              <w:t xml:space="preserve">arket </w:t>
            </w:r>
            <w:r w:rsidR="00B91071">
              <w:rPr>
                <w:rFonts w:cs="Arial"/>
                <w:sz w:val="22"/>
                <w:szCs w:val="22"/>
              </w:rPr>
              <w:t>F</w:t>
            </w:r>
            <w:r w:rsidR="003415D7" w:rsidRPr="00BD7052">
              <w:rPr>
                <w:rFonts w:cs="Arial"/>
                <w:sz w:val="22"/>
                <w:szCs w:val="22"/>
              </w:rPr>
              <w:t>unds</w:t>
            </w:r>
          </w:p>
        </w:tc>
        <w:tc>
          <w:tcPr>
            <w:tcW w:w="1276" w:type="dxa"/>
            <w:tcBorders>
              <w:left w:val="single" w:sz="4" w:space="0" w:color="auto"/>
              <w:right w:val="single" w:sz="4" w:space="0" w:color="auto"/>
            </w:tcBorders>
            <w:vAlign w:val="bottom"/>
          </w:tcPr>
          <w:p w14:paraId="7C714789" w14:textId="37C27159" w:rsidR="003415D7" w:rsidRPr="00BD7052" w:rsidRDefault="00D23F78">
            <w:pPr>
              <w:jc w:val="right"/>
              <w:rPr>
                <w:rFonts w:cs="Arial"/>
                <w:sz w:val="22"/>
                <w:szCs w:val="22"/>
              </w:rPr>
            </w:pPr>
            <w:r>
              <w:rPr>
                <w:rFonts w:cs="Arial"/>
                <w:sz w:val="22"/>
                <w:szCs w:val="22"/>
              </w:rPr>
              <w:t>18</w:t>
            </w:r>
            <w:r w:rsidR="00D62101" w:rsidRPr="00BD7052">
              <w:rPr>
                <w:rFonts w:cs="Arial"/>
                <w:sz w:val="22"/>
                <w:szCs w:val="22"/>
              </w:rPr>
              <w:t>,</w:t>
            </w:r>
            <w:r>
              <w:rPr>
                <w:rFonts w:cs="Arial"/>
                <w:sz w:val="22"/>
                <w:szCs w:val="22"/>
              </w:rPr>
              <w:t>5</w:t>
            </w:r>
            <w:r w:rsidR="00D62101" w:rsidRPr="00BD7052">
              <w:rPr>
                <w:rFonts w:cs="Arial"/>
                <w:sz w:val="22"/>
                <w:szCs w:val="22"/>
              </w:rPr>
              <w:t>00</w:t>
            </w:r>
          </w:p>
        </w:tc>
        <w:tc>
          <w:tcPr>
            <w:tcW w:w="1417" w:type="dxa"/>
            <w:tcBorders>
              <w:left w:val="single" w:sz="4" w:space="0" w:color="auto"/>
              <w:right w:val="single" w:sz="4" w:space="0" w:color="auto"/>
            </w:tcBorders>
            <w:vAlign w:val="bottom"/>
          </w:tcPr>
          <w:p w14:paraId="20D24616" w14:textId="2BBDCDE4" w:rsidR="003415D7" w:rsidRPr="00BD7052" w:rsidRDefault="00C96897">
            <w:pPr>
              <w:jc w:val="center"/>
              <w:rPr>
                <w:rFonts w:cs="Arial"/>
                <w:sz w:val="22"/>
                <w:szCs w:val="22"/>
              </w:rPr>
            </w:pPr>
            <w:r>
              <w:rPr>
                <w:rFonts w:cs="Arial"/>
                <w:sz w:val="22"/>
                <w:szCs w:val="22"/>
              </w:rPr>
              <w:t>63</w:t>
            </w:r>
            <w:r w:rsidR="003415D7" w:rsidRPr="00BD7052">
              <w:rPr>
                <w:rFonts w:cs="Arial"/>
                <w:sz w:val="22"/>
                <w:szCs w:val="22"/>
              </w:rPr>
              <w:t>%</w:t>
            </w:r>
          </w:p>
        </w:tc>
        <w:tc>
          <w:tcPr>
            <w:tcW w:w="1276" w:type="dxa"/>
            <w:tcBorders>
              <w:left w:val="single" w:sz="4" w:space="0" w:color="auto"/>
              <w:right w:val="single" w:sz="4" w:space="0" w:color="auto"/>
            </w:tcBorders>
            <w:vAlign w:val="bottom"/>
          </w:tcPr>
          <w:p w14:paraId="3DD78273" w14:textId="45AD6427" w:rsidR="003415D7" w:rsidRPr="00BD7052" w:rsidRDefault="00BD7052" w:rsidP="00A540DF">
            <w:pPr>
              <w:jc w:val="right"/>
              <w:rPr>
                <w:rFonts w:cs="Arial"/>
                <w:sz w:val="22"/>
                <w:szCs w:val="22"/>
              </w:rPr>
            </w:pPr>
            <w:r w:rsidRPr="00BD7052">
              <w:rPr>
                <w:rFonts w:cs="Arial"/>
                <w:sz w:val="22"/>
                <w:szCs w:val="22"/>
              </w:rPr>
              <w:t>2</w:t>
            </w:r>
            <w:r w:rsidR="00E90773" w:rsidRPr="00BD7052">
              <w:rPr>
                <w:rFonts w:cs="Arial"/>
                <w:sz w:val="22"/>
                <w:szCs w:val="22"/>
              </w:rPr>
              <w:t>,</w:t>
            </w:r>
            <w:r w:rsidR="00D23F78">
              <w:rPr>
                <w:rFonts w:cs="Arial"/>
                <w:sz w:val="22"/>
                <w:szCs w:val="22"/>
              </w:rPr>
              <w:t>25</w:t>
            </w:r>
            <w:r w:rsidR="00E90773" w:rsidRPr="00BD7052">
              <w:rPr>
                <w:rFonts w:cs="Arial"/>
                <w:sz w:val="22"/>
                <w:szCs w:val="22"/>
              </w:rPr>
              <w:t>0</w:t>
            </w:r>
          </w:p>
        </w:tc>
        <w:tc>
          <w:tcPr>
            <w:tcW w:w="1418" w:type="dxa"/>
            <w:tcBorders>
              <w:left w:val="single" w:sz="4" w:space="0" w:color="auto"/>
              <w:right w:val="single" w:sz="4" w:space="0" w:color="auto"/>
            </w:tcBorders>
            <w:vAlign w:val="bottom"/>
          </w:tcPr>
          <w:p w14:paraId="0FB4420F" w14:textId="7577BE56" w:rsidR="003415D7" w:rsidRPr="00BD7052" w:rsidRDefault="00C96897">
            <w:pPr>
              <w:jc w:val="center"/>
              <w:rPr>
                <w:rFonts w:cs="Arial"/>
                <w:sz w:val="22"/>
                <w:szCs w:val="22"/>
              </w:rPr>
            </w:pPr>
            <w:r>
              <w:rPr>
                <w:rFonts w:cs="Arial"/>
                <w:sz w:val="22"/>
                <w:szCs w:val="22"/>
              </w:rPr>
              <w:t>61</w:t>
            </w:r>
            <w:r w:rsidR="003415D7" w:rsidRPr="00BD7052">
              <w:rPr>
                <w:rFonts w:cs="Arial"/>
                <w:sz w:val="22"/>
                <w:szCs w:val="22"/>
              </w:rPr>
              <w:t>%</w:t>
            </w:r>
          </w:p>
        </w:tc>
      </w:tr>
      <w:tr w:rsidR="003415D7" w:rsidRPr="00D26131" w14:paraId="53373449" w14:textId="77777777" w:rsidTr="00173A88">
        <w:tc>
          <w:tcPr>
            <w:tcW w:w="4678" w:type="dxa"/>
            <w:tcBorders>
              <w:top w:val="single" w:sz="4" w:space="0" w:color="auto"/>
              <w:left w:val="single" w:sz="4" w:space="0" w:color="auto"/>
              <w:bottom w:val="single" w:sz="4" w:space="0" w:color="auto"/>
              <w:right w:val="single" w:sz="4" w:space="0" w:color="auto"/>
            </w:tcBorders>
            <w:vAlign w:val="bottom"/>
          </w:tcPr>
          <w:p w14:paraId="4E47D7B8" w14:textId="77777777" w:rsidR="003415D7" w:rsidRPr="00BD7052" w:rsidRDefault="003415D7">
            <w:pPr>
              <w:rPr>
                <w:rFonts w:cs="Arial"/>
                <w:b/>
                <w:bCs/>
                <w:sz w:val="22"/>
                <w:szCs w:val="22"/>
              </w:rPr>
            </w:pPr>
            <w:r w:rsidRPr="00BD7052">
              <w:rPr>
                <w:rFonts w:cs="Arial"/>
                <w:b/>
                <w:bCs/>
                <w:sz w:val="22"/>
                <w:szCs w:val="22"/>
              </w:rPr>
              <w:t>Total managed in house</w:t>
            </w:r>
          </w:p>
        </w:tc>
        <w:tc>
          <w:tcPr>
            <w:tcW w:w="1276" w:type="dxa"/>
            <w:tcBorders>
              <w:top w:val="single" w:sz="4" w:space="0" w:color="auto"/>
              <w:left w:val="single" w:sz="4" w:space="0" w:color="auto"/>
              <w:bottom w:val="single" w:sz="4" w:space="0" w:color="auto"/>
              <w:right w:val="single" w:sz="4" w:space="0" w:color="auto"/>
            </w:tcBorders>
            <w:vAlign w:val="bottom"/>
          </w:tcPr>
          <w:p w14:paraId="352B84FD" w14:textId="4326887E" w:rsidR="003415D7" w:rsidRPr="00BD7052" w:rsidRDefault="00D23F78" w:rsidP="007A3389">
            <w:pPr>
              <w:jc w:val="right"/>
              <w:rPr>
                <w:rFonts w:cs="Arial"/>
                <w:b/>
                <w:bCs/>
                <w:sz w:val="22"/>
                <w:szCs w:val="22"/>
              </w:rPr>
            </w:pPr>
            <w:r>
              <w:rPr>
                <w:rFonts w:cs="Arial"/>
                <w:b/>
                <w:bCs/>
                <w:sz w:val="22"/>
                <w:szCs w:val="22"/>
              </w:rPr>
              <w:t>29,163</w:t>
            </w:r>
          </w:p>
        </w:tc>
        <w:tc>
          <w:tcPr>
            <w:tcW w:w="1417" w:type="dxa"/>
            <w:tcBorders>
              <w:top w:val="single" w:sz="4" w:space="0" w:color="auto"/>
              <w:left w:val="single" w:sz="4" w:space="0" w:color="auto"/>
              <w:bottom w:val="single" w:sz="4" w:space="0" w:color="auto"/>
              <w:right w:val="single" w:sz="4" w:space="0" w:color="auto"/>
            </w:tcBorders>
            <w:vAlign w:val="bottom"/>
          </w:tcPr>
          <w:p w14:paraId="61999AE6" w14:textId="77777777" w:rsidR="003415D7" w:rsidRPr="00BD7052" w:rsidRDefault="003415D7">
            <w:pPr>
              <w:jc w:val="center"/>
              <w:rPr>
                <w:rFonts w:cs="Arial"/>
                <w:b/>
                <w:bCs/>
                <w:sz w:val="22"/>
                <w:szCs w:val="22"/>
              </w:rPr>
            </w:pPr>
            <w:r w:rsidRPr="00BD7052">
              <w:rPr>
                <w:rFonts w:cs="Arial"/>
                <w:b/>
                <w:bCs/>
                <w:sz w:val="22"/>
                <w:szCs w:val="22"/>
              </w:rPr>
              <w:t>100%</w:t>
            </w:r>
          </w:p>
        </w:tc>
        <w:tc>
          <w:tcPr>
            <w:tcW w:w="1276" w:type="dxa"/>
            <w:tcBorders>
              <w:top w:val="single" w:sz="4" w:space="0" w:color="auto"/>
              <w:left w:val="single" w:sz="4" w:space="0" w:color="auto"/>
              <w:bottom w:val="single" w:sz="4" w:space="0" w:color="auto"/>
              <w:right w:val="single" w:sz="4" w:space="0" w:color="auto"/>
            </w:tcBorders>
            <w:vAlign w:val="bottom"/>
          </w:tcPr>
          <w:p w14:paraId="5CD86436" w14:textId="372FC79B" w:rsidR="003415D7" w:rsidRPr="00BD7052" w:rsidRDefault="00C96897">
            <w:pPr>
              <w:jc w:val="right"/>
              <w:rPr>
                <w:rFonts w:cs="Arial"/>
                <w:b/>
                <w:bCs/>
                <w:sz w:val="22"/>
                <w:szCs w:val="22"/>
              </w:rPr>
            </w:pPr>
            <w:r>
              <w:rPr>
                <w:rFonts w:cs="Arial"/>
                <w:b/>
                <w:bCs/>
                <w:sz w:val="22"/>
                <w:szCs w:val="22"/>
              </w:rPr>
              <w:t>3,700</w:t>
            </w:r>
          </w:p>
        </w:tc>
        <w:tc>
          <w:tcPr>
            <w:tcW w:w="1418" w:type="dxa"/>
            <w:tcBorders>
              <w:top w:val="single" w:sz="4" w:space="0" w:color="auto"/>
              <w:left w:val="single" w:sz="4" w:space="0" w:color="auto"/>
              <w:bottom w:val="single" w:sz="4" w:space="0" w:color="auto"/>
              <w:right w:val="single" w:sz="4" w:space="0" w:color="auto"/>
            </w:tcBorders>
            <w:vAlign w:val="bottom"/>
          </w:tcPr>
          <w:p w14:paraId="748952B7" w14:textId="77777777" w:rsidR="003415D7" w:rsidRPr="00BD7052" w:rsidRDefault="003415D7">
            <w:pPr>
              <w:jc w:val="center"/>
              <w:rPr>
                <w:rFonts w:cs="Arial"/>
                <w:b/>
                <w:bCs/>
                <w:sz w:val="22"/>
                <w:szCs w:val="22"/>
              </w:rPr>
            </w:pPr>
            <w:r w:rsidRPr="00BD7052">
              <w:rPr>
                <w:rFonts w:cs="Arial"/>
                <w:b/>
                <w:bCs/>
                <w:sz w:val="22"/>
                <w:szCs w:val="22"/>
              </w:rPr>
              <w:t>100%</w:t>
            </w:r>
          </w:p>
        </w:tc>
      </w:tr>
      <w:tr w:rsidR="003415D7" w:rsidRPr="00D26131" w14:paraId="6B5ECD4C" w14:textId="77777777" w:rsidTr="00173A88">
        <w:tc>
          <w:tcPr>
            <w:tcW w:w="4678" w:type="dxa"/>
            <w:tcBorders>
              <w:top w:val="single" w:sz="4" w:space="0" w:color="auto"/>
              <w:left w:val="single" w:sz="4" w:space="0" w:color="auto"/>
              <w:bottom w:val="single" w:sz="4" w:space="0" w:color="auto"/>
              <w:right w:val="single" w:sz="4" w:space="0" w:color="auto"/>
            </w:tcBorders>
            <w:vAlign w:val="bottom"/>
          </w:tcPr>
          <w:p w14:paraId="07DDAD77" w14:textId="77777777" w:rsidR="003415D7" w:rsidRPr="00BD7052" w:rsidRDefault="003415D7">
            <w:pPr>
              <w:rPr>
                <w:rFonts w:cs="Arial"/>
                <w:b/>
                <w:bCs/>
                <w:sz w:val="22"/>
                <w:szCs w:val="22"/>
              </w:rPr>
            </w:pPr>
            <w:r w:rsidRPr="00BD7052">
              <w:rPr>
                <w:rFonts w:cs="Arial"/>
                <w:b/>
                <w:bCs/>
                <w:sz w:val="22"/>
                <w:szCs w:val="22"/>
              </w:rPr>
              <w:t>Total managed externally</w:t>
            </w:r>
          </w:p>
        </w:tc>
        <w:tc>
          <w:tcPr>
            <w:tcW w:w="1276" w:type="dxa"/>
            <w:tcBorders>
              <w:top w:val="single" w:sz="4" w:space="0" w:color="auto"/>
              <w:left w:val="single" w:sz="4" w:space="0" w:color="auto"/>
              <w:bottom w:val="single" w:sz="4" w:space="0" w:color="auto"/>
              <w:right w:val="single" w:sz="4" w:space="0" w:color="auto"/>
            </w:tcBorders>
            <w:vAlign w:val="bottom"/>
          </w:tcPr>
          <w:p w14:paraId="5E5452A5" w14:textId="77777777" w:rsidR="003415D7" w:rsidRPr="00BD7052" w:rsidRDefault="003415D7">
            <w:pPr>
              <w:jc w:val="right"/>
              <w:rPr>
                <w:rFonts w:cs="Arial"/>
                <w:b/>
                <w:bCs/>
                <w:sz w:val="22"/>
                <w:szCs w:val="22"/>
              </w:rPr>
            </w:pPr>
            <w:r w:rsidRPr="00BD7052">
              <w:rPr>
                <w:rFonts w:cs="Arial"/>
                <w:b/>
                <w:bCs/>
                <w:sz w:val="22"/>
                <w:szCs w:val="22"/>
              </w:rPr>
              <w:t>0</w:t>
            </w:r>
          </w:p>
        </w:tc>
        <w:tc>
          <w:tcPr>
            <w:tcW w:w="1417" w:type="dxa"/>
            <w:tcBorders>
              <w:top w:val="single" w:sz="4" w:space="0" w:color="auto"/>
              <w:left w:val="single" w:sz="4" w:space="0" w:color="auto"/>
              <w:bottom w:val="single" w:sz="4" w:space="0" w:color="auto"/>
              <w:right w:val="single" w:sz="4" w:space="0" w:color="auto"/>
            </w:tcBorders>
            <w:vAlign w:val="bottom"/>
          </w:tcPr>
          <w:p w14:paraId="63F3686B" w14:textId="77777777" w:rsidR="003415D7" w:rsidRPr="00BD7052" w:rsidRDefault="003415D7">
            <w:pPr>
              <w:jc w:val="center"/>
              <w:rPr>
                <w:rFonts w:cs="Arial"/>
                <w:b/>
                <w:bCs/>
                <w:sz w:val="22"/>
                <w:szCs w:val="22"/>
              </w:rPr>
            </w:pPr>
            <w:r w:rsidRPr="00BD7052">
              <w:rPr>
                <w:rFonts w:cs="Arial"/>
                <w:b/>
                <w:bCs/>
                <w:sz w:val="22"/>
                <w:szCs w:val="22"/>
              </w:rPr>
              <w:t>0%</w:t>
            </w:r>
          </w:p>
        </w:tc>
        <w:tc>
          <w:tcPr>
            <w:tcW w:w="1276" w:type="dxa"/>
            <w:tcBorders>
              <w:top w:val="single" w:sz="4" w:space="0" w:color="auto"/>
              <w:left w:val="single" w:sz="4" w:space="0" w:color="auto"/>
              <w:bottom w:val="single" w:sz="4" w:space="0" w:color="auto"/>
              <w:right w:val="single" w:sz="4" w:space="0" w:color="auto"/>
            </w:tcBorders>
            <w:vAlign w:val="bottom"/>
          </w:tcPr>
          <w:p w14:paraId="0BF9C0F8" w14:textId="77777777" w:rsidR="003415D7" w:rsidRPr="00BD7052" w:rsidRDefault="003415D7">
            <w:pPr>
              <w:jc w:val="right"/>
              <w:rPr>
                <w:rFonts w:cs="Arial"/>
                <w:b/>
                <w:bCs/>
                <w:sz w:val="22"/>
                <w:szCs w:val="22"/>
              </w:rPr>
            </w:pPr>
            <w:r w:rsidRPr="00BD7052">
              <w:rPr>
                <w:rFonts w:cs="Arial"/>
                <w:b/>
                <w:bCs/>
                <w:sz w:val="22"/>
                <w:szCs w:val="22"/>
              </w:rPr>
              <w:t>0</w:t>
            </w:r>
          </w:p>
        </w:tc>
        <w:tc>
          <w:tcPr>
            <w:tcW w:w="1418" w:type="dxa"/>
            <w:tcBorders>
              <w:top w:val="single" w:sz="4" w:space="0" w:color="auto"/>
              <w:left w:val="single" w:sz="4" w:space="0" w:color="auto"/>
              <w:bottom w:val="single" w:sz="4" w:space="0" w:color="auto"/>
              <w:right w:val="single" w:sz="4" w:space="0" w:color="auto"/>
            </w:tcBorders>
            <w:vAlign w:val="bottom"/>
          </w:tcPr>
          <w:p w14:paraId="076C9362" w14:textId="77777777" w:rsidR="003415D7" w:rsidRPr="00BD7052" w:rsidRDefault="003415D7">
            <w:pPr>
              <w:jc w:val="center"/>
              <w:rPr>
                <w:rFonts w:cs="Arial"/>
                <w:b/>
                <w:bCs/>
                <w:sz w:val="22"/>
                <w:szCs w:val="22"/>
              </w:rPr>
            </w:pPr>
            <w:r w:rsidRPr="00BD7052">
              <w:rPr>
                <w:rFonts w:cs="Arial"/>
                <w:b/>
                <w:bCs/>
                <w:sz w:val="22"/>
                <w:szCs w:val="22"/>
              </w:rPr>
              <w:t>0%</w:t>
            </w:r>
          </w:p>
        </w:tc>
      </w:tr>
      <w:tr w:rsidR="003415D7" w:rsidRPr="00D26131" w14:paraId="4BC62235" w14:textId="77777777" w:rsidTr="00173A88">
        <w:tc>
          <w:tcPr>
            <w:tcW w:w="4678" w:type="dxa"/>
            <w:tcBorders>
              <w:top w:val="single" w:sz="4" w:space="0" w:color="auto"/>
              <w:left w:val="single" w:sz="4" w:space="0" w:color="auto"/>
              <w:bottom w:val="single" w:sz="12" w:space="0" w:color="auto"/>
              <w:right w:val="single" w:sz="4" w:space="0" w:color="auto"/>
            </w:tcBorders>
            <w:vAlign w:val="bottom"/>
          </w:tcPr>
          <w:p w14:paraId="2EF6CD61" w14:textId="77777777" w:rsidR="003415D7" w:rsidRPr="00BD7052" w:rsidRDefault="003415D7">
            <w:pPr>
              <w:rPr>
                <w:rFonts w:cs="Arial"/>
                <w:b/>
                <w:bCs/>
                <w:sz w:val="22"/>
                <w:szCs w:val="22"/>
              </w:rPr>
            </w:pPr>
            <w:r w:rsidRPr="00BD7052">
              <w:rPr>
                <w:rFonts w:cs="Arial"/>
                <w:b/>
                <w:bCs/>
                <w:sz w:val="22"/>
                <w:szCs w:val="22"/>
              </w:rPr>
              <w:t>Total treasury investments</w:t>
            </w:r>
          </w:p>
        </w:tc>
        <w:tc>
          <w:tcPr>
            <w:tcW w:w="1276" w:type="dxa"/>
            <w:tcBorders>
              <w:top w:val="single" w:sz="4" w:space="0" w:color="auto"/>
              <w:left w:val="single" w:sz="4" w:space="0" w:color="auto"/>
              <w:bottom w:val="single" w:sz="12" w:space="0" w:color="auto"/>
              <w:right w:val="single" w:sz="4" w:space="0" w:color="auto"/>
            </w:tcBorders>
            <w:vAlign w:val="bottom"/>
          </w:tcPr>
          <w:p w14:paraId="4D31C3F3" w14:textId="4827F743" w:rsidR="003415D7" w:rsidRPr="00BD7052" w:rsidRDefault="00D23F78" w:rsidP="007A3389">
            <w:pPr>
              <w:jc w:val="right"/>
              <w:rPr>
                <w:rFonts w:cs="Arial"/>
                <w:b/>
                <w:bCs/>
                <w:sz w:val="22"/>
                <w:szCs w:val="22"/>
              </w:rPr>
            </w:pPr>
            <w:r>
              <w:rPr>
                <w:rFonts w:cs="Arial"/>
                <w:b/>
                <w:bCs/>
                <w:sz w:val="22"/>
                <w:szCs w:val="22"/>
              </w:rPr>
              <w:t>29,163</w:t>
            </w:r>
          </w:p>
        </w:tc>
        <w:tc>
          <w:tcPr>
            <w:tcW w:w="1417" w:type="dxa"/>
            <w:tcBorders>
              <w:top w:val="single" w:sz="4" w:space="0" w:color="auto"/>
              <w:left w:val="single" w:sz="4" w:space="0" w:color="auto"/>
              <w:bottom w:val="single" w:sz="12" w:space="0" w:color="auto"/>
              <w:right w:val="single" w:sz="4" w:space="0" w:color="auto"/>
            </w:tcBorders>
            <w:vAlign w:val="bottom"/>
          </w:tcPr>
          <w:p w14:paraId="09372696" w14:textId="77777777" w:rsidR="003415D7" w:rsidRPr="00BD7052" w:rsidRDefault="003415D7">
            <w:pPr>
              <w:jc w:val="center"/>
              <w:rPr>
                <w:rFonts w:cs="Arial"/>
                <w:b/>
                <w:bCs/>
                <w:sz w:val="22"/>
                <w:szCs w:val="22"/>
              </w:rPr>
            </w:pPr>
            <w:r w:rsidRPr="00BD7052">
              <w:rPr>
                <w:rFonts w:cs="Arial"/>
                <w:b/>
                <w:bCs/>
                <w:sz w:val="22"/>
                <w:szCs w:val="22"/>
              </w:rPr>
              <w:t>100%</w:t>
            </w:r>
          </w:p>
        </w:tc>
        <w:tc>
          <w:tcPr>
            <w:tcW w:w="1276" w:type="dxa"/>
            <w:tcBorders>
              <w:top w:val="single" w:sz="4" w:space="0" w:color="auto"/>
              <w:left w:val="single" w:sz="4" w:space="0" w:color="auto"/>
              <w:bottom w:val="single" w:sz="12" w:space="0" w:color="auto"/>
              <w:right w:val="single" w:sz="4" w:space="0" w:color="auto"/>
            </w:tcBorders>
            <w:vAlign w:val="bottom"/>
          </w:tcPr>
          <w:p w14:paraId="23CFEBC9" w14:textId="786E820B" w:rsidR="003415D7" w:rsidRPr="00BD7052" w:rsidRDefault="00C96897" w:rsidP="00E90773">
            <w:pPr>
              <w:jc w:val="right"/>
              <w:rPr>
                <w:rFonts w:cs="Arial"/>
                <w:b/>
                <w:bCs/>
                <w:sz w:val="22"/>
                <w:szCs w:val="22"/>
              </w:rPr>
            </w:pPr>
            <w:r>
              <w:rPr>
                <w:rFonts w:cs="Arial"/>
                <w:b/>
                <w:bCs/>
                <w:sz w:val="22"/>
                <w:szCs w:val="22"/>
              </w:rPr>
              <w:t>3,700</w:t>
            </w:r>
          </w:p>
        </w:tc>
        <w:tc>
          <w:tcPr>
            <w:tcW w:w="1418" w:type="dxa"/>
            <w:tcBorders>
              <w:top w:val="single" w:sz="4" w:space="0" w:color="auto"/>
              <w:left w:val="single" w:sz="4" w:space="0" w:color="auto"/>
              <w:bottom w:val="single" w:sz="12" w:space="0" w:color="auto"/>
              <w:right w:val="single" w:sz="4" w:space="0" w:color="auto"/>
            </w:tcBorders>
            <w:vAlign w:val="bottom"/>
          </w:tcPr>
          <w:p w14:paraId="7A9546B2" w14:textId="77777777" w:rsidR="003415D7" w:rsidRPr="00BD7052" w:rsidRDefault="003415D7">
            <w:pPr>
              <w:jc w:val="center"/>
              <w:rPr>
                <w:rFonts w:cs="Arial"/>
                <w:b/>
                <w:bCs/>
                <w:sz w:val="22"/>
                <w:szCs w:val="22"/>
              </w:rPr>
            </w:pPr>
            <w:r w:rsidRPr="00BD7052">
              <w:rPr>
                <w:rFonts w:cs="Arial"/>
                <w:b/>
                <w:bCs/>
                <w:sz w:val="22"/>
                <w:szCs w:val="22"/>
              </w:rPr>
              <w:t>100%</w:t>
            </w:r>
          </w:p>
        </w:tc>
      </w:tr>
      <w:tr w:rsidR="003415D7" w:rsidRPr="00D26131" w14:paraId="4BADD9F8" w14:textId="77777777" w:rsidTr="00173A88">
        <w:tc>
          <w:tcPr>
            <w:tcW w:w="4678" w:type="dxa"/>
            <w:tcBorders>
              <w:top w:val="single" w:sz="12" w:space="0" w:color="auto"/>
              <w:left w:val="single" w:sz="4" w:space="0" w:color="auto"/>
              <w:right w:val="single" w:sz="4" w:space="0" w:color="auto"/>
            </w:tcBorders>
            <w:vAlign w:val="bottom"/>
          </w:tcPr>
          <w:p w14:paraId="0B1B3BBA" w14:textId="77777777" w:rsidR="003415D7" w:rsidRPr="00BA2080" w:rsidRDefault="003415D7">
            <w:pPr>
              <w:rPr>
                <w:rFonts w:ascii="Calibri" w:hAnsi="Calibri"/>
                <w:color w:val="000000"/>
                <w:sz w:val="16"/>
                <w:szCs w:val="16"/>
              </w:rPr>
            </w:pPr>
            <w:r w:rsidRPr="00BA2080">
              <w:rPr>
                <w:rFonts w:ascii="Calibri" w:hAnsi="Calibri"/>
                <w:color w:val="000000"/>
                <w:sz w:val="16"/>
                <w:szCs w:val="16"/>
              </w:rPr>
              <w:t> </w:t>
            </w:r>
          </w:p>
        </w:tc>
        <w:tc>
          <w:tcPr>
            <w:tcW w:w="1276" w:type="dxa"/>
            <w:tcBorders>
              <w:top w:val="single" w:sz="12" w:space="0" w:color="auto"/>
              <w:left w:val="single" w:sz="4" w:space="0" w:color="auto"/>
              <w:right w:val="single" w:sz="4" w:space="0" w:color="auto"/>
            </w:tcBorders>
            <w:vAlign w:val="bottom"/>
          </w:tcPr>
          <w:p w14:paraId="2ECEF456" w14:textId="77777777" w:rsidR="003415D7" w:rsidRPr="00D26131" w:rsidRDefault="003415D7">
            <w:pPr>
              <w:rPr>
                <w:rFonts w:ascii="Calibri" w:hAnsi="Calibri"/>
                <w:color w:val="000000"/>
                <w:sz w:val="16"/>
                <w:szCs w:val="16"/>
                <w:highlight w:val="yellow"/>
              </w:rPr>
            </w:pPr>
          </w:p>
        </w:tc>
        <w:tc>
          <w:tcPr>
            <w:tcW w:w="1417" w:type="dxa"/>
            <w:tcBorders>
              <w:top w:val="single" w:sz="12" w:space="0" w:color="auto"/>
              <w:left w:val="single" w:sz="4" w:space="0" w:color="auto"/>
              <w:right w:val="single" w:sz="4" w:space="0" w:color="auto"/>
            </w:tcBorders>
            <w:vAlign w:val="bottom"/>
          </w:tcPr>
          <w:p w14:paraId="54804FB2" w14:textId="77777777" w:rsidR="003415D7" w:rsidRPr="00D26131" w:rsidRDefault="003415D7">
            <w:pPr>
              <w:jc w:val="center"/>
              <w:rPr>
                <w:rFonts w:ascii="Calibri" w:hAnsi="Calibri"/>
                <w:color w:val="000000"/>
                <w:sz w:val="16"/>
                <w:szCs w:val="16"/>
                <w:highlight w:val="yellow"/>
              </w:rPr>
            </w:pPr>
          </w:p>
        </w:tc>
        <w:tc>
          <w:tcPr>
            <w:tcW w:w="1276" w:type="dxa"/>
            <w:tcBorders>
              <w:top w:val="single" w:sz="12" w:space="0" w:color="auto"/>
              <w:left w:val="single" w:sz="4" w:space="0" w:color="auto"/>
              <w:right w:val="single" w:sz="4" w:space="0" w:color="auto"/>
            </w:tcBorders>
            <w:vAlign w:val="bottom"/>
          </w:tcPr>
          <w:p w14:paraId="597E524E" w14:textId="77777777" w:rsidR="003415D7" w:rsidRPr="00D26131" w:rsidRDefault="003415D7">
            <w:pPr>
              <w:rPr>
                <w:rFonts w:ascii="Calibri" w:hAnsi="Calibri"/>
                <w:color w:val="000000"/>
                <w:sz w:val="16"/>
                <w:szCs w:val="16"/>
                <w:highlight w:val="yellow"/>
              </w:rPr>
            </w:pPr>
          </w:p>
        </w:tc>
        <w:tc>
          <w:tcPr>
            <w:tcW w:w="1418" w:type="dxa"/>
            <w:tcBorders>
              <w:top w:val="single" w:sz="12" w:space="0" w:color="auto"/>
              <w:left w:val="single" w:sz="4" w:space="0" w:color="auto"/>
              <w:right w:val="single" w:sz="4" w:space="0" w:color="auto"/>
            </w:tcBorders>
            <w:vAlign w:val="bottom"/>
          </w:tcPr>
          <w:p w14:paraId="5E2850BA" w14:textId="77777777" w:rsidR="003415D7" w:rsidRPr="008E487E" w:rsidRDefault="003415D7">
            <w:pPr>
              <w:jc w:val="center"/>
              <w:rPr>
                <w:rFonts w:ascii="Calibri" w:hAnsi="Calibri"/>
                <w:color w:val="000000"/>
                <w:sz w:val="16"/>
                <w:szCs w:val="16"/>
              </w:rPr>
            </w:pPr>
            <w:r w:rsidRPr="008E487E">
              <w:rPr>
                <w:rFonts w:ascii="Calibri" w:hAnsi="Calibri"/>
                <w:color w:val="000000"/>
                <w:sz w:val="16"/>
                <w:szCs w:val="16"/>
              </w:rPr>
              <w:t> </w:t>
            </w:r>
          </w:p>
        </w:tc>
      </w:tr>
      <w:tr w:rsidR="003415D7" w:rsidRPr="00D26131" w14:paraId="53E7E5A2" w14:textId="77777777" w:rsidTr="00173A88">
        <w:tc>
          <w:tcPr>
            <w:tcW w:w="4678" w:type="dxa"/>
            <w:tcBorders>
              <w:left w:val="single" w:sz="4" w:space="0" w:color="auto"/>
              <w:right w:val="single" w:sz="4" w:space="0" w:color="auto"/>
            </w:tcBorders>
            <w:vAlign w:val="bottom"/>
          </w:tcPr>
          <w:p w14:paraId="678FD63C" w14:textId="77777777" w:rsidR="003415D7" w:rsidRPr="00BA2080" w:rsidRDefault="003415D7">
            <w:pPr>
              <w:rPr>
                <w:rFonts w:cs="Arial"/>
                <w:b/>
                <w:sz w:val="22"/>
                <w:szCs w:val="22"/>
              </w:rPr>
            </w:pPr>
            <w:r w:rsidRPr="00BA2080">
              <w:rPr>
                <w:rFonts w:cs="Arial"/>
                <w:b/>
                <w:sz w:val="22"/>
                <w:szCs w:val="22"/>
              </w:rPr>
              <w:t>Treasury external borrowing</w:t>
            </w:r>
          </w:p>
        </w:tc>
        <w:tc>
          <w:tcPr>
            <w:tcW w:w="1276" w:type="dxa"/>
            <w:tcBorders>
              <w:left w:val="single" w:sz="4" w:space="0" w:color="auto"/>
              <w:right w:val="single" w:sz="4" w:space="0" w:color="auto"/>
            </w:tcBorders>
            <w:vAlign w:val="bottom"/>
          </w:tcPr>
          <w:p w14:paraId="141A9F28" w14:textId="77777777" w:rsidR="003415D7" w:rsidRPr="00D26131" w:rsidRDefault="003415D7">
            <w:pPr>
              <w:rPr>
                <w:rFonts w:cs="Arial"/>
                <w:sz w:val="22"/>
                <w:szCs w:val="22"/>
                <w:highlight w:val="yellow"/>
              </w:rPr>
            </w:pPr>
          </w:p>
        </w:tc>
        <w:tc>
          <w:tcPr>
            <w:tcW w:w="1417" w:type="dxa"/>
            <w:tcBorders>
              <w:left w:val="single" w:sz="4" w:space="0" w:color="auto"/>
              <w:right w:val="single" w:sz="4" w:space="0" w:color="auto"/>
            </w:tcBorders>
            <w:vAlign w:val="bottom"/>
          </w:tcPr>
          <w:p w14:paraId="5C586F76" w14:textId="77777777" w:rsidR="003415D7" w:rsidRPr="00D26131" w:rsidRDefault="003415D7">
            <w:pPr>
              <w:jc w:val="center"/>
              <w:rPr>
                <w:rFonts w:cs="Arial"/>
                <w:sz w:val="22"/>
                <w:szCs w:val="22"/>
                <w:highlight w:val="yellow"/>
              </w:rPr>
            </w:pPr>
          </w:p>
        </w:tc>
        <w:tc>
          <w:tcPr>
            <w:tcW w:w="1276" w:type="dxa"/>
            <w:tcBorders>
              <w:left w:val="single" w:sz="4" w:space="0" w:color="auto"/>
              <w:right w:val="single" w:sz="4" w:space="0" w:color="auto"/>
            </w:tcBorders>
            <w:vAlign w:val="bottom"/>
          </w:tcPr>
          <w:p w14:paraId="47B8E8F8" w14:textId="77777777" w:rsidR="003415D7" w:rsidRPr="00D26131" w:rsidRDefault="003415D7">
            <w:pPr>
              <w:rPr>
                <w:rFonts w:cs="Arial"/>
                <w:sz w:val="22"/>
                <w:szCs w:val="22"/>
                <w:highlight w:val="yellow"/>
              </w:rPr>
            </w:pPr>
          </w:p>
        </w:tc>
        <w:tc>
          <w:tcPr>
            <w:tcW w:w="1418" w:type="dxa"/>
            <w:tcBorders>
              <w:left w:val="single" w:sz="4" w:space="0" w:color="auto"/>
              <w:right w:val="single" w:sz="4" w:space="0" w:color="auto"/>
            </w:tcBorders>
            <w:vAlign w:val="bottom"/>
          </w:tcPr>
          <w:p w14:paraId="1BCE498A" w14:textId="77777777" w:rsidR="003415D7" w:rsidRPr="008E487E" w:rsidRDefault="003415D7">
            <w:pPr>
              <w:jc w:val="center"/>
              <w:rPr>
                <w:rFonts w:cs="Arial"/>
                <w:sz w:val="22"/>
                <w:szCs w:val="22"/>
              </w:rPr>
            </w:pPr>
            <w:r w:rsidRPr="008E487E">
              <w:rPr>
                <w:rFonts w:cs="Arial"/>
                <w:sz w:val="22"/>
                <w:szCs w:val="22"/>
              </w:rPr>
              <w:t> </w:t>
            </w:r>
          </w:p>
        </w:tc>
      </w:tr>
      <w:tr w:rsidR="00E81304" w:rsidRPr="00D26131" w14:paraId="1AAAE7FB" w14:textId="77777777" w:rsidTr="00173A88">
        <w:tc>
          <w:tcPr>
            <w:tcW w:w="4678" w:type="dxa"/>
            <w:tcBorders>
              <w:left w:val="single" w:sz="4" w:space="0" w:color="auto"/>
              <w:right w:val="single" w:sz="4" w:space="0" w:color="auto"/>
            </w:tcBorders>
            <w:vAlign w:val="bottom"/>
          </w:tcPr>
          <w:p w14:paraId="3AD8A274" w14:textId="48194FED" w:rsidR="00E81304" w:rsidRPr="00BA2080" w:rsidRDefault="00BA2080" w:rsidP="00E81304">
            <w:pPr>
              <w:rPr>
                <w:rFonts w:cs="Arial"/>
                <w:sz w:val="22"/>
                <w:szCs w:val="22"/>
              </w:rPr>
            </w:pPr>
            <w:r w:rsidRPr="00BA2080">
              <w:rPr>
                <w:rFonts w:cs="Arial"/>
                <w:sz w:val="22"/>
                <w:szCs w:val="22"/>
              </w:rPr>
              <w:t>T</w:t>
            </w:r>
            <w:r w:rsidR="00E81304" w:rsidRPr="00BA2080">
              <w:rPr>
                <w:rFonts w:cs="Arial"/>
                <w:sz w:val="22"/>
                <w:szCs w:val="22"/>
              </w:rPr>
              <w:t>hird party loans</w:t>
            </w:r>
          </w:p>
        </w:tc>
        <w:tc>
          <w:tcPr>
            <w:tcW w:w="1276" w:type="dxa"/>
            <w:tcBorders>
              <w:left w:val="single" w:sz="4" w:space="0" w:color="auto"/>
              <w:right w:val="single" w:sz="4" w:space="0" w:color="auto"/>
            </w:tcBorders>
            <w:vAlign w:val="bottom"/>
          </w:tcPr>
          <w:p w14:paraId="23DD0772" w14:textId="77777777" w:rsidR="00E81304" w:rsidRPr="008E487E" w:rsidRDefault="00E81304" w:rsidP="00E81304">
            <w:pPr>
              <w:jc w:val="right"/>
              <w:rPr>
                <w:rFonts w:cs="Arial"/>
                <w:sz w:val="22"/>
                <w:szCs w:val="22"/>
              </w:rPr>
            </w:pPr>
            <w:r w:rsidRPr="008E487E">
              <w:rPr>
                <w:rFonts w:cs="Arial"/>
                <w:sz w:val="22"/>
                <w:szCs w:val="22"/>
              </w:rPr>
              <w:t>600</w:t>
            </w:r>
          </w:p>
        </w:tc>
        <w:tc>
          <w:tcPr>
            <w:tcW w:w="1417" w:type="dxa"/>
            <w:tcBorders>
              <w:left w:val="single" w:sz="4" w:space="0" w:color="auto"/>
              <w:right w:val="single" w:sz="4" w:space="0" w:color="auto"/>
            </w:tcBorders>
            <w:vAlign w:val="bottom"/>
          </w:tcPr>
          <w:p w14:paraId="717368F1" w14:textId="16137D01" w:rsidR="00E81304" w:rsidRPr="008E487E" w:rsidRDefault="00E81304" w:rsidP="00E81304">
            <w:pPr>
              <w:jc w:val="center"/>
              <w:rPr>
                <w:rFonts w:cs="Arial"/>
                <w:sz w:val="22"/>
                <w:szCs w:val="22"/>
              </w:rPr>
            </w:pPr>
            <w:r w:rsidRPr="008E487E">
              <w:rPr>
                <w:rFonts w:cs="Arial"/>
                <w:sz w:val="22"/>
                <w:szCs w:val="22"/>
              </w:rPr>
              <w:t>0</w:t>
            </w:r>
            <w:r w:rsidR="008E487E" w:rsidRPr="008E487E">
              <w:rPr>
                <w:rFonts w:cs="Arial"/>
                <w:sz w:val="22"/>
                <w:szCs w:val="22"/>
              </w:rPr>
              <w:t>.</w:t>
            </w:r>
            <w:r w:rsidR="00C96897">
              <w:rPr>
                <w:rFonts w:cs="Arial"/>
                <w:sz w:val="22"/>
                <w:szCs w:val="22"/>
              </w:rPr>
              <w:t>3</w:t>
            </w:r>
            <w:r w:rsidRPr="008E487E">
              <w:rPr>
                <w:rFonts w:cs="Arial"/>
                <w:sz w:val="22"/>
                <w:szCs w:val="22"/>
              </w:rPr>
              <w:t>%</w:t>
            </w:r>
          </w:p>
        </w:tc>
        <w:tc>
          <w:tcPr>
            <w:tcW w:w="1276" w:type="dxa"/>
            <w:tcBorders>
              <w:left w:val="single" w:sz="4" w:space="0" w:color="auto"/>
              <w:right w:val="single" w:sz="4" w:space="0" w:color="auto"/>
            </w:tcBorders>
            <w:vAlign w:val="bottom"/>
          </w:tcPr>
          <w:p w14:paraId="738DDF28" w14:textId="77777777" w:rsidR="00E81304" w:rsidRPr="008E487E" w:rsidRDefault="00E81304" w:rsidP="00E81304">
            <w:pPr>
              <w:jc w:val="right"/>
              <w:rPr>
                <w:rFonts w:cs="Arial"/>
                <w:sz w:val="22"/>
                <w:szCs w:val="22"/>
              </w:rPr>
            </w:pPr>
            <w:r w:rsidRPr="008E487E">
              <w:rPr>
                <w:rFonts w:cs="Arial"/>
                <w:sz w:val="22"/>
                <w:szCs w:val="22"/>
              </w:rPr>
              <w:t>600</w:t>
            </w:r>
          </w:p>
        </w:tc>
        <w:tc>
          <w:tcPr>
            <w:tcW w:w="1418" w:type="dxa"/>
            <w:tcBorders>
              <w:left w:val="single" w:sz="4" w:space="0" w:color="auto"/>
              <w:right w:val="single" w:sz="4" w:space="0" w:color="auto"/>
            </w:tcBorders>
            <w:vAlign w:val="bottom"/>
          </w:tcPr>
          <w:p w14:paraId="24B6FA3E" w14:textId="71AFC19E" w:rsidR="00E81304" w:rsidRPr="008E487E" w:rsidRDefault="00E81304" w:rsidP="00E81304">
            <w:pPr>
              <w:jc w:val="center"/>
              <w:rPr>
                <w:rFonts w:cs="Arial"/>
                <w:sz w:val="22"/>
                <w:szCs w:val="22"/>
              </w:rPr>
            </w:pPr>
            <w:r w:rsidRPr="008E487E">
              <w:rPr>
                <w:rFonts w:cs="Arial"/>
                <w:sz w:val="22"/>
                <w:szCs w:val="22"/>
              </w:rPr>
              <w:t>0</w:t>
            </w:r>
            <w:r w:rsidR="008E487E" w:rsidRPr="008E487E">
              <w:rPr>
                <w:rFonts w:cs="Arial"/>
                <w:sz w:val="22"/>
                <w:szCs w:val="22"/>
              </w:rPr>
              <w:t>.</w:t>
            </w:r>
            <w:r w:rsidR="00C96897">
              <w:rPr>
                <w:rFonts w:cs="Arial"/>
                <w:sz w:val="22"/>
                <w:szCs w:val="22"/>
              </w:rPr>
              <w:t>3</w:t>
            </w:r>
            <w:r w:rsidRPr="008E487E">
              <w:rPr>
                <w:rFonts w:cs="Arial"/>
                <w:sz w:val="22"/>
                <w:szCs w:val="22"/>
              </w:rPr>
              <w:t>%</w:t>
            </w:r>
          </w:p>
        </w:tc>
      </w:tr>
      <w:tr w:rsidR="00E81304" w:rsidRPr="00D26131" w14:paraId="797189AB" w14:textId="77777777" w:rsidTr="00173A88">
        <w:tc>
          <w:tcPr>
            <w:tcW w:w="4678" w:type="dxa"/>
            <w:tcBorders>
              <w:left w:val="single" w:sz="4" w:space="0" w:color="auto"/>
              <w:right w:val="single" w:sz="4" w:space="0" w:color="auto"/>
            </w:tcBorders>
            <w:vAlign w:val="bottom"/>
          </w:tcPr>
          <w:p w14:paraId="2992384A" w14:textId="77777777" w:rsidR="00E81304" w:rsidRPr="00BA2080" w:rsidRDefault="00E81304" w:rsidP="00E81304">
            <w:pPr>
              <w:rPr>
                <w:rFonts w:cs="Arial"/>
                <w:sz w:val="22"/>
                <w:szCs w:val="22"/>
              </w:rPr>
            </w:pPr>
            <w:r w:rsidRPr="00BA2080">
              <w:rPr>
                <w:rFonts w:cs="Arial"/>
                <w:sz w:val="22"/>
                <w:szCs w:val="22"/>
              </w:rPr>
              <w:t>PWLB</w:t>
            </w:r>
          </w:p>
        </w:tc>
        <w:tc>
          <w:tcPr>
            <w:tcW w:w="1276" w:type="dxa"/>
            <w:tcBorders>
              <w:left w:val="single" w:sz="4" w:space="0" w:color="auto"/>
              <w:right w:val="single" w:sz="4" w:space="0" w:color="auto"/>
            </w:tcBorders>
            <w:vAlign w:val="bottom"/>
          </w:tcPr>
          <w:p w14:paraId="698639E2" w14:textId="548AB0A6" w:rsidR="00E81304" w:rsidRPr="008E487E" w:rsidRDefault="00BA2080" w:rsidP="00A540DF">
            <w:pPr>
              <w:jc w:val="right"/>
              <w:rPr>
                <w:rFonts w:cs="Arial"/>
                <w:sz w:val="22"/>
                <w:szCs w:val="22"/>
              </w:rPr>
            </w:pPr>
            <w:r w:rsidRPr="008E487E">
              <w:rPr>
                <w:rFonts w:cs="Arial"/>
                <w:sz w:val="22"/>
                <w:szCs w:val="22"/>
              </w:rPr>
              <w:t>17</w:t>
            </w:r>
            <w:r w:rsidR="00C96897">
              <w:rPr>
                <w:rFonts w:cs="Arial"/>
                <w:sz w:val="22"/>
                <w:szCs w:val="22"/>
              </w:rPr>
              <w:t>4</w:t>
            </w:r>
            <w:r w:rsidRPr="008E487E">
              <w:rPr>
                <w:rFonts w:cs="Arial"/>
                <w:sz w:val="22"/>
                <w:szCs w:val="22"/>
              </w:rPr>
              <w:t>,</w:t>
            </w:r>
            <w:r w:rsidR="00C96897">
              <w:rPr>
                <w:rFonts w:cs="Arial"/>
                <w:sz w:val="22"/>
                <w:szCs w:val="22"/>
              </w:rPr>
              <w:t>308</w:t>
            </w:r>
          </w:p>
        </w:tc>
        <w:tc>
          <w:tcPr>
            <w:tcW w:w="1417" w:type="dxa"/>
            <w:tcBorders>
              <w:left w:val="single" w:sz="4" w:space="0" w:color="auto"/>
              <w:right w:val="single" w:sz="4" w:space="0" w:color="auto"/>
            </w:tcBorders>
            <w:vAlign w:val="bottom"/>
          </w:tcPr>
          <w:p w14:paraId="5D678C7C" w14:textId="377D9848" w:rsidR="00E81304" w:rsidRPr="008E487E" w:rsidRDefault="008E487E" w:rsidP="00E81304">
            <w:pPr>
              <w:jc w:val="center"/>
              <w:rPr>
                <w:rFonts w:cs="Arial"/>
                <w:sz w:val="22"/>
                <w:szCs w:val="22"/>
              </w:rPr>
            </w:pPr>
            <w:r w:rsidRPr="008E487E">
              <w:rPr>
                <w:rFonts w:cs="Arial"/>
                <w:sz w:val="22"/>
                <w:szCs w:val="22"/>
              </w:rPr>
              <w:t>83</w:t>
            </w:r>
            <w:r w:rsidR="00E81304" w:rsidRPr="008E487E">
              <w:rPr>
                <w:rFonts w:cs="Arial"/>
                <w:sz w:val="22"/>
                <w:szCs w:val="22"/>
              </w:rPr>
              <w:t>%</w:t>
            </w:r>
          </w:p>
        </w:tc>
        <w:tc>
          <w:tcPr>
            <w:tcW w:w="1276" w:type="dxa"/>
            <w:tcBorders>
              <w:left w:val="single" w:sz="4" w:space="0" w:color="auto"/>
              <w:right w:val="single" w:sz="4" w:space="0" w:color="auto"/>
            </w:tcBorders>
            <w:vAlign w:val="bottom"/>
          </w:tcPr>
          <w:p w14:paraId="688554C6" w14:textId="3E3045D0" w:rsidR="00E81304" w:rsidRPr="008E487E" w:rsidRDefault="008E487E" w:rsidP="00D47B2F">
            <w:pPr>
              <w:jc w:val="right"/>
              <w:rPr>
                <w:rFonts w:cs="Arial"/>
                <w:sz w:val="22"/>
                <w:szCs w:val="22"/>
              </w:rPr>
            </w:pPr>
            <w:r w:rsidRPr="008E487E">
              <w:rPr>
                <w:rFonts w:cs="Arial"/>
                <w:sz w:val="22"/>
                <w:szCs w:val="22"/>
              </w:rPr>
              <w:t>17</w:t>
            </w:r>
            <w:r w:rsidR="00C96897">
              <w:rPr>
                <w:rFonts w:cs="Arial"/>
                <w:sz w:val="22"/>
                <w:szCs w:val="22"/>
              </w:rPr>
              <w:t>3,737</w:t>
            </w:r>
          </w:p>
        </w:tc>
        <w:tc>
          <w:tcPr>
            <w:tcW w:w="1418" w:type="dxa"/>
            <w:tcBorders>
              <w:left w:val="single" w:sz="4" w:space="0" w:color="auto"/>
              <w:right w:val="single" w:sz="4" w:space="0" w:color="auto"/>
            </w:tcBorders>
            <w:vAlign w:val="bottom"/>
          </w:tcPr>
          <w:p w14:paraId="5E122710" w14:textId="6ABA7D9F" w:rsidR="00E81304" w:rsidRPr="008E487E" w:rsidRDefault="00E81304" w:rsidP="00D47B2F">
            <w:pPr>
              <w:jc w:val="center"/>
              <w:rPr>
                <w:rFonts w:cs="Arial"/>
                <w:sz w:val="22"/>
                <w:szCs w:val="22"/>
              </w:rPr>
            </w:pPr>
            <w:r w:rsidRPr="008E487E">
              <w:rPr>
                <w:rFonts w:cs="Arial"/>
                <w:sz w:val="22"/>
                <w:szCs w:val="22"/>
              </w:rPr>
              <w:t>8</w:t>
            </w:r>
            <w:r w:rsidR="00C96897">
              <w:rPr>
                <w:rFonts w:cs="Arial"/>
                <w:sz w:val="22"/>
                <w:szCs w:val="22"/>
              </w:rPr>
              <w:t>4</w:t>
            </w:r>
            <w:r w:rsidRPr="008E487E">
              <w:rPr>
                <w:rFonts w:cs="Arial"/>
                <w:sz w:val="22"/>
                <w:szCs w:val="22"/>
              </w:rPr>
              <w:t>%</w:t>
            </w:r>
          </w:p>
        </w:tc>
      </w:tr>
      <w:tr w:rsidR="00E81304" w:rsidRPr="00D26131" w14:paraId="36DFE280" w14:textId="77777777" w:rsidTr="00BA2080">
        <w:tc>
          <w:tcPr>
            <w:tcW w:w="4678" w:type="dxa"/>
            <w:tcBorders>
              <w:left w:val="single" w:sz="4" w:space="0" w:color="auto"/>
              <w:bottom w:val="single" w:sz="4" w:space="0" w:color="auto"/>
              <w:right w:val="single" w:sz="4" w:space="0" w:color="auto"/>
            </w:tcBorders>
            <w:shd w:val="clear" w:color="auto" w:fill="auto"/>
            <w:vAlign w:val="bottom"/>
          </w:tcPr>
          <w:p w14:paraId="13BB64CD" w14:textId="77777777" w:rsidR="00E81304" w:rsidRPr="00BA2080" w:rsidRDefault="00E81304" w:rsidP="00E81304">
            <w:pPr>
              <w:rPr>
                <w:rFonts w:cs="Arial"/>
                <w:sz w:val="22"/>
                <w:szCs w:val="22"/>
              </w:rPr>
            </w:pPr>
            <w:r w:rsidRPr="00BA2080">
              <w:rPr>
                <w:rFonts w:cs="Arial"/>
                <w:sz w:val="22"/>
                <w:szCs w:val="22"/>
              </w:rPr>
              <w:t>LOBOs</w:t>
            </w:r>
          </w:p>
        </w:tc>
        <w:tc>
          <w:tcPr>
            <w:tcW w:w="1276" w:type="dxa"/>
            <w:tcBorders>
              <w:left w:val="single" w:sz="4" w:space="0" w:color="auto"/>
              <w:bottom w:val="single" w:sz="4" w:space="0" w:color="auto"/>
              <w:right w:val="single" w:sz="4" w:space="0" w:color="auto"/>
            </w:tcBorders>
            <w:shd w:val="clear" w:color="auto" w:fill="auto"/>
            <w:vAlign w:val="bottom"/>
          </w:tcPr>
          <w:p w14:paraId="1716D3BB" w14:textId="77777777" w:rsidR="00E81304" w:rsidRPr="008E487E" w:rsidRDefault="00E81304" w:rsidP="00E81304">
            <w:pPr>
              <w:jc w:val="right"/>
              <w:rPr>
                <w:rFonts w:cs="Arial"/>
                <w:sz w:val="22"/>
                <w:szCs w:val="22"/>
              </w:rPr>
            </w:pPr>
            <w:r w:rsidRPr="008E487E">
              <w:rPr>
                <w:rFonts w:cs="Arial"/>
                <w:sz w:val="22"/>
                <w:szCs w:val="22"/>
              </w:rPr>
              <w:t>35,000</w:t>
            </w:r>
          </w:p>
        </w:tc>
        <w:tc>
          <w:tcPr>
            <w:tcW w:w="1417" w:type="dxa"/>
            <w:tcBorders>
              <w:left w:val="single" w:sz="4" w:space="0" w:color="auto"/>
              <w:bottom w:val="single" w:sz="4" w:space="0" w:color="auto"/>
              <w:right w:val="single" w:sz="4" w:space="0" w:color="auto"/>
            </w:tcBorders>
            <w:vAlign w:val="bottom"/>
          </w:tcPr>
          <w:p w14:paraId="61C57CCE" w14:textId="543671AC" w:rsidR="00E81304" w:rsidRPr="008E487E" w:rsidRDefault="008E487E" w:rsidP="00E81304">
            <w:pPr>
              <w:jc w:val="center"/>
              <w:rPr>
                <w:rFonts w:cs="Arial"/>
                <w:sz w:val="22"/>
                <w:szCs w:val="22"/>
              </w:rPr>
            </w:pPr>
            <w:r>
              <w:rPr>
                <w:rFonts w:cs="Arial"/>
                <w:sz w:val="22"/>
                <w:szCs w:val="22"/>
              </w:rPr>
              <w:t>16</w:t>
            </w:r>
            <w:r w:rsidRPr="008E487E">
              <w:rPr>
                <w:rFonts w:cs="Arial"/>
                <w:sz w:val="22"/>
                <w:szCs w:val="22"/>
              </w:rPr>
              <w:t>.</w:t>
            </w:r>
            <w:r w:rsidR="00C96897">
              <w:rPr>
                <w:rFonts w:cs="Arial"/>
                <w:sz w:val="22"/>
                <w:szCs w:val="22"/>
              </w:rPr>
              <w:t>7</w:t>
            </w:r>
            <w:r w:rsidR="00E81304" w:rsidRPr="008E487E">
              <w:rPr>
                <w:rFonts w:cs="Arial"/>
                <w:sz w:val="22"/>
                <w:szCs w:val="22"/>
              </w:rPr>
              <w:t>%</w:t>
            </w:r>
          </w:p>
        </w:tc>
        <w:tc>
          <w:tcPr>
            <w:tcW w:w="1276" w:type="dxa"/>
            <w:tcBorders>
              <w:left w:val="single" w:sz="4" w:space="0" w:color="auto"/>
              <w:bottom w:val="single" w:sz="4" w:space="0" w:color="auto"/>
              <w:right w:val="single" w:sz="4" w:space="0" w:color="auto"/>
            </w:tcBorders>
            <w:vAlign w:val="bottom"/>
          </w:tcPr>
          <w:p w14:paraId="7051DCCD" w14:textId="048C0614" w:rsidR="00E81304" w:rsidRPr="008E487E" w:rsidRDefault="00E81304" w:rsidP="00E81304">
            <w:pPr>
              <w:jc w:val="right"/>
              <w:rPr>
                <w:rFonts w:cs="Arial"/>
                <w:sz w:val="22"/>
                <w:szCs w:val="22"/>
              </w:rPr>
            </w:pPr>
            <w:r w:rsidRPr="008E487E">
              <w:rPr>
                <w:rFonts w:cs="Arial"/>
                <w:sz w:val="22"/>
                <w:szCs w:val="22"/>
              </w:rPr>
              <w:t>3</w:t>
            </w:r>
            <w:r w:rsidR="000407D5">
              <w:rPr>
                <w:rFonts w:cs="Arial"/>
                <w:sz w:val="22"/>
                <w:szCs w:val="22"/>
              </w:rPr>
              <w:t>3</w:t>
            </w:r>
            <w:r w:rsidRPr="008E487E">
              <w:rPr>
                <w:rFonts w:cs="Arial"/>
                <w:sz w:val="22"/>
                <w:szCs w:val="22"/>
              </w:rPr>
              <w:t>,000</w:t>
            </w:r>
          </w:p>
        </w:tc>
        <w:tc>
          <w:tcPr>
            <w:tcW w:w="1418" w:type="dxa"/>
            <w:tcBorders>
              <w:left w:val="single" w:sz="4" w:space="0" w:color="auto"/>
              <w:bottom w:val="single" w:sz="4" w:space="0" w:color="auto"/>
              <w:right w:val="single" w:sz="4" w:space="0" w:color="auto"/>
            </w:tcBorders>
            <w:vAlign w:val="bottom"/>
          </w:tcPr>
          <w:p w14:paraId="0F9088E1" w14:textId="777F7153" w:rsidR="00E81304" w:rsidRPr="008E487E" w:rsidRDefault="00E81304" w:rsidP="00D47B2F">
            <w:pPr>
              <w:jc w:val="center"/>
              <w:rPr>
                <w:rFonts w:cs="Arial"/>
                <w:sz w:val="22"/>
                <w:szCs w:val="22"/>
              </w:rPr>
            </w:pPr>
            <w:r w:rsidRPr="008E487E">
              <w:rPr>
                <w:rFonts w:cs="Arial"/>
                <w:sz w:val="22"/>
                <w:szCs w:val="22"/>
              </w:rPr>
              <w:t>1</w:t>
            </w:r>
            <w:r w:rsidR="00C96897">
              <w:rPr>
                <w:rFonts w:cs="Arial"/>
                <w:sz w:val="22"/>
                <w:szCs w:val="22"/>
              </w:rPr>
              <w:t>5</w:t>
            </w:r>
            <w:r w:rsidR="008E487E" w:rsidRPr="008E487E">
              <w:rPr>
                <w:rFonts w:cs="Arial"/>
                <w:sz w:val="22"/>
                <w:szCs w:val="22"/>
              </w:rPr>
              <w:t>.</w:t>
            </w:r>
            <w:r w:rsidR="00C96897">
              <w:rPr>
                <w:rFonts w:cs="Arial"/>
                <w:sz w:val="22"/>
                <w:szCs w:val="22"/>
              </w:rPr>
              <w:t>7</w:t>
            </w:r>
            <w:r w:rsidRPr="008E487E">
              <w:rPr>
                <w:rFonts w:cs="Arial"/>
                <w:sz w:val="22"/>
                <w:szCs w:val="22"/>
              </w:rPr>
              <w:t>%</w:t>
            </w:r>
          </w:p>
        </w:tc>
      </w:tr>
      <w:tr w:rsidR="00E81304" w:rsidRPr="00D26131" w14:paraId="07677848" w14:textId="77777777" w:rsidTr="00173A88">
        <w:tc>
          <w:tcPr>
            <w:tcW w:w="4678" w:type="dxa"/>
            <w:tcBorders>
              <w:top w:val="single" w:sz="4" w:space="0" w:color="auto"/>
              <w:left w:val="single" w:sz="4" w:space="0" w:color="auto"/>
              <w:bottom w:val="single" w:sz="12" w:space="0" w:color="auto"/>
              <w:right w:val="single" w:sz="4" w:space="0" w:color="auto"/>
            </w:tcBorders>
            <w:vAlign w:val="bottom"/>
          </w:tcPr>
          <w:p w14:paraId="46011C45" w14:textId="77777777" w:rsidR="00E81304" w:rsidRPr="00BA2080" w:rsidRDefault="00E81304" w:rsidP="00E81304">
            <w:pPr>
              <w:rPr>
                <w:rFonts w:cs="Arial"/>
                <w:b/>
                <w:bCs/>
                <w:sz w:val="22"/>
                <w:szCs w:val="22"/>
              </w:rPr>
            </w:pPr>
            <w:r w:rsidRPr="00BA2080">
              <w:rPr>
                <w:rFonts w:cs="Arial"/>
                <w:b/>
                <w:bCs/>
                <w:sz w:val="22"/>
                <w:szCs w:val="22"/>
              </w:rPr>
              <w:t>Total external borrowing</w:t>
            </w:r>
          </w:p>
        </w:tc>
        <w:tc>
          <w:tcPr>
            <w:tcW w:w="1276" w:type="dxa"/>
            <w:tcBorders>
              <w:top w:val="single" w:sz="4" w:space="0" w:color="auto"/>
              <w:left w:val="single" w:sz="4" w:space="0" w:color="auto"/>
              <w:bottom w:val="single" w:sz="12" w:space="0" w:color="auto"/>
              <w:right w:val="single" w:sz="4" w:space="0" w:color="auto"/>
            </w:tcBorders>
            <w:vAlign w:val="bottom"/>
          </w:tcPr>
          <w:p w14:paraId="33A65FC1" w14:textId="4155E6C5" w:rsidR="00E81304" w:rsidRPr="008E487E" w:rsidRDefault="00E81304" w:rsidP="00D47B2F">
            <w:pPr>
              <w:jc w:val="right"/>
              <w:rPr>
                <w:rFonts w:cs="Arial"/>
                <w:b/>
                <w:bCs/>
                <w:sz w:val="22"/>
                <w:szCs w:val="22"/>
              </w:rPr>
            </w:pPr>
            <w:r w:rsidRPr="008E487E">
              <w:rPr>
                <w:rFonts w:cs="Arial"/>
                <w:b/>
                <w:bCs/>
                <w:sz w:val="22"/>
                <w:szCs w:val="22"/>
              </w:rPr>
              <w:t>2</w:t>
            </w:r>
            <w:r w:rsidR="00C96897">
              <w:rPr>
                <w:rFonts w:cs="Arial"/>
                <w:b/>
                <w:bCs/>
                <w:sz w:val="22"/>
                <w:szCs w:val="22"/>
              </w:rPr>
              <w:t>09,908</w:t>
            </w:r>
          </w:p>
        </w:tc>
        <w:tc>
          <w:tcPr>
            <w:tcW w:w="1417" w:type="dxa"/>
            <w:tcBorders>
              <w:top w:val="single" w:sz="4" w:space="0" w:color="auto"/>
              <w:left w:val="single" w:sz="4" w:space="0" w:color="auto"/>
              <w:bottom w:val="single" w:sz="12" w:space="0" w:color="auto"/>
              <w:right w:val="single" w:sz="4" w:space="0" w:color="auto"/>
            </w:tcBorders>
            <w:vAlign w:val="bottom"/>
          </w:tcPr>
          <w:p w14:paraId="10B43D0B" w14:textId="77777777" w:rsidR="00E81304" w:rsidRPr="008E487E" w:rsidRDefault="00E81304" w:rsidP="00E81304">
            <w:pPr>
              <w:jc w:val="center"/>
              <w:rPr>
                <w:rFonts w:cs="Arial"/>
                <w:b/>
                <w:bCs/>
                <w:sz w:val="22"/>
                <w:szCs w:val="22"/>
              </w:rPr>
            </w:pPr>
            <w:r w:rsidRPr="008E487E">
              <w:rPr>
                <w:rFonts w:cs="Arial"/>
                <w:b/>
                <w:bCs/>
                <w:sz w:val="22"/>
                <w:szCs w:val="22"/>
              </w:rPr>
              <w:t>100%</w:t>
            </w:r>
          </w:p>
        </w:tc>
        <w:tc>
          <w:tcPr>
            <w:tcW w:w="1276" w:type="dxa"/>
            <w:tcBorders>
              <w:top w:val="single" w:sz="4" w:space="0" w:color="auto"/>
              <w:left w:val="single" w:sz="4" w:space="0" w:color="auto"/>
              <w:bottom w:val="single" w:sz="12" w:space="0" w:color="auto"/>
              <w:right w:val="single" w:sz="4" w:space="0" w:color="auto"/>
            </w:tcBorders>
            <w:vAlign w:val="bottom"/>
          </w:tcPr>
          <w:p w14:paraId="6D967EDF" w14:textId="274179D9" w:rsidR="00E81304" w:rsidRPr="008E487E" w:rsidRDefault="008E487E" w:rsidP="00E90773">
            <w:pPr>
              <w:jc w:val="right"/>
              <w:rPr>
                <w:rFonts w:cs="Arial"/>
                <w:b/>
                <w:bCs/>
                <w:sz w:val="22"/>
                <w:szCs w:val="22"/>
              </w:rPr>
            </w:pPr>
            <w:r w:rsidRPr="008E487E">
              <w:rPr>
                <w:rFonts w:cs="Arial"/>
                <w:b/>
                <w:bCs/>
                <w:sz w:val="22"/>
                <w:szCs w:val="22"/>
              </w:rPr>
              <w:t>20</w:t>
            </w:r>
            <w:r w:rsidR="00C96897">
              <w:rPr>
                <w:rFonts w:cs="Arial"/>
                <w:b/>
                <w:bCs/>
                <w:sz w:val="22"/>
                <w:szCs w:val="22"/>
              </w:rPr>
              <w:t>7,337</w:t>
            </w:r>
          </w:p>
        </w:tc>
        <w:tc>
          <w:tcPr>
            <w:tcW w:w="1418" w:type="dxa"/>
            <w:tcBorders>
              <w:top w:val="single" w:sz="4" w:space="0" w:color="auto"/>
              <w:left w:val="single" w:sz="4" w:space="0" w:color="auto"/>
              <w:bottom w:val="single" w:sz="12" w:space="0" w:color="auto"/>
              <w:right w:val="single" w:sz="4" w:space="0" w:color="auto"/>
            </w:tcBorders>
            <w:vAlign w:val="bottom"/>
          </w:tcPr>
          <w:p w14:paraId="418E33D6" w14:textId="77777777" w:rsidR="00E81304" w:rsidRPr="008E487E" w:rsidRDefault="00E81304" w:rsidP="00E81304">
            <w:pPr>
              <w:jc w:val="center"/>
              <w:rPr>
                <w:rFonts w:cs="Arial"/>
                <w:b/>
                <w:bCs/>
                <w:sz w:val="22"/>
                <w:szCs w:val="22"/>
              </w:rPr>
            </w:pPr>
            <w:r w:rsidRPr="008E487E">
              <w:rPr>
                <w:rFonts w:cs="Arial"/>
                <w:b/>
                <w:bCs/>
                <w:sz w:val="22"/>
                <w:szCs w:val="22"/>
              </w:rPr>
              <w:t>100%</w:t>
            </w:r>
          </w:p>
        </w:tc>
      </w:tr>
      <w:tr w:rsidR="003415D7" w:rsidRPr="00D26131" w14:paraId="3F985489" w14:textId="77777777" w:rsidTr="004B4DC5">
        <w:trPr>
          <w:trHeight w:val="73"/>
        </w:trPr>
        <w:tc>
          <w:tcPr>
            <w:tcW w:w="4678" w:type="dxa"/>
            <w:tcBorders>
              <w:top w:val="single" w:sz="12" w:space="0" w:color="auto"/>
              <w:left w:val="single" w:sz="4" w:space="0" w:color="auto"/>
              <w:right w:val="single" w:sz="4" w:space="0" w:color="auto"/>
            </w:tcBorders>
            <w:vAlign w:val="bottom"/>
          </w:tcPr>
          <w:p w14:paraId="277E05F9" w14:textId="77777777" w:rsidR="003415D7" w:rsidRPr="00BA2080" w:rsidRDefault="003415D7">
            <w:pPr>
              <w:rPr>
                <w:rFonts w:cs="Arial"/>
                <w:sz w:val="16"/>
                <w:szCs w:val="16"/>
              </w:rPr>
            </w:pPr>
            <w:r w:rsidRPr="00BA2080">
              <w:rPr>
                <w:rFonts w:cs="Arial"/>
                <w:sz w:val="16"/>
                <w:szCs w:val="16"/>
              </w:rPr>
              <w:t> </w:t>
            </w:r>
          </w:p>
        </w:tc>
        <w:tc>
          <w:tcPr>
            <w:tcW w:w="1276" w:type="dxa"/>
            <w:tcBorders>
              <w:top w:val="single" w:sz="12" w:space="0" w:color="auto"/>
              <w:left w:val="single" w:sz="4" w:space="0" w:color="auto"/>
              <w:right w:val="single" w:sz="4" w:space="0" w:color="auto"/>
            </w:tcBorders>
            <w:vAlign w:val="bottom"/>
          </w:tcPr>
          <w:p w14:paraId="28B7F48E" w14:textId="77777777" w:rsidR="003415D7" w:rsidRPr="008E487E" w:rsidRDefault="003415D7">
            <w:pPr>
              <w:rPr>
                <w:rFonts w:cs="Arial"/>
                <w:sz w:val="16"/>
                <w:szCs w:val="16"/>
              </w:rPr>
            </w:pPr>
          </w:p>
        </w:tc>
        <w:tc>
          <w:tcPr>
            <w:tcW w:w="1417" w:type="dxa"/>
            <w:tcBorders>
              <w:top w:val="single" w:sz="12" w:space="0" w:color="auto"/>
              <w:left w:val="single" w:sz="4" w:space="0" w:color="auto"/>
              <w:right w:val="single" w:sz="4" w:space="0" w:color="auto"/>
            </w:tcBorders>
            <w:vAlign w:val="bottom"/>
          </w:tcPr>
          <w:p w14:paraId="342DAFEC" w14:textId="77777777" w:rsidR="003415D7" w:rsidRPr="008E487E" w:rsidRDefault="003415D7">
            <w:pPr>
              <w:jc w:val="center"/>
              <w:rPr>
                <w:rFonts w:cs="Arial"/>
                <w:sz w:val="16"/>
                <w:szCs w:val="16"/>
              </w:rPr>
            </w:pPr>
          </w:p>
        </w:tc>
        <w:tc>
          <w:tcPr>
            <w:tcW w:w="1276" w:type="dxa"/>
            <w:tcBorders>
              <w:top w:val="single" w:sz="12" w:space="0" w:color="auto"/>
              <w:left w:val="single" w:sz="4" w:space="0" w:color="auto"/>
              <w:right w:val="single" w:sz="4" w:space="0" w:color="auto"/>
            </w:tcBorders>
            <w:vAlign w:val="bottom"/>
          </w:tcPr>
          <w:p w14:paraId="57C2BD63" w14:textId="77777777" w:rsidR="003415D7" w:rsidRPr="008E487E" w:rsidRDefault="003415D7">
            <w:pPr>
              <w:rPr>
                <w:rFonts w:cs="Arial"/>
                <w:sz w:val="16"/>
                <w:szCs w:val="16"/>
              </w:rPr>
            </w:pPr>
          </w:p>
        </w:tc>
        <w:tc>
          <w:tcPr>
            <w:tcW w:w="1418" w:type="dxa"/>
            <w:tcBorders>
              <w:top w:val="single" w:sz="12" w:space="0" w:color="auto"/>
              <w:left w:val="single" w:sz="4" w:space="0" w:color="auto"/>
              <w:right w:val="single" w:sz="4" w:space="0" w:color="auto"/>
            </w:tcBorders>
            <w:vAlign w:val="bottom"/>
          </w:tcPr>
          <w:p w14:paraId="64E851D5" w14:textId="77777777" w:rsidR="003415D7" w:rsidRPr="008E487E" w:rsidRDefault="003415D7">
            <w:pPr>
              <w:jc w:val="center"/>
              <w:rPr>
                <w:rFonts w:cs="Arial"/>
                <w:sz w:val="16"/>
                <w:szCs w:val="16"/>
              </w:rPr>
            </w:pPr>
            <w:r w:rsidRPr="008E487E">
              <w:rPr>
                <w:rFonts w:cs="Arial"/>
                <w:sz w:val="16"/>
                <w:szCs w:val="16"/>
              </w:rPr>
              <w:t> </w:t>
            </w:r>
          </w:p>
        </w:tc>
      </w:tr>
      <w:tr w:rsidR="00173A88" w:rsidRPr="00D26131" w14:paraId="51420A3C" w14:textId="77777777" w:rsidTr="00173A88">
        <w:tc>
          <w:tcPr>
            <w:tcW w:w="4678" w:type="dxa"/>
            <w:tcBorders>
              <w:left w:val="single" w:sz="4" w:space="0" w:color="auto"/>
              <w:right w:val="single" w:sz="4" w:space="0" w:color="auto"/>
            </w:tcBorders>
            <w:vAlign w:val="bottom"/>
          </w:tcPr>
          <w:p w14:paraId="51EFE4C9" w14:textId="77777777" w:rsidR="003415D7" w:rsidRPr="00BA2080" w:rsidRDefault="003415D7">
            <w:pPr>
              <w:rPr>
                <w:rFonts w:cs="Arial"/>
                <w:b/>
                <w:bCs/>
                <w:sz w:val="22"/>
                <w:szCs w:val="22"/>
              </w:rPr>
            </w:pPr>
            <w:r w:rsidRPr="00BA2080">
              <w:rPr>
                <w:rFonts w:cs="Arial"/>
                <w:b/>
                <w:bCs/>
                <w:sz w:val="22"/>
                <w:szCs w:val="22"/>
              </w:rPr>
              <w:t>Net treasury investments / (borrowing)</w:t>
            </w:r>
          </w:p>
        </w:tc>
        <w:tc>
          <w:tcPr>
            <w:tcW w:w="1276" w:type="dxa"/>
            <w:tcBorders>
              <w:left w:val="single" w:sz="4" w:space="0" w:color="auto"/>
              <w:right w:val="single" w:sz="4" w:space="0" w:color="auto"/>
            </w:tcBorders>
            <w:vAlign w:val="bottom"/>
          </w:tcPr>
          <w:p w14:paraId="7B28C4C3" w14:textId="41150260" w:rsidR="003415D7" w:rsidRPr="008E487E" w:rsidRDefault="00E34C8B" w:rsidP="00D47B2F">
            <w:pPr>
              <w:jc w:val="right"/>
              <w:rPr>
                <w:rFonts w:cs="Arial"/>
                <w:b/>
                <w:bCs/>
                <w:sz w:val="22"/>
                <w:szCs w:val="22"/>
              </w:rPr>
            </w:pPr>
            <w:r w:rsidRPr="008E487E">
              <w:rPr>
                <w:rFonts w:cs="Arial"/>
                <w:b/>
                <w:bCs/>
                <w:sz w:val="22"/>
                <w:szCs w:val="22"/>
              </w:rPr>
              <w:t>(1</w:t>
            </w:r>
            <w:r w:rsidR="00C96897">
              <w:rPr>
                <w:rFonts w:cs="Arial"/>
                <w:b/>
                <w:bCs/>
                <w:sz w:val="22"/>
                <w:szCs w:val="22"/>
              </w:rPr>
              <w:t>80,745</w:t>
            </w:r>
            <w:r w:rsidRPr="008E487E">
              <w:rPr>
                <w:rFonts w:cs="Arial"/>
                <w:b/>
                <w:bCs/>
                <w:sz w:val="22"/>
                <w:szCs w:val="22"/>
              </w:rPr>
              <w:t>)</w:t>
            </w:r>
          </w:p>
        </w:tc>
        <w:tc>
          <w:tcPr>
            <w:tcW w:w="1417" w:type="dxa"/>
            <w:tcBorders>
              <w:left w:val="single" w:sz="4" w:space="0" w:color="auto"/>
              <w:right w:val="single" w:sz="4" w:space="0" w:color="auto"/>
            </w:tcBorders>
            <w:vAlign w:val="bottom"/>
          </w:tcPr>
          <w:p w14:paraId="6611738F" w14:textId="77777777" w:rsidR="003415D7" w:rsidRPr="008E487E" w:rsidRDefault="003415D7">
            <w:pPr>
              <w:jc w:val="center"/>
              <w:rPr>
                <w:rFonts w:cs="Arial"/>
                <w:b/>
                <w:bCs/>
                <w:sz w:val="22"/>
                <w:szCs w:val="22"/>
              </w:rPr>
            </w:pPr>
            <w:r w:rsidRPr="008E487E">
              <w:rPr>
                <w:rFonts w:cs="Arial"/>
                <w:b/>
                <w:bCs/>
                <w:sz w:val="22"/>
                <w:szCs w:val="22"/>
              </w:rPr>
              <w:t>0</w:t>
            </w:r>
          </w:p>
        </w:tc>
        <w:tc>
          <w:tcPr>
            <w:tcW w:w="1276" w:type="dxa"/>
            <w:tcBorders>
              <w:left w:val="single" w:sz="4" w:space="0" w:color="auto"/>
              <w:right w:val="single" w:sz="4" w:space="0" w:color="auto"/>
            </w:tcBorders>
            <w:vAlign w:val="bottom"/>
          </w:tcPr>
          <w:p w14:paraId="468B2591" w14:textId="638C4AAF" w:rsidR="003415D7" w:rsidRPr="008E487E" w:rsidRDefault="00524A37" w:rsidP="00D47B2F">
            <w:pPr>
              <w:jc w:val="right"/>
              <w:rPr>
                <w:rFonts w:cs="Arial"/>
                <w:b/>
                <w:bCs/>
                <w:sz w:val="22"/>
                <w:szCs w:val="22"/>
              </w:rPr>
            </w:pPr>
            <w:r w:rsidRPr="008E487E">
              <w:rPr>
                <w:rFonts w:cs="Arial"/>
                <w:b/>
                <w:bCs/>
                <w:sz w:val="22"/>
                <w:szCs w:val="22"/>
              </w:rPr>
              <w:t>(</w:t>
            </w:r>
            <w:r w:rsidR="00C96897">
              <w:rPr>
                <w:rFonts w:cs="Arial"/>
                <w:b/>
                <w:bCs/>
                <w:sz w:val="22"/>
                <w:szCs w:val="22"/>
              </w:rPr>
              <w:t>203,637</w:t>
            </w:r>
            <w:r w:rsidRPr="008E487E">
              <w:rPr>
                <w:rFonts w:cs="Arial"/>
                <w:b/>
                <w:bCs/>
                <w:sz w:val="22"/>
                <w:szCs w:val="22"/>
              </w:rPr>
              <w:t>)</w:t>
            </w:r>
          </w:p>
        </w:tc>
        <w:tc>
          <w:tcPr>
            <w:tcW w:w="1418" w:type="dxa"/>
            <w:tcBorders>
              <w:left w:val="single" w:sz="4" w:space="0" w:color="auto"/>
              <w:right w:val="single" w:sz="4" w:space="0" w:color="auto"/>
            </w:tcBorders>
            <w:vAlign w:val="bottom"/>
          </w:tcPr>
          <w:p w14:paraId="632D05BD" w14:textId="77777777" w:rsidR="003415D7" w:rsidRPr="008E487E" w:rsidRDefault="003415D7">
            <w:pPr>
              <w:jc w:val="center"/>
              <w:rPr>
                <w:rFonts w:cs="Arial"/>
                <w:b/>
                <w:bCs/>
                <w:sz w:val="22"/>
                <w:szCs w:val="22"/>
              </w:rPr>
            </w:pPr>
            <w:r w:rsidRPr="008E487E">
              <w:rPr>
                <w:rFonts w:cs="Arial"/>
                <w:b/>
                <w:bCs/>
                <w:sz w:val="22"/>
                <w:szCs w:val="22"/>
              </w:rPr>
              <w:t>0</w:t>
            </w:r>
          </w:p>
        </w:tc>
      </w:tr>
      <w:tr w:rsidR="003415D7" w:rsidRPr="00D26131" w14:paraId="2BD0B435" w14:textId="77777777" w:rsidTr="00173A88">
        <w:tc>
          <w:tcPr>
            <w:tcW w:w="4678" w:type="dxa"/>
            <w:tcBorders>
              <w:left w:val="single" w:sz="4" w:space="0" w:color="auto"/>
              <w:bottom w:val="single" w:sz="4" w:space="0" w:color="auto"/>
              <w:right w:val="single" w:sz="4" w:space="0" w:color="auto"/>
            </w:tcBorders>
            <w:vAlign w:val="bottom"/>
          </w:tcPr>
          <w:p w14:paraId="6D8F932F" w14:textId="77777777" w:rsidR="003415D7" w:rsidRPr="00BA2080" w:rsidRDefault="003415D7">
            <w:pPr>
              <w:rPr>
                <w:rFonts w:cs="Arial"/>
                <w:b/>
                <w:bCs/>
                <w:sz w:val="16"/>
                <w:szCs w:val="16"/>
              </w:rPr>
            </w:pPr>
          </w:p>
        </w:tc>
        <w:tc>
          <w:tcPr>
            <w:tcW w:w="1276" w:type="dxa"/>
            <w:tcBorders>
              <w:left w:val="single" w:sz="4" w:space="0" w:color="auto"/>
              <w:bottom w:val="single" w:sz="4" w:space="0" w:color="auto"/>
              <w:right w:val="single" w:sz="4" w:space="0" w:color="auto"/>
            </w:tcBorders>
            <w:vAlign w:val="bottom"/>
          </w:tcPr>
          <w:p w14:paraId="380E67CA" w14:textId="77777777" w:rsidR="003415D7" w:rsidRPr="00BA2080" w:rsidRDefault="003415D7">
            <w:pPr>
              <w:jc w:val="right"/>
              <w:rPr>
                <w:rFonts w:cs="Arial"/>
                <w:b/>
                <w:bCs/>
                <w:sz w:val="16"/>
                <w:szCs w:val="16"/>
              </w:rPr>
            </w:pPr>
          </w:p>
        </w:tc>
        <w:tc>
          <w:tcPr>
            <w:tcW w:w="1417" w:type="dxa"/>
            <w:tcBorders>
              <w:left w:val="single" w:sz="4" w:space="0" w:color="auto"/>
              <w:bottom w:val="single" w:sz="4" w:space="0" w:color="auto"/>
              <w:right w:val="single" w:sz="4" w:space="0" w:color="auto"/>
            </w:tcBorders>
            <w:vAlign w:val="bottom"/>
          </w:tcPr>
          <w:p w14:paraId="1BB071A6" w14:textId="77777777" w:rsidR="003415D7" w:rsidRPr="00D26131" w:rsidRDefault="003415D7">
            <w:pPr>
              <w:jc w:val="center"/>
              <w:rPr>
                <w:rFonts w:cs="Arial"/>
                <w:b/>
                <w:bCs/>
                <w:sz w:val="16"/>
                <w:szCs w:val="16"/>
                <w:highlight w:val="yellow"/>
              </w:rPr>
            </w:pPr>
          </w:p>
        </w:tc>
        <w:tc>
          <w:tcPr>
            <w:tcW w:w="1276" w:type="dxa"/>
            <w:tcBorders>
              <w:left w:val="single" w:sz="4" w:space="0" w:color="auto"/>
              <w:bottom w:val="single" w:sz="4" w:space="0" w:color="auto"/>
              <w:right w:val="single" w:sz="4" w:space="0" w:color="auto"/>
            </w:tcBorders>
            <w:vAlign w:val="bottom"/>
          </w:tcPr>
          <w:p w14:paraId="5B04A8CC" w14:textId="77777777" w:rsidR="003415D7" w:rsidRPr="00D26131" w:rsidRDefault="003415D7">
            <w:pPr>
              <w:jc w:val="right"/>
              <w:rPr>
                <w:rFonts w:cs="Arial"/>
                <w:b/>
                <w:bCs/>
                <w:sz w:val="16"/>
                <w:szCs w:val="16"/>
                <w:highlight w:val="yellow"/>
              </w:rPr>
            </w:pPr>
          </w:p>
        </w:tc>
        <w:tc>
          <w:tcPr>
            <w:tcW w:w="1418" w:type="dxa"/>
            <w:tcBorders>
              <w:left w:val="single" w:sz="4" w:space="0" w:color="auto"/>
              <w:bottom w:val="single" w:sz="4" w:space="0" w:color="auto"/>
              <w:right w:val="single" w:sz="4" w:space="0" w:color="auto"/>
            </w:tcBorders>
            <w:vAlign w:val="bottom"/>
          </w:tcPr>
          <w:p w14:paraId="5CCC7C7D" w14:textId="77777777" w:rsidR="003415D7" w:rsidRPr="00D26131" w:rsidRDefault="003415D7">
            <w:pPr>
              <w:jc w:val="center"/>
              <w:rPr>
                <w:rFonts w:cs="Arial"/>
                <w:b/>
                <w:bCs/>
                <w:sz w:val="16"/>
                <w:szCs w:val="16"/>
                <w:highlight w:val="yellow"/>
              </w:rPr>
            </w:pPr>
          </w:p>
        </w:tc>
      </w:tr>
    </w:tbl>
    <w:p w14:paraId="009E2535" w14:textId="77777777" w:rsidR="0064691C" w:rsidRPr="00D26131" w:rsidRDefault="0064691C" w:rsidP="00915D6E">
      <w:pPr>
        <w:ind w:left="720"/>
        <w:rPr>
          <w:rFonts w:cs="Arial"/>
          <w:b/>
          <w:color w:val="993366"/>
          <w:sz w:val="22"/>
          <w:szCs w:val="22"/>
          <w:highlight w:val="yellow"/>
        </w:rPr>
      </w:pPr>
    </w:p>
    <w:p w14:paraId="4E060E76" w14:textId="13DA7E9F" w:rsidR="00834F0C" w:rsidRPr="0044522E" w:rsidRDefault="00062BC5" w:rsidP="005B34C4">
      <w:pPr>
        <w:numPr>
          <w:ilvl w:val="2"/>
          <w:numId w:val="35"/>
        </w:numPr>
        <w:rPr>
          <w:rFonts w:cs="Arial"/>
          <w:b/>
          <w:color w:val="993366"/>
          <w:sz w:val="22"/>
          <w:szCs w:val="22"/>
        </w:rPr>
      </w:pPr>
      <w:r w:rsidRPr="0044522E">
        <w:rPr>
          <w:rFonts w:cs="Arial"/>
          <w:bCs/>
          <w:noProof/>
          <w:sz w:val="22"/>
          <w:szCs w:val="22"/>
        </w:rPr>
        <w:t>The Council’s forward projections</w:t>
      </w:r>
      <w:r w:rsidR="0064691C" w:rsidRPr="0044522E">
        <w:rPr>
          <w:rFonts w:cs="Arial"/>
          <w:bCs/>
          <w:noProof/>
          <w:sz w:val="22"/>
          <w:szCs w:val="22"/>
        </w:rPr>
        <w:t xml:space="preserve"> for borrowing</w:t>
      </w:r>
      <w:r w:rsidRPr="0044522E">
        <w:rPr>
          <w:rFonts w:cs="Arial"/>
          <w:bCs/>
          <w:noProof/>
          <w:sz w:val="22"/>
          <w:szCs w:val="22"/>
        </w:rPr>
        <w:t xml:space="preserve"> </w:t>
      </w:r>
      <w:r w:rsidR="0064691C" w:rsidRPr="0044522E">
        <w:rPr>
          <w:rFonts w:cs="Arial"/>
          <w:bCs/>
          <w:noProof/>
          <w:sz w:val="22"/>
          <w:szCs w:val="22"/>
        </w:rPr>
        <w:t>are</w:t>
      </w:r>
      <w:r w:rsidRPr="0044522E">
        <w:rPr>
          <w:rFonts w:cs="Arial"/>
          <w:bCs/>
          <w:noProof/>
          <w:sz w:val="22"/>
          <w:szCs w:val="22"/>
        </w:rPr>
        <w:t xml:space="preserve"> summarised below. The table shows the actual external </w:t>
      </w:r>
      <w:r w:rsidR="00A7329A" w:rsidRPr="0044522E">
        <w:rPr>
          <w:rFonts w:cs="Arial"/>
          <w:bCs/>
          <w:noProof/>
          <w:sz w:val="22"/>
          <w:szCs w:val="22"/>
        </w:rPr>
        <w:t>debt</w:t>
      </w:r>
      <w:r w:rsidRPr="0044522E">
        <w:rPr>
          <w:rFonts w:cs="Arial"/>
          <w:bCs/>
          <w:noProof/>
          <w:sz w:val="22"/>
          <w:szCs w:val="22"/>
        </w:rPr>
        <w:t>,</w:t>
      </w:r>
      <w:r w:rsidR="0064691C" w:rsidRPr="0044522E">
        <w:rPr>
          <w:rFonts w:cs="Arial"/>
          <w:bCs/>
          <w:noProof/>
          <w:sz w:val="22"/>
          <w:szCs w:val="22"/>
        </w:rPr>
        <w:t xml:space="preserve"> </w:t>
      </w:r>
      <w:r w:rsidRPr="0044522E">
        <w:rPr>
          <w:rFonts w:cs="Arial"/>
          <w:bCs/>
          <w:noProof/>
          <w:sz w:val="22"/>
          <w:szCs w:val="22"/>
        </w:rPr>
        <w:t xml:space="preserve">against the </w:t>
      </w:r>
      <w:r w:rsidR="00FD3436" w:rsidRPr="0044522E">
        <w:rPr>
          <w:rFonts w:cs="Arial"/>
          <w:bCs/>
          <w:noProof/>
          <w:sz w:val="22"/>
          <w:szCs w:val="22"/>
        </w:rPr>
        <w:t>underlying capital b</w:t>
      </w:r>
      <w:r w:rsidRPr="0044522E">
        <w:rPr>
          <w:rFonts w:cs="Arial"/>
          <w:bCs/>
          <w:noProof/>
          <w:sz w:val="22"/>
          <w:szCs w:val="22"/>
        </w:rPr>
        <w:t xml:space="preserve">orrowing </w:t>
      </w:r>
      <w:r w:rsidR="00B648E6" w:rsidRPr="0044522E">
        <w:rPr>
          <w:rFonts w:cs="Arial"/>
          <w:bCs/>
          <w:noProof/>
          <w:sz w:val="22"/>
          <w:szCs w:val="22"/>
        </w:rPr>
        <w:t>need</w:t>
      </w:r>
      <w:r w:rsidR="00DB4348" w:rsidRPr="0044522E">
        <w:rPr>
          <w:rFonts w:cs="Arial"/>
          <w:bCs/>
          <w:noProof/>
          <w:sz w:val="22"/>
          <w:szCs w:val="22"/>
        </w:rPr>
        <w:t xml:space="preserve">, </w:t>
      </w:r>
      <w:r w:rsidRPr="0044522E">
        <w:rPr>
          <w:rFonts w:cs="Arial"/>
          <w:bCs/>
          <w:noProof/>
          <w:sz w:val="22"/>
          <w:szCs w:val="22"/>
        </w:rPr>
        <w:t xml:space="preserve"> (the Capital Financing Requirement - CFR), highlighting any over or under borrowing. </w:t>
      </w:r>
      <w:r w:rsidR="00D274E5" w:rsidRPr="0044522E">
        <w:rPr>
          <w:rFonts w:cs="Arial"/>
          <w:bCs/>
          <w:noProof/>
          <w:sz w:val="22"/>
          <w:szCs w:val="22"/>
        </w:rPr>
        <w:t xml:space="preserve"> </w:t>
      </w:r>
      <w:r w:rsidRPr="0044522E">
        <w:rPr>
          <w:rFonts w:cs="Arial"/>
          <w:b/>
          <w:color w:val="993366"/>
          <w:sz w:val="22"/>
          <w:szCs w:val="22"/>
        </w:rPr>
        <w:br/>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9"/>
        <w:gridCol w:w="1185"/>
        <w:gridCol w:w="1185"/>
        <w:gridCol w:w="1185"/>
        <w:gridCol w:w="1185"/>
        <w:gridCol w:w="1185"/>
        <w:gridCol w:w="1173"/>
      </w:tblGrid>
      <w:tr w:rsidR="00AC3118" w:rsidRPr="00D26131" w14:paraId="0C3428CD" w14:textId="77777777" w:rsidTr="00D274E5">
        <w:trPr>
          <w:trHeight w:val="349"/>
        </w:trPr>
        <w:tc>
          <w:tcPr>
            <w:tcW w:w="2989" w:type="dxa"/>
            <w:vMerge w:val="restart"/>
            <w:shd w:val="clear" w:color="auto" w:fill="D9D9D9" w:themeFill="background1" w:themeFillShade="D9"/>
            <w:vAlign w:val="center"/>
          </w:tcPr>
          <w:p w14:paraId="5965A526" w14:textId="77777777" w:rsidR="00AC3118" w:rsidRPr="00F210AB" w:rsidRDefault="00AC3118" w:rsidP="008B0CF7">
            <w:pPr>
              <w:pStyle w:val="BodyText"/>
              <w:rPr>
                <w:rFonts w:ascii="Arial" w:hAnsi="Arial" w:cs="Arial"/>
                <w:b/>
                <w:sz w:val="22"/>
                <w:szCs w:val="22"/>
                <w:highlight w:val="lightGray"/>
              </w:rPr>
            </w:pPr>
            <w:r w:rsidRPr="00F210AB">
              <w:rPr>
                <w:rFonts w:ascii="Arial" w:hAnsi="Arial" w:cs="Arial"/>
                <w:b/>
                <w:sz w:val="22"/>
                <w:szCs w:val="22"/>
                <w:highlight w:val="lightGray"/>
              </w:rPr>
              <w:t xml:space="preserve">as </w:t>
            </w:r>
            <w:proofErr w:type="gramStart"/>
            <w:r w:rsidRPr="00F210AB">
              <w:rPr>
                <w:rFonts w:ascii="Arial" w:hAnsi="Arial" w:cs="Arial"/>
                <w:b/>
                <w:sz w:val="22"/>
                <w:szCs w:val="22"/>
                <w:highlight w:val="lightGray"/>
              </w:rPr>
              <w:t>at</w:t>
            </w:r>
            <w:proofErr w:type="gramEnd"/>
            <w:r w:rsidRPr="00F210AB">
              <w:rPr>
                <w:rFonts w:ascii="Arial" w:hAnsi="Arial" w:cs="Arial"/>
                <w:b/>
                <w:sz w:val="22"/>
                <w:szCs w:val="22"/>
                <w:highlight w:val="lightGray"/>
              </w:rPr>
              <w:t xml:space="preserve"> 31 March</w:t>
            </w:r>
            <w:r w:rsidRPr="00F210AB">
              <w:rPr>
                <w:rFonts w:ascii="Arial" w:hAnsi="Arial" w:cs="Arial"/>
                <w:b/>
                <w:sz w:val="22"/>
                <w:szCs w:val="22"/>
                <w:highlight w:val="lightGray"/>
              </w:rPr>
              <w:br/>
              <w:t>£m</w:t>
            </w:r>
          </w:p>
        </w:tc>
        <w:tc>
          <w:tcPr>
            <w:tcW w:w="7098" w:type="dxa"/>
            <w:gridSpan w:val="6"/>
            <w:tcBorders>
              <w:bottom w:val="single" w:sz="4" w:space="0" w:color="auto"/>
            </w:tcBorders>
            <w:shd w:val="clear" w:color="auto" w:fill="D9D9D9" w:themeFill="background1" w:themeFillShade="D9"/>
            <w:vAlign w:val="center"/>
          </w:tcPr>
          <w:p w14:paraId="2B7D97C5" w14:textId="77777777" w:rsidR="00AC3118" w:rsidRPr="00F210AB" w:rsidRDefault="00AC3118" w:rsidP="008B0CF7">
            <w:pPr>
              <w:pStyle w:val="BodyText"/>
              <w:jc w:val="center"/>
              <w:rPr>
                <w:rFonts w:ascii="Arial" w:hAnsi="Arial" w:cs="Arial"/>
                <w:b/>
                <w:bCs/>
                <w:sz w:val="22"/>
                <w:szCs w:val="22"/>
                <w:highlight w:val="darkGray"/>
                <w:lang w:val="en-GB"/>
              </w:rPr>
            </w:pPr>
            <w:r w:rsidRPr="00F210AB">
              <w:rPr>
                <w:rFonts w:ascii="Arial" w:hAnsi="Arial" w:cs="Arial"/>
                <w:b/>
                <w:bCs/>
                <w:sz w:val="22"/>
                <w:szCs w:val="22"/>
                <w:highlight w:val="lightGray"/>
                <w:lang w:val="en-GB"/>
              </w:rPr>
              <w:t>Estimate</w:t>
            </w:r>
          </w:p>
        </w:tc>
      </w:tr>
      <w:tr w:rsidR="00AC3118" w:rsidRPr="00D26131" w14:paraId="350C4D57" w14:textId="77777777" w:rsidTr="00D274E5">
        <w:trPr>
          <w:trHeight w:val="491"/>
        </w:trPr>
        <w:tc>
          <w:tcPr>
            <w:tcW w:w="2989" w:type="dxa"/>
            <w:vMerge/>
            <w:tcBorders>
              <w:bottom w:val="single" w:sz="4" w:space="0" w:color="auto"/>
            </w:tcBorders>
            <w:shd w:val="clear" w:color="auto" w:fill="D9D9D9" w:themeFill="background1" w:themeFillShade="D9"/>
            <w:vAlign w:val="center"/>
          </w:tcPr>
          <w:p w14:paraId="480DF7D8" w14:textId="77777777" w:rsidR="00AC3118" w:rsidRPr="00F210AB" w:rsidRDefault="00AC3118" w:rsidP="00AC3118">
            <w:pPr>
              <w:pStyle w:val="BodyText"/>
              <w:rPr>
                <w:rFonts w:ascii="Arial" w:hAnsi="Arial" w:cs="Arial"/>
                <w:sz w:val="22"/>
                <w:szCs w:val="22"/>
                <w:highlight w:val="lightGray"/>
              </w:rPr>
            </w:pPr>
          </w:p>
        </w:tc>
        <w:tc>
          <w:tcPr>
            <w:tcW w:w="1185" w:type="dxa"/>
            <w:tcBorders>
              <w:bottom w:val="single" w:sz="4" w:space="0" w:color="auto"/>
            </w:tcBorders>
            <w:shd w:val="clear" w:color="auto" w:fill="D9D9D9" w:themeFill="background1" w:themeFillShade="D9"/>
            <w:vAlign w:val="center"/>
          </w:tcPr>
          <w:p w14:paraId="5AE9FC39" w14:textId="17E4326A"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3</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4</w:t>
            </w:r>
          </w:p>
        </w:tc>
        <w:tc>
          <w:tcPr>
            <w:tcW w:w="1185" w:type="dxa"/>
            <w:tcBorders>
              <w:bottom w:val="single" w:sz="4" w:space="0" w:color="auto"/>
            </w:tcBorders>
            <w:shd w:val="clear" w:color="auto" w:fill="D9D9D9" w:themeFill="background1" w:themeFillShade="D9"/>
            <w:vAlign w:val="center"/>
          </w:tcPr>
          <w:p w14:paraId="5D7DFFFB" w14:textId="592FF57A"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4</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5</w:t>
            </w:r>
          </w:p>
        </w:tc>
        <w:tc>
          <w:tcPr>
            <w:tcW w:w="1185" w:type="dxa"/>
            <w:tcBorders>
              <w:bottom w:val="single" w:sz="4" w:space="0" w:color="auto"/>
            </w:tcBorders>
            <w:shd w:val="clear" w:color="auto" w:fill="D9D9D9" w:themeFill="background1" w:themeFillShade="D9"/>
            <w:vAlign w:val="center"/>
          </w:tcPr>
          <w:p w14:paraId="45D221E4" w14:textId="3A1B273C"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5</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6</w:t>
            </w:r>
          </w:p>
        </w:tc>
        <w:tc>
          <w:tcPr>
            <w:tcW w:w="1185" w:type="dxa"/>
            <w:tcBorders>
              <w:bottom w:val="single" w:sz="4" w:space="0" w:color="auto"/>
            </w:tcBorders>
            <w:shd w:val="clear" w:color="auto" w:fill="D9D9D9" w:themeFill="background1" w:themeFillShade="D9"/>
            <w:vAlign w:val="center"/>
          </w:tcPr>
          <w:p w14:paraId="296AFC46" w14:textId="77BD2F74"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6</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7</w:t>
            </w:r>
          </w:p>
        </w:tc>
        <w:tc>
          <w:tcPr>
            <w:tcW w:w="1185" w:type="dxa"/>
            <w:tcBorders>
              <w:bottom w:val="single" w:sz="4" w:space="0" w:color="auto"/>
            </w:tcBorders>
            <w:shd w:val="clear" w:color="auto" w:fill="D9D9D9" w:themeFill="background1" w:themeFillShade="D9"/>
            <w:vAlign w:val="center"/>
          </w:tcPr>
          <w:p w14:paraId="085CD81C" w14:textId="62CB2B9C"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7</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8</w:t>
            </w:r>
          </w:p>
        </w:tc>
        <w:tc>
          <w:tcPr>
            <w:tcW w:w="1173" w:type="dxa"/>
            <w:tcBorders>
              <w:bottom w:val="single" w:sz="4" w:space="0" w:color="auto"/>
            </w:tcBorders>
            <w:shd w:val="clear" w:color="auto" w:fill="D9D9D9" w:themeFill="background1" w:themeFillShade="D9"/>
            <w:vAlign w:val="center"/>
          </w:tcPr>
          <w:p w14:paraId="6CDB5301" w14:textId="45D7E2B3" w:rsidR="00AC3118" w:rsidRPr="00F210AB" w:rsidRDefault="00F210AB" w:rsidP="00AC3118">
            <w:pPr>
              <w:pStyle w:val="BodyText"/>
              <w:jc w:val="right"/>
              <w:rPr>
                <w:rFonts w:ascii="Arial" w:hAnsi="Arial" w:cs="Arial"/>
                <w:b/>
                <w:bCs/>
                <w:sz w:val="22"/>
                <w:szCs w:val="22"/>
                <w:highlight w:val="lightGray"/>
                <w:lang w:val="en-GB"/>
              </w:rPr>
            </w:pPr>
            <w:r w:rsidRPr="00F210AB">
              <w:rPr>
                <w:rFonts w:ascii="Arial" w:hAnsi="Arial" w:cs="Arial"/>
                <w:b/>
                <w:bCs/>
                <w:sz w:val="22"/>
                <w:szCs w:val="22"/>
                <w:highlight w:val="lightGray"/>
                <w:lang w:val="en-GB"/>
              </w:rPr>
              <w:t>202</w:t>
            </w:r>
            <w:r w:rsidR="00360757">
              <w:rPr>
                <w:rFonts w:ascii="Arial" w:hAnsi="Arial" w:cs="Arial"/>
                <w:b/>
                <w:bCs/>
                <w:sz w:val="22"/>
                <w:szCs w:val="22"/>
                <w:highlight w:val="lightGray"/>
                <w:lang w:val="en-GB"/>
              </w:rPr>
              <w:t>8</w:t>
            </w:r>
            <w:r w:rsidRPr="00F210AB">
              <w:rPr>
                <w:rFonts w:ascii="Arial" w:hAnsi="Arial" w:cs="Arial"/>
                <w:b/>
                <w:bCs/>
                <w:sz w:val="22"/>
                <w:szCs w:val="22"/>
                <w:highlight w:val="lightGray"/>
                <w:lang w:val="en-GB"/>
              </w:rPr>
              <w:t>/2</w:t>
            </w:r>
            <w:r w:rsidR="00360757">
              <w:rPr>
                <w:rFonts w:ascii="Arial" w:hAnsi="Arial" w:cs="Arial"/>
                <w:b/>
                <w:bCs/>
                <w:sz w:val="22"/>
                <w:szCs w:val="22"/>
                <w:highlight w:val="lightGray"/>
                <w:lang w:val="en-GB"/>
              </w:rPr>
              <w:t>9</w:t>
            </w:r>
          </w:p>
        </w:tc>
      </w:tr>
      <w:tr w:rsidR="00AC3118" w:rsidRPr="00D26131" w14:paraId="702D0A97" w14:textId="77777777" w:rsidTr="00D274E5">
        <w:tc>
          <w:tcPr>
            <w:tcW w:w="2989" w:type="dxa"/>
            <w:tcBorders>
              <w:bottom w:val="nil"/>
            </w:tcBorders>
          </w:tcPr>
          <w:p w14:paraId="33FFE5BD" w14:textId="77777777" w:rsidR="00AC3118" w:rsidRPr="00F210AB" w:rsidRDefault="00AC3118" w:rsidP="00AC3118">
            <w:pPr>
              <w:pStyle w:val="BodyText"/>
              <w:rPr>
                <w:rFonts w:ascii="Arial" w:hAnsi="Arial" w:cs="Arial"/>
                <w:b/>
                <w:sz w:val="22"/>
                <w:szCs w:val="22"/>
              </w:rPr>
            </w:pPr>
            <w:r w:rsidRPr="00F210AB">
              <w:rPr>
                <w:rFonts w:ascii="Arial" w:hAnsi="Arial" w:cs="Arial"/>
                <w:b/>
                <w:sz w:val="22"/>
                <w:szCs w:val="22"/>
              </w:rPr>
              <w:t xml:space="preserve">Borrowing </w:t>
            </w:r>
          </w:p>
        </w:tc>
        <w:tc>
          <w:tcPr>
            <w:tcW w:w="1185" w:type="dxa"/>
            <w:tcBorders>
              <w:bottom w:val="nil"/>
            </w:tcBorders>
          </w:tcPr>
          <w:p w14:paraId="7B1D430C" w14:textId="46C5383D" w:rsidR="00AC3118" w:rsidRPr="00F210AB" w:rsidRDefault="002B627A" w:rsidP="00AC3118">
            <w:pPr>
              <w:pStyle w:val="BodyText"/>
              <w:jc w:val="right"/>
              <w:rPr>
                <w:rFonts w:ascii="Arial" w:hAnsi="Arial" w:cs="Arial"/>
                <w:sz w:val="22"/>
                <w:szCs w:val="22"/>
              </w:rPr>
            </w:pPr>
            <w:r>
              <w:rPr>
                <w:rFonts w:ascii="Arial" w:hAnsi="Arial" w:cs="Arial"/>
                <w:sz w:val="22"/>
                <w:szCs w:val="22"/>
              </w:rPr>
              <w:t>237.3</w:t>
            </w:r>
          </w:p>
        </w:tc>
        <w:tc>
          <w:tcPr>
            <w:tcW w:w="1185" w:type="dxa"/>
            <w:tcBorders>
              <w:bottom w:val="nil"/>
            </w:tcBorders>
          </w:tcPr>
          <w:p w14:paraId="2CA216D3" w14:textId="6ED23A66" w:rsidR="00AC3118" w:rsidRPr="00D274E5" w:rsidRDefault="00D274E5" w:rsidP="005A41C0">
            <w:pPr>
              <w:pStyle w:val="BodyText"/>
              <w:jc w:val="right"/>
              <w:rPr>
                <w:rFonts w:ascii="Arial" w:hAnsi="Arial" w:cs="Arial"/>
                <w:sz w:val="22"/>
                <w:szCs w:val="22"/>
              </w:rPr>
            </w:pPr>
            <w:r w:rsidRPr="00D274E5">
              <w:rPr>
                <w:rFonts w:ascii="Arial" w:hAnsi="Arial" w:cs="Arial"/>
                <w:sz w:val="22"/>
                <w:szCs w:val="22"/>
              </w:rPr>
              <w:t>2</w:t>
            </w:r>
            <w:r w:rsidR="002B627A">
              <w:rPr>
                <w:rFonts w:ascii="Arial" w:hAnsi="Arial" w:cs="Arial"/>
                <w:sz w:val="22"/>
                <w:szCs w:val="22"/>
              </w:rPr>
              <w:t>89.</w:t>
            </w:r>
            <w:r w:rsidR="00235E55">
              <w:rPr>
                <w:rFonts w:ascii="Arial" w:hAnsi="Arial" w:cs="Arial"/>
                <w:sz w:val="22"/>
                <w:szCs w:val="22"/>
              </w:rPr>
              <w:t>5</w:t>
            </w:r>
          </w:p>
        </w:tc>
        <w:tc>
          <w:tcPr>
            <w:tcW w:w="1185" w:type="dxa"/>
            <w:tcBorders>
              <w:bottom w:val="nil"/>
            </w:tcBorders>
            <w:shd w:val="clear" w:color="auto" w:fill="auto"/>
          </w:tcPr>
          <w:p w14:paraId="6152730B" w14:textId="140E1FDB" w:rsidR="00AC3118" w:rsidRPr="00D274E5" w:rsidRDefault="00D274E5" w:rsidP="00AC3118">
            <w:pPr>
              <w:pStyle w:val="BodyText"/>
              <w:jc w:val="right"/>
              <w:rPr>
                <w:rFonts w:ascii="Arial" w:hAnsi="Arial" w:cs="Arial"/>
                <w:sz w:val="22"/>
                <w:szCs w:val="22"/>
              </w:rPr>
            </w:pPr>
            <w:r w:rsidRPr="00D274E5">
              <w:rPr>
                <w:rFonts w:ascii="Arial" w:hAnsi="Arial" w:cs="Arial"/>
                <w:sz w:val="22"/>
                <w:szCs w:val="22"/>
              </w:rPr>
              <w:t>3</w:t>
            </w:r>
            <w:r w:rsidR="002B627A">
              <w:rPr>
                <w:rFonts w:ascii="Arial" w:hAnsi="Arial" w:cs="Arial"/>
                <w:sz w:val="22"/>
                <w:szCs w:val="22"/>
              </w:rPr>
              <w:t>40.5</w:t>
            </w:r>
          </w:p>
        </w:tc>
        <w:tc>
          <w:tcPr>
            <w:tcW w:w="1185" w:type="dxa"/>
            <w:tcBorders>
              <w:bottom w:val="nil"/>
            </w:tcBorders>
            <w:shd w:val="clear" w:color="auto" w:fill="auto"/>
          </w:tcPr>
          <w:p w14:paraId="33145765" w14:textId="6E4116D1" w:rsidR="00AC3118" w:rsidRPr="00D274E5" w:rsidRDefault="00D274E5" w:rsidP="00AC3118">
            <w:pPr>
              <w:pStyle w:val="BodyText"/>
              <w:jc w:val="right"/>
              <w:rPr>
                <w:rFonts w:ascii="Arial" w:hAnsi="Arial" w:cs="Arial"/>
                <w:sz w:val="22"/>
                <w:szCs w:val="22"/>
              </w:rPr>
            </w:pPr>
            <w:r w:rsidRPr="00D274E5">
              <w:rPr>
                <w:rFonts w:ascii="Arial" w:hAnsi="Arial" w:cs="Arial"/>
                <w:sz w:val="22"/>
                <w:szCs w:val="22"/>
              </w:rPr>
              <w:t>3</w:t>
            </w:r>
            <w:r w:rsidR="002B627A">
              <w:rPr>
                <w:rFonts w:ascii="Arial" w:hAnsi="Arial" w:cs="Arial"/>
                <w:sz w:val="22"/>
                <w:szCs w:val="22"/>
              </w:rPr>
              <w:t>70.5</w:t>
            </w:r>
          </w:p>
        </w:tc>
        <w:tc>
          <w:tcPr>
            <w:tcW w:w="1185" w:type="dxa"/>
            <w:tcBorders>
              <w:bottom w:val="nil"/>
            </w:tcBorders>
          </w:tcPr>
          <w:p w14:paraId="2E6994D6" w14:textId="2DF3FFB9" w:rsidR="00AC3118" w:rsidRPr="00D274E5" w:rsidRDefault="00D274E5" w:rsidP="005A41C0">
            <w:pPr>
              <w:pStyle w:val="BodyText"/>
              <w:jc w:val="right"/>
              <w:rPr>
                <w:rFonts w:ascii="Arial" w:hAnsi="Arial" w:cs="Arial"/>
                <w:sz w:val="22"/>
                <w:szCs w:val="22"/>
              </w:rPr>
            </w:pPr>
            <w:r w:rsidRPr="00D274E5">
              <w:rPr>
                <w:rFonts w:ascii="Arial" w:hAnsi="Arial" w:cs="Arial"/>
                <w:sz w:val="22"/>
                <w:szCs w:val="22"/>
              </w:rPr>
              <w:t>3</w:t>
            </w:r>
            <w:r w:rsidR="002B627A">
              <w:rPr>
                <w:rFonts w:ascii="Arial" w:hAnsi="Arial" w:cs="Arial"/>
                <w:sz w:val="22"/>
                <w:szCs w:val="22"/>
              </w:rPr>
              <w:t>91</w:t>
            </w:r>
            <w:r w:rsidR="005A41C0" w:rsidRPr="00D274E5">
              <w:rPr>
                <w:rFonts w:ascii="Arial" w:hAnsi="Arial" w:cs="Arial"/>
                <w:sz w:val="22"/>
                <w:szCs w:val="22"/>
              </w:rPr>
              <w:t>.5</w:t>
            </w:r>
          </w:p>
        </w:tc>
        <w:tc>
          <w:tcPr>
            <w:tcW w:w="1173" w:type="dxa"/>
            <w:tcBorders>
              <w:bottom w:val="nil"/>
            </w:tcBorders>
          </w:tcPr>
          <w:p w14:paraId="237F92BC" w14:textId="20127614" w:rsidR="00AC3118" w:rsidRPr="001D2472" w:rsidRDefault="00D274E5" w:rsidP="00DB4E8E">
            <w:pPr>
              <w:pStyle w:val="BodyText"/>
              <w:jc w:val="right"/>
              <w:rPr>
                <w:rFonts w:ascii="Arial" w:hAnsi="Arial" w:cs="Arial"/>
                <w:sz w:val="22"/>
                <w:szCs w:val="22"/>
              </w:rPr>
            </w:pPr>
            <w:r w:rsidRPr="001D2472">
              <w:rPr>
                <w:rFonts w:ascii="Arial" w:hAnsi="Arial" w:cs="Arial"/>
                <w:sz w:val="22"/>
                <w:szCs w:val="22"/>
              </w:rPr>
              <w:t>3</w:t>
            </w:r>
            <w:r w:rsidR="002B627A">
              <w:rPr>
                <w:rFonts w:ascii="Arial" w:hAnsi="Arial" w:cs="Arial"/>
                <w:sz w:val="22"/>
                <w:szCs w:val="22"/>
              </w:rPr>
              <w:t>85.0</w:t>
            </w:r>
          </w:p>
        </w:tc>
      </w:tr>
      <w:tr w:rsidR="00AC3118" w:rsidRPr="00D26131" w14:paraId="4E50058C" w14:textId="77777777" w:rsidTr="00D274E5">
        <w:tc>
          <w:tcPr>
            <w:tcW w:w="2989" w:type="dxa"/>
            <w:tcBorders>
              <w:top w:val="nil"/>
            </w:tcBorders>
          </w:tcPr>
          <w:p w14:paraId="0AFC29F6" w14:textId="27803EEC" w:rsidR="00AC3118" w:rsidRPr="00F210AB" w:rsidRDefault="00AC3118" w:rsidP="00AC3118">
            <w:pPr>
              <w:pStyle w:val="BodyText"/>
              <w:rPr>
                <w:rFonts w:ascii="Arial" w:hAnsi="Arial" w:cs="Arial"/>
                <w:b/>
                <w:sz w:val="22"/>
                <w:szCs w:val="22"/>
              </w:rPr>
            </w:pPr>
            <w:r w:rsidRPr="00F210AB">
              <w:rPr>
                <w:rFonts w:ascii="Arial" w:hAnsi="Arial" w:cs="Arial"/>
                <w:b/>
                <w:sz w:val="22"/>
                <w:szCs w:val="22"/>
              </w:rPr>
              <w:t xml:space="preserve">Other </w:t>
            </w:r>
            <w:proofErr w:type="gramStart"/>
            <w:r w:rsidRPr="00F210AB">
              <w:rPr>
                <w:rFonts w:ascii="Arial" w:hAnsi="Arial" w:cs="Arial"/>
                <w:b/>
                <w:sz w:val="22"/>
                <w:szCs w:val="22"/>
              </w:rPr>
              <w:t>Long Term</w:t>
            </w:r>
            <w:proofErr w:type="gramEnd"/>
            <w:r w:rsidRPr="00F210AB">
              <w:rPr>
                <w:rFonts w:ascii="Arial" w:hAnsi="Arial" w:cs="Arial"/>
                <w:b/>
                <w:sz w:val="22"/>
                <w:szCs w:val="22"/>
              </w:rPr>
              <w:t xml:space="preserve"> Liabilities</w:t>
            </w:r>
            <w:r w:rsidR="00400EE6">
              <w:rPr>
                <w:rFonts w:ascii="Arial" w:hAnsi="Arial" w:cs="Arial"/>
                <w:b/>
                <w:sz w:val="22"/>
                <w:szCs w:val="22"/>
              </w:rPr>
              <w:t xml:space="preserve"> (</w:t>
            </w:r>
            <w:r w:rsidR="00526216">
              <w:rPr>
                <w:rFonts w:ascii="Arial" w:hAnsi="Arial" w:cs="Arial"/>
                <w:b/>
                <w:sz w:val="22"/>
                <w:szCs w:val="22"/>
              </w:rPr>
              <w:t>Finance Leases</w:t>
            </w:r>
            <w:r w:rsidR="00400EE6">
              <w:rPr>
                <w:rFonts w:ascii="Arial" w:hAnsi="Arial" w:cs="Arial"/>
                <w:b/>
                <w:sz w:val="22"/>
                <w:szCs w:val="22"/>
              </w:rPr>
              <w:t>)</w:t>
            </w:r>
          </w:p>
        </w:tc>
        <w:tc>
          <w:tcPr>
            <w:tcW w:w="1185" w:type="dxa"/>
            <w:tcBorders>
              <w:top w:val="nil"/>
            </w:tcBorders>
          </w:tcPr>
          <w:p w14:paraId="15141B6D" w14:textId="77777777" w:rsidR="00526216" w:rsidRDefault="00526216" w:rsidP="00AC3118">
            <w:pPr>
              <w:pStyle w:val="BodyText"/>
              <w:jc w:val="right"/>
              <w:rPr>
                <w:rFonts w:ascii="Arial" w:hAnsi="Arial" w:cs="Arial"/>
                <w:sz w:val="22"/>
                <w:szCs w:val="22"/>
              </w:rPr>
            </w:pPr>
          </w:p>
          <w:p w14:paraId="4DEF1F78" w14:textId="77777777" w:rsidR="00526216" w:rsidRDefault="00526216" w:rsidP="00AC3118">
            <w:pPr>
              <w:pStyle w:val="BodyText"/>
              <w:jc w:val="right"/>
              <w:rPr>
                <w:rFonts w:ascii="Arial" w:hAnsi="Arial" w:cs="Arial"/>
                <w:sz w:val="22"/>
                <w:szCs w:val="22"/>
              </w:rPr>
            </w:pPr>
          </w:p>
          <w:p w14:paraId="06E27373" w14:textId="3F6CD9DF" w:rsidR="00AC3118" w:rsidRPr="00F210AB" w:rsidRDefault="002B627A" w:rsidP="00AC3118">
            <w:pPr>
              <w:pStyle w:val="BodyText"/>
              <w:jc w:val="right"/>
              <w:rPr>
                <w:rFonts w:ascii="Arial" w:hAnsi="Arial" w:cs="Arial"/>
                <w:sz w:val="22"/>
                <w:szCs w:val="22"/>
              </w:rPr>
            </w:pPr>
            <w:r>
              <w:rPr>
                <w:rFonts w:ascii="Arial" w:hAnsi="Arial" w:cs="Arial"/>
                <w:sz w:val="22"/>
                <w:szCs w:val="22"/>
              </w:rPr>
              <w:t>11</w:t>
            </w:r>
            <w:r w:rsidR="003F3016">
              <w:rPr>
                <w:rFonts w:ascii="Arial" w:hAnsi="Arial" w:cs="Arial"/>
                <w:sz w:val="22"/>
                <w:szCs w:val="22"/>
              </w:rPr>
              <w:t>1</w:t>
            </w:r>
            <w:r>
              <w:rPr>
                <w:rFonts w:ascii="Arial" w:hAnsi="Arial" w:cs="Arial"/>
                <w:sz w:val="22"/>
                <w:szCs w:val="22"/>
              </w:rPr>
              <w:t>.3</w:t>
            </w:r>
          </w:p>
        </w:tc>
        <w:tc>
          <w:tcPr>
            <w:tcW w:w="1185" w:type="dxa"/>
            <w:tcBorders>
              <w:top w:val="nil"/>
            </w:tcBorders>
          </w:tcPr>
          <w:p w14:paraId="66ECD0D6" w14:textId="77777777" w:rsidR="00526216" w:rsidRDefault="00526216" w:rsidP="00AC3118">
            <w:pPr>
              <w:pStyle w:val="BodyText"/>
              <w:jc w:val="right"/>
              <w:rPr>
                <w:rFonts w:ascii="Arial" w:hAnsi="Arial" w:cs="Arial"/>
                <w:sz w:val="22"/>
                <w:szCs w:val="22"/>
              </w:rPr>
            </w:pPr>
          </w:p>
          <w:p w14:paraId="7D4E3858" w14:textId="77777777" w:rsidR="00526216" w:rsidRDefault="00526216" w:rsidP="00AC3118">
            <w:pPr>
              <w:pStyle w:val="BodyText"/>
              <w:jc w:val="right"/>
              <w:rPr>
                <w:rFonts w:ascii="Arial" w:hAnsi="Arial" w:cs="Arial"/>
                <w:sz w:val="22"/>
                <w:szCs w:val="22"/>
              </w:rPr>
            </w:pPr>
          </w:p>
          <w:p w14:paraId="3873B548" w14:textId="26148C11" w:rsidR="00AC3118" w:rsidRPr="00D274E5" w:rsidRDefault="00054CE0" w:rsidP="00AC3118">
            <w:pPr>
              <w:pStyle w:val="BodyText"/>
              <w:jc w:val="right"/>
              <w:rPr>
                <w:rFonts w:ascii="Arial" w:hAnsi="Arial" w:cs="Arial"/>
                <w:sz w:val="22"/>
                <w:szCs w:val="22"/>
              </w:rPr>
            </w:pPr>
            <w:r>
              <w:rPr>
                <w:rFonts w:ascii="Arial" w:hAnsi="Arial" w:cs="Arial"/>
                <w:sz w:val="22"/>
                <w:szCs w:val="22"/>
              </w:rPr>
              <w:t>11</w:t>
            </w:r>
            <w:r w:rsidR="002B627A">
              <w:rPr>
                <w:rFonts w:ascii="Arial" w:hAnsi="Arial" w:cs="Arial"/>
                <w:sz w:val="22"/>
                <w:szCs w:val="22"/>
              </w:rPr>
              <w:t>0.2</w:t>
            </w:r>
          </w:p>
        </w:tc>
        <w:tc>
          <w:tcPr>
            <w:tcW w:w="1185" w:type="dxa"/>
            <w:tcBorders>
              <w:top w:val="nil"/>
            </w:tcBorders>
            <w:shd w:val="clear" w:color="auto" w:fill="auto"/>
          </w:tcPr>
          <w:p w14:paraId="4283FA32" w14:textId="77777777" w:rsidR="00526216" w:rsidRDefault="00526216" w:rsidP="00AC3118">
            <w:pPr>
              <w:pStyle w:val="BodyText"/>
              <w:jc w:val="right"/>
              <w:rPr>
                <w:rFonts w:ascii="Arial" w:hAnsi="Arial" w:cs="Arial"/>
                <w:sz w:val="22"/>
                <w:szCs w:val="22"/>
              </w:rPr>
            </w:pPr>
          </w:p>
          <w:p w14:paraId="2381B341" w14:textId="77777777" w:rsidR="00526216" w:rsidRDefault="00526216" w:rsidP="00AC3118">
            <w:pPr>
              <w:pStyle w:val="BodyText"/>
              <w:jc w:val="right"/>
              <w:rPr>
                <w:rFonts w:ascii="Arial" w:hAnsi="Arial" w:cs="Arial"/>
                <w:sz w:val="22"/>
                <w:szCs w:val="22"/>
              </w:rPr>
            </w:pPr>
          </w:p>
          <w:p w14:paraId="49FE4EF7" w14:textId="5C221B64" w:rsidR="00AC3118" w:rsidRPr="00D274E5" w:rsidRDefault="00054CE0" w:rsidP="00AC3118">
            <w:pPr>
              <w:pStyle w:val="BodyText"/>
              <w:jc w:val="right"/>
              <w:rPr>
                <w:rFonts w:ascii="Arial" w:hAnsi="Arial" w:cs="Arial"/>
                <w:sz w:val="22"/>
                <w:szCs w:val="22"/>
              </w:rPr>
            </w:pPr>
            <w:r>
              <w:rPr>
                <w:rFonts w:ascii="Arial" w:hAnsi="Arial" w:cs="Arial"/>
                <w:sz w:val="22"/>
                <w:szCs w:val="22"/>
              </w:rPr>
              <w:t>1</w:t>
            </w:r>
            <w:r w:rsidR="002B627A">
              <w:rPr>
                <w:rFonts w:ascii="Arial" w:hAnsi="Arial" w:cs="Arial"/>
                <w:sz w:val="22"/>
                <w:szCs w:val="22"/>
              </w:rPr>
              <w:t>09.1</w:t>
            </w:r>
          </w:p>
        </w:tc>
        <w:tc>
          <w:tcPr>
            <w:tcW w:w="1185" w:type="dxa"/>
            <w:tcBorders>
              <w:top w:val="nil"/>
            </w:tcBorders>
            <w:shd w:val="clear" w:color="auto" w:fill="auto"/>
          </w:tcPr>
          <w:p w14:paraId="7B5ABE14" w14:textId="77777777" w:rsidR="00526216" w:rsidRDefault="00526216" w:rsidP="00AC3118">
            <w:pPr>
              <w:pStyle w:val="BodyText"/>
              <w:jc w:val="right"/>
              <w:rPr>
                <w:rFonts w:ascii="Arial" w:hAnsi="Arial" w:cs="Arial"/>
                <w:sz w:val="22"/>
                <w:szCs w:val="22"/>
              </w:rPr>
            </w:pPr>
          </w:p>
          <w:p w14:paraId="679E9D2C" w14:textId="77777777" w:rsidR="00526216" w:rsidRDefault="00526216" w:rsidP="00AC3118">
            <w:pPr>
              <w:pStyle w:val="BodyText"/>
              <w:jc w:val="right"/>
              <w:rPr>
                <w:rFonts w:ascii="Arial" w:hAnsi="Arial" w:cs="Arial"/>
                <w:sz w:val="22"/>
                <w:szCs w:val="22"/>
              </w:rPr>
            </w:pPr>
          </w:p>
          <w:p w14:paraId="3C284255" w14:textId="633AF38F" w:rsidR="00AC3118" w:rsidRPr="00D274E5" w:rsidRDefault="00054CE0" w:rsidP="00AC3118">
            <w:pPr>
              <w:pStyle w:val="BodyText"/>
              <w:jc w:val="right"/>
              <w:rPr>
                <w:rFonts w:ascii="Arial" w:hAnsi="Arial" w:cs="Arial"/>
                <w:sz w:val="22"/>
                <w:szCs w:val="22"/>
              </w:rPr>
            </w:pPr>
            <w:r>
              <w:rPr>
                <w:rFonts w:ascii="Arial" w:hAnsi="Arial" w:cs="Arial"/>
                <w:sz w:val="22"/>
                <w:szCs w:val="22"/>
              </w:rPr>
              <w:t>10</w:t>
            </w:r>
            <w:r w:rsidR="002B627A">
              <w:rPr>
                <w:rFonts w:ascii="Arial" w:hAnsi="Arial" w:cs="Arial"/>
                <w:sz w:val="22"/>
                <w:szCs w:val="22"/>
              </w:rPr>
              <w:t>8.0</w:t>
            </w:r>
          </w:p>
        </w:tc>
        <w:tc>
          <w:tcPr>
            <w:tcW w:w="1185" w:type="dxa"/>
            <w:tcBorders>
              <w:top w:val="nil"/>
            </w:tcBorders>
          </w:tcPr>
          <w:p w14:paraId="7043367B" w14:textId="77777777" w:rsidR="00526216" w:rsidRDefault="00526216" w:rsidP="00AC3118">
            <w:pPr>
              <w:pStyle w:val="BodyText"/>
              <w:jc w:val="right"/>
              <w:rPr>
                <w:rFonts w:ascii="Arial" w:hAnsi="Arial" w:cs="Arial"/>
                <w:sz w:val="22"/>
                <w:szCs w:val="22"/>
              </w:rPr>
            </w:pPr>
          </w:p>
          <w:p w14:paraId="2B1BAE76" w14:textId="77777777" w:rsidR="00526216" w:rsidRDefault="00526216" w:rsidP="00AC3118">
            <w:pPr>
              <w:pStyle w:val="BodyText"/>
              <w:jc w:val="right"/>
              <w:rPr>
                <w:rFonts w:ascii="Arial" w:hAnsi="Arial" w:cs="Arial"/>
                <w:sz w:val="22"/>
                <w:szCs w:val="22"/>
              </w:rPr>
            </w:pPr>
          </w:p>
          <w:p w14:paraId="6F85803B" w14:textId="5D8DFC7A" w:rsidR="00AC3118" w:rsidRPr="00D274E5" w:rsidRDefault="00054CE0" w:rsidP="00AC3118">
            <w:pPr>
              <w:pStyle w:val="BodyText"/>
              <w:jc w:val="right"/>
              <w:rPr>
                <w:rFonts w:ascii="Arial" w:hAnsi="Arial" w:cs="Arial"/>
                <w:sz w:val="22"/>
                <w:szCs w:val="22"/>
              </w:rPr>
            </w:pPr>
            <w:r>
              <w:rPr>
                <w:rFonts w:ascii="Arial" w:hAnsi="Arial" w:cs="Arial"/>
                <w:sz w:val="22"/>
                <w:szCs w:val="22"/>
              </w:rPr>
              <w:t>10</w:t>
            </w:r>
            <w:r w:rsidR="002B627A">
              <w:rPr>
                <w:rFonts w:ascii="Arial" w:hAnsi="Arial" w:cs="Arial"/>
                <w:sz w:val="22"/>
                <w:szCs w:val="22"/>
              </w:rPr>
              <w:t>6.7</w:t>
            </w:r>
          </w:p>
        </w:tc>
        <w:tc>
          <w:tcPr>
            <w:tcW w:w="1173" w:type="dxa"/>
            <w:tcBorders>
              <w:top w:val="nil"/>
            </w:tcBorders>
          </w:tcPr>
          <w:p w14:paraId="14D537A1" w14:textId="77777777" w:rsidR="00526216" w:rsidRDefault="00526216" w:rsidP="00AC3118">
            <w:pPr>
              <w:pStyle w:val="BodyText"/>
              <w:jc w:val="right"/>
              <w:rPr>
                <w:rFonts w:ascii="Arial" w:hAnsi="Arial" w:cs="Arial"/>
                <w:sz w:val="22"/>
                <w:szCs w:val="22"/>
              </w:rPr>
            </w:pPr>
          </w:p>
          <w:p w14:paraId="41235AA6" w14:textId="77777777" w:rsidR="00526216" w:rsidRDefault="00526216" w:rsidP="00AC3118">
            <w:pPr>
              <w:pStyle w:val="BodyText"/>
              <w:jc w:val="right"/>
              <w:rPr>
                <w:rFonts w:ascii="Arial" w:hAnsi="Arial" w:cs="Arial"/>
                <w:sz w:val="22"/>
                <w:szCs w:val="22"/>
              </w:rPr>
            </w:pPr>
          </w:p>
          <w:p w14:paraId="6F9550F7" w14:textId="52C3EB36" w:rsidR="00AC3118" w:rsidRPr="001D2472" w:rsidRDefault="00054CE0" w:rsidP="00AC3118">
            <w:pPr>
              <w:pStyle w:val="BodyText"/>
              <w:jc w:val="right"/>
              <w:rPr>
                <w:rFonts w:ascii="Arial" w:hAnsi="Arial" w:cs="Arial"/>
                <w:sz w:val="22"/>
                <w:szCs w:val="22"/>
              </w:rPr>
            </w:pPr>
            <w:r>
              <w:rPr>
                <w:rFonts w:ascii="Arial" w:hAnsi="Arial" w:cs="Arial"/>
                <w:sz w:val="22"/>
                <w:szCs w:val="22"/>
              </w:rPr>
              <w:t>10</w:t>
            </w:r>
            <w:r w:rsidR="002B627A">
              <w:rPr>
                <w:rFonts w:ascii="Arial" w:hAnsi="Arial" w:cs="Arial"/>
                <w:sz w:val="22"/>
                <w:szCs w:val="22"/>
              </w:rPr>
              <w:t>5.4</w:t>
            </w:r>
          </w:p>
        </w:tc>
      </w:tr>
      <w:tr w:rsidR="00AC3118" w:rsidRPr="00D26131" w14:paraId="347FCF49" w14:textId="77777777" w:rsidTr="00D274E5">
        <w:tc>
          <w:tcPr>
            <w:tcW w:w="2989" w:type="dxa"/>
            <w:vAlign w:val="center"/>
          </w:tcPr>
          <w:p w14:paraId="6EF1A266" w14:textId="77777777" w:rsidR="00AC3118" w:rsidRPr="00F210AB" w:rsidRDefault="00AC3118" w:rsidP="00AC3118">
            <w:pPr>
              <w:pStyle w:val="BodyText"/>
              <w:rPr>
                <w:rFonts w:ascii="Arial" w:hAnsi="Arial" w:cs="Arial"/>
                <w:b/>
                <w:sz w:val="22"/>
                <w:szCs w:val="22"/>
              </w:rPr>
            </w:pPr>
            <w:r w:rsidRPr="00F210AB">
              <w:rPr>
                <w:rFonts w:ascii="Arial" w:hAnsi="Arial" w:cs="Arial"/>
                <w:b/>
                <w:sz w:val="22"/>
                <w:szCs w:val="22"/>
              </w:rPr>
              <w:t xml:space="preserve">Total Gross Borrowing </w:t>
            </w:r>
            <w:r w:rsidRPr="00F210AB">
              <w:rPr>
                <w:rFonts w:ascii="Arial" w:hAnsi="Arial" w:cs="Arial"/>
                <w:b/>
                <w:sz w:val="22"/>
                <w:szCs w:val="22"/>
              </w:rPr>
              <w:br/>
              <w:t>(Prudential Indicator PI-5)</w:t>
            </w:r>
          </w:p>
        </w:tc>
        <w:tc>
          <w:tcPr>
            <w:tcW w:w="1185" w:type="dxa"/>
            <w:vAlign w:val="center"/>
          </w:tcPr>
          <w:p w14:paraId="46F01B64" w14:textId="228DBC41" w:rsidR="00AC3118" w:rsidRPr="00F210AB" w:rsidRDefault="002B627A" w:rsidP="00AC3118">
            <w:pPr>
              <w:pStyle w:val="BodyText"/>
              <w:jc w:val="right"/>
              <w:rPr>
                <w:rFonts w:ascii="Arial" w:hAnsi="Arial" w:cs="Arial"/>
                <w:b/>
                <w:sz w:val="22"/>
                <w:szCs w:val="22"/>
              </w:rPr>
            </w:pPr>
            <w:r>
              <w:rPr>
                <w:rFonts w:ascii="Arial" w:hAnsi="Arial" w:cs="Arial"/>
                <w:b/>
                <w:sz w:val="22"/>
                <w:szCs w:val="22"/>
              </w:rPr>
              <w:t>34</w:t>
            </w:r>
            <w:r w:rsidR="003F3016">
              <w:rPr>
                <w:rFonts w:ascii="Arial" w:hAnsi="Arial" w:cs="Arial"/>
                <w:b/>
                <w:sz w:val="22"/>
                <w:szCs w:val="22"/>
              </w:rPr>
              <w:t>8</w:t>
            </w:r>
            <w:r>
              <w:rPr>
                <w:rFonts w:ascii="Arial" w:hAnsi="Arial" w:cs="Arial"/>
                <w:b/>
                <w:sz w:val="22"/>
                <w:szCs w:val="22"/>
              </w:rPr>
              <w:t>.6</w:t>
            </w:r>
          </w:p>
        </w:tc>
        <w:tc>
          <w:tcPr>
            <w:tcW w:w="1185" w:type="dxa"/>
            <w:vAlign w:val="center"/>
          </w:tcPr>
          <w:p w14:paraId="04579A62" w14:textId="2057BB4D" w:rsidR="00AC3118" w:rsidRPr="00D274E5" w:rsidRDefault="00AC3118" w:rsidP="005A41C0">
            <w:pPr>
              <w:pStyle w:val="BodyText"/>
              <w:jc w:val="right"/>
              <w:rPr>
                <w:rFonts w:ascii="Arial" w:hAnsi="Arial" w:cs="Arial"/>
                <w:b/>
                <w:sz w:val="22"/>
                <w:szCs w:val="22"/>
              </w:rPr>
            </w:pPr>
            <w:r w:rsidRPr="00D274E5">
              <w:rPr>
                <w:rFonts w:ascii="Arial" w:hAnsi="Arial" w:cs="Arial"/>
                <w:b/>
                <w:sz w:val="22"/>
                <w:szCs w:val="22"/>
              </w:rPr>
              <w:t>3</w:t>
            </w:r>
            <w:r w:rsidR="002B627A">
              <w:rPr>
                <w:rFonts w:ascii="Arial" w:hAnsi="Arial" w:cs="Arial"/>
                <w:b/>
                <w:sz w:val="22"/>
                <w:szCs w:val="22"/>
              </w:rPr>
              <w:t>99.</w:t>
            </w:r>
            <w:r w:rsidR="00235E55">
              <w:rPr>
                <w:rFonts w:ascii="Arial" w:hAnsi="Arial" w:cs="Arial"/>
                <w:b/>
                <w:sz w:val="22"/>
                <w:szCs w:val="22"/>
              </w:rPr>
              <w:t>7</w:t>
            </w:r>
          </w:p>
        </w:tc>
        <w:tc>
          <w:tcPr>
            <w:tcW w:w="1185" w:type="dxa"/>
            <w:shd w:val="clear" w:color="auto" w:fill="auto"/>
            <w:vAlign w:val="center"/>
          </w:tcPr>
          <w:p w14:paraId="2FCA46EB" w14:textId="414F3421" w:rsidR="00AC3118" w:rsidRPr="00D274E5" w:rsidRDefault="00054CE0" w:rsidP="005A41C0">
            <w:pPr>
              <w:pStyle w:val="BodyText"/>
              <w:jc w:val="right"/>
              <w:rPr>
                <w:rFonts w:ascii="Arial" w:hAnsi="Arial" w:cs="Arial"/>
                <w:b/>
                <w:sz w:val="22"/>
                <w:szCs w:val="22"/>
              </w:rPr>
            </w:pPr>
            <w:r>
              <w:rPr>
                <w:rFonts w:ascii="Arial" w:hAnsi="Arial" w:cs="Arial"/>
                <w:b/>
                <w:sz w:val="22"/>
                <w:szCs w:val="22"/>
              </w:rPr>
              <w:t>4</w:t>
            </w:r>
            <w:r w:rsidR="002B627A">
              <w:rPr>
                <w:rFonts w:ascii="Arial" w:hAnsi="Arial" w:cs="Arial"/>
                <w:b/>
                <w:sz w:val="22"/>
                <w:szCs w:val="22"/>
              </w:rPr>
              <w:t>49.6</w:t>
            </w:r>
          </w:p>
        </w:tc>
        <w:tc>
          <w:tcPr>
            <w:tcW w:w="1185" w:type="dxa"/>
            <w:shd w:val="clear" w:color="auto" w:fill="auto"/>
            <w:vAlign w:val="center"/>
          </w:tcPr>
          <w:p w14:paraId="7E0F6A60" w14:textId="42692904" w:rsidR="00AC3118" w:rsidRPr="00D274E5" w:rsidRDefault="00054CE0" w:rsidP="005A41C0">
            <w:pPr>
              <w:pStyle w:val="BodyText"/>
              <w:jc w:val="right"/>
              <w:rPr>
                <w:rFonts w:ascii="Arial" w:hAnsi="Arial" w:cs="Arial"/>
                <w:b/>
                <w:sz w:val="22"/>
                <w:szCs w:val="22"/>
              </w:rPr>
            </w:pPr>
            <w:r>
              <w:rPr>
                <w:rFonts w:ascii="Arial" w:hAnsi="Arial" w:cs="Arial"/>
                <w:b/>
                <w:sz w:val="22"/>
                <w:szCs w:val="22"/>
              </w:rPr>
              <w:t>4</w:t>
            </w:r>
            <w:r w:rsidR="002B627A">
              <w:rPr>
                <w:rFonts w:ascii="Arial" w:hAnsi="Arial" w:cs="Arial"/>
                <w:b/>
                <w:sz w:val="22"/>
                <w:szCs w:val="22"/>
              </w:rPr>
              <w:t>78.5</w:t>
            </w:r>
          </w:p>
        </w:tc>
        <w:tc>
          <w:tcPr>
            <w:tcW w:w="1185" w:type="dxa"/>
            <w:vAlign w:val="center"/>
          </w:tcPr>
          <w:p w14:paraId="3070F03E" w14:textId="4D184440" w:rsidR="00AC3118" w:rsidRPr="00D274E5" w:rsidRDefault="00AC3118" w:rsidP="005A41C0">
            <w:pPr>
              <w:pStyle w:val="BodyText"/>
              <w:jc w:val="right"/>
              <w:rPr>
                <w:rFonts w:ascii="Arial" w:hAnsi="Arial" w:cs="Arial"/>
                <w:b/>
                <w:sz w:val="22"/>
                <w:szCs w:val="22"/>
              </w:rPr>
            </w:pPr>
            <w:r w:rsidRPr="00D274E5">
              <w:rPr>
                <w:rFonts w:ascii="Arial" w:hAnsi="Arial" w:cs="Arial"/>
                <w:b/>
                <w:sz w:val="22"/>
                <w:szCs w:val="22"/>
              </w:rPr>
              <w:t>4</w:t>
            </w:r>
            <w:r w:rsidR="002B627A">
              <w:rPr>
                <w:rFonts w:ascii="Arial" w:hAnsi="Arial" w:cs="Arial"/>
                <w:b/>
                <w:sz w:val="22"/>
                <w:szCs w:val="22"/>
              </w:rPr>
              <w:t>98.2</w:t>
            </w:r>
          </w:p>
        </w:tc>
        <w:tc>
          <w:tcPr>
            <w:tcW w:w="1173" w:type="dxa"/>
            <w:vAlign w:val="center"/>
          </w:tcPr>
          <w:p w14:paraId="77BD4EAA" w14:textId="205D4188" w:rsidR="00AC3118" w:rsidRPr="001D2472" w:rsidRDefault="00AC3118" w:rsidP="005A41C0">
            <w:pPr>
              <w:pStyle w:val="BodyText"/>
              <w:jc w:val="right"/>
              <w:rPr>
                <w:rFonts w:ascii="Arial" w:hAnsi="Arial" w:cs="Arial"/>
                <w:b/>
                <w:sz w:val="22"/>
                <w:szCs w:val="22"/>
              </w:rPr>
            </w:pPr>
            <w:r w:rsidRPr="001D2472">
              <w:rPr>
                <w:rFonts w:ascii="Arial" w:hAnsi="Arial" w:cs="Arial"/>
                <w:b/>
                <w:sz w:val="22"/>
                <w:szCs w:val="22"/>
              </w:rPr>
              <w:t>4</w:t>
            </w:r>
            <w:r w:rsidR="002B627A">
              <w:rPr>
                <w:rFonts w:ascii="Arial" w:hAnsi="Arial" w:cs="Arial"/>
                <w:b/>
                <w:sz w:val="22"/>
                <w:szCs w:val="22"/>
              </w:rPr>
              <w:t>90.4</w:t>
            </w:r>
          </w:p>
        </w:tc>
      </w:tr>
      <w:tr w:rsidR="00AC3118" w:rsidRPr="00D26131" w14:paraId="13E152FA" w14:textId="77777777" w:rsidTr="00D274E5">
        <w:trPr>
          <w:trHeight w:val="458"/>
        </w:trPr>
        <w:tc>
          <w:tcPr>
            <w:tcW w:w="2989" w:type="dxa"/>
            <w:tcBorders>
              <w:top w:val="single" w:sz="18" w:space="0" w:color="auto"/>
              <w:bottom w:val="single" w:sz="18" w:space="0" w:color="auto"/>
            </w:tcBorders>
            <w:vAlign w:val="center"/>
          </w:tcPr>
          <w:p w14:paraId="2640035B" w14:textId="77777777" w:rsidR="00AC3118" w:rsidRPr="00F210AB" w:rsidRDefault="00AC3118" w:rsidP="00AC3118">
            <w:pPr>
              <w:pStyle w:val="BodyText"/>
              <w:rPr>
                <w:rFonts w:ascii="Arial" w:hAnsi="Arial" w:cs="Arial"/>
                <w:b/>
                <w:sz w:val="22"/>
                <w:szCs w:val="22"/>
              </w:rPr>
            </w:pPr>
            <w:r w:rsidRPr="00472367">
              <w:rPr>
                <w:rFonts w:ascii="Arial" w:hAnsi="Arial" w:cs="Arial"/>
                <w:b/>
                <w:sz w:val="22"/>
                <w:szCs w:val="22"/>
              </w:rPr>
              <w:t>Capital Financing Requirement*</w:t>
            </w:r>
          </w:p>
        </w:tc>
        <w:tc>
          <w:tcPr>
            <w:tcW w:w="1185" w:type="dxa"/>
            <w:tcBorders>
              <w:top w:val="single" w:sz="18" w:space="0" w:color="auto"/>
              <w:bottom w:val="single" w:sz="18" w:space="0" w:color="auto"/>
            </w:tcBorders>
            <w:shd w:val="clear" w:color="auto" w:fill="auto"/>
            <w:vAlign w:val="center"/>
          </w:tcPr>
          <w:p w14:paraId="00CD79C0" w14:textId="4C8F08C8" w:rsidR="00AC3118" w:rsidRPr="00F210AB" w:rsidRDefault="003F14A6" w:rsidP="00054CE0">
            <w:pPr>
              <w:pStyle w:val="BodyText"/>
              <w:jc w:val="right"/>
              <w:rPr>
                <w:rFonts w:ascii="Arial" w:hAnsi="Arial" w:cs="Arial"/>
                <w:b/>
                <w:sz w:val="22"/>
                <w:szCs w:val="22"/>
                <w:lang w:val="en-GB"/>
              </w:rPr>
            </w:pPr>
            <w:r>
              <w:rPr>
                <w:rFonts w:ascii="Arial" w:hAnsi="Arial" w:cs="Arial"/>
                <w:b/>
                <w:sz w:val="22"/>
                <w:szCs w:val="22"/>
                <w:lang w:val="en-GB"/>
              </w:rPr>
              <w:t>532.4</w:t>
            </w:r>
          </w:p>
        </w:tc>
        <w:tc>
          <w:tcPr>
            <w:tcW w:w="1185" w:type="dxa"/>
            <w:tcBorders>
              <w:top w:val="single" w:sz="18" w:space="0" w:color="auto"/>
              <w:bottom w:val="single" w:sz="18" w:space="0" w:color="auto"/>
            </w:tcBorders>
            <w:vAlign w:val="center"/>
          </w:tcPr>
          <w:p w14:paraId="65C47D5C" w14:textId="2F640922" w:rsidR="00AC3118" w:rsidRPr="00D26131" w:rsidRDefault="003F14A6" w:rsidP="00472367">
            <w:pPr>
              <w:pStyle w:val="BodyText"/>
              <w:jc w:val="right"/>
              <w:rPr>
                <w:rFonts w:ascii="Arial" w:hAnsi="Arial" w:cs="Arial"/>
                <w:b/>
                <w:sz w:val="22"/>
                <w:szCs w:val="22"/>
                <w:highlight w:val="yellow"/>
                <w:lang w:val="en-GB"/>
              </w:rPr>
            </w:pPr>
            <w:r w:rsidRPr="003F14A6">
              <w:rPr>
                <w:rFonts w:ascii="Arial" w:hAnsi="Arial" w:cs="Arial"/>
                <w:b/>
                <w:sz w:val="22"/>
                <w:szCs w:val="22"/>
                <w:lang w:val="en-GB"/>
              </w:rPr>
              <w:t>555.3</w:t>
            </w:r>
          </w:p>
        </w:tc>
        <w:tc>
          <w:tcPr>
            <w:tcW w:w="1185" w:type="dxa"/>
            <w:tcBorders>
              <w:top w:val="single" w:sz="18" w:space="0" w:color="auto"/>
              <w:bottom w:val="single" w:sz="18" w:space="0" w:color="auto"/>
            </w:tcBorders>
            <w:shd w:val="clear" w:color="auto" w:fill="auto"/>
            <w:vAlign w:val="center"/>
          </w:tcPr>
          <w:p w14:paraId="3E0A1E9F" w14:textId="439892F6" w:rsidR="00AC3118" w:rsidRPr="00D26131" w:rsidRDefault="003F14A6" w:rsidP="00472367">
            <w:pPr>
              <w:pStyle w:val="BodyText"/>
              <w:jc w:val="right"/>
              <w:rPr>
                <w:rFonts w:ascii="Arial" w:hAnsi="Arial" w:cs="Arial"/>
                <w:b/>
                <w:sz w:val="22"/>
                <w:szCs w:val="22"/>
                <w:highlight w:val="yellow"/>
                <w:lang w:val="en-GB"/>
              </w:rPr>
            </w:pPr>
            <w:r>
              <w:rPr>
                <w:rFonts w:ascii="Arial" w:hAnsi="Arial" w:cs="Arial"/>
                <w:b/>
                <w:sz w:val="22"/>
                <w:szCs w:val="22"/>
                <w:lang w:val="en-GB"/>
              </w:rPr>
              <w:t>576.5</w:t>
            </w:r>
          </w:p>
        </w:tc>
        <w:tc>
          <w:tcPr>
            <w:tcW w:w="1185" w:type="dxa"/>
            <w:tcBorders>
              <w:top w:val="single" w:sz="18" w:space="0" w:color="auto"/>
              <w:bottom w:val="single" w:sz="18" w:space="0" w:color="auto"/>
            </w:tcBorders>
            <w:shd w:val="clear" w:color="auto" w:fill="auto"/>
            <w:vAlign w:val="center"/>
          </w:tcPr>
          <w:p w14:paraId="254583CB" w14:textId="72C7F45B" w:rsidR="00AC3118" w:rsidRPr="00D274E5" w:rsidRDefault="002B627A" w:rsidP="00DB4E8E">
            <w:pPr>
              <w:pStyle w:val="BodyText"/>
              <w:jc w:val="right"/>
              <w:rPr>
                <w:rFonts w:ascii="Arial" w:hAnsi="Arial" w:cs="Arial"/>
                <w:b/>
                <w:sz w:val="22"/>
                <w:szCs w:val="22"/>
                <w:lang w:val="en-GB"/>
              </w:rPr>
            </w:pPr>
            <w:r>
              <w:rPr>
                <w:rFonts w:ascii="Arial" w:hAnsi="Arial" w:cs="Arial"/>
                <w:b/>
                <w:sz w:val="22"/>
                <w:szCs w:val="22"/>
                <w:lang w:val="en-GB"/>
              </w:rPr>
              <w:t>5</w:t>
            </w:r>
            <w:r w:rsidR="003F14A6">
              <w:rPr>
                <w:rFonts w:ascii="Arial" w:hAnsi="Arial" w:cs="Arial"/>
                <w:b/>
                <w:sz w:val="22"/>
                <w:szCs w:val="22"/>
                <w:lang w:val="en-GB"/>
              </w:rPr>
              <w:t>65.3</w:t>
            </w:r>
          </w:p>
        </w:tc>
        <w:tc>
          <w:tcPr>
            <w:tcW w:w="1185" w:type="dxa"/>
            <w:tcBorders>
              <w:top w:val="single" w:sz="18" w:space="0" w:color="auto"/>
              <w:bottom w:val="single" w:sz="18" w:space="0" w:color="auto"/>
            </w:tcBorders>
            <w:vAlign w:val="center"/>
          </w:tcPr>
          <w:p w14:paraId="76DDC7E7" w14:textId="7AB6D949" w:rsidR="00AC3118" w:rsidRPr="00D274E5" w:rsidRDefault="002B627A" w:rsidP="00DB4E8E">
            <w:pPr>
              <w:pStyle w:val="BodyText"/>
              <w:jc w:val="right"/>
              <w:rPr>
                <w:rFonts w:ascii="Arial" w:hAnsi="Arial" w:cs="Arial"/>
                <w:b/>
                <w:sz w:val="22"/>
                <w:szCs w:val="22"/>
                <w:lang w:val="en-GB"/>
              </w:rPr>
            </w:pPr>
            <w:r>
              <w:rPr>
                <w:rFonts w:ascii="Arial" w:hAnsi="Arial" w:cs="Arial"/>
                <w:b/>
                <w:sz w:val="22"/>
                <w:szCs w:val="22"/>
                <w:lang w:val="en-GB"/>
              </w:rPr>
              <w:t>5</w:t>
            </w:r>
            <w:r w:rsidR="003F14A6">
              <w:rPr>
                <w:rFonts w:ascii="Arial" w:hAnsi="Arial" w:cs="Arial"/>
                <w:b/>
                <w:sz w:val="22"/>
                <w:szCs w:val="22"/>
                <w:lang w:val="en-GB"/>
              </w:rPr>
              <w:t>52.6</w:t>
            </w:r>
          </w:p>
        </w:tc>
        <w:tc>
          <w:tcPr>
            <w:tcW w:w="1173" w:type="dxa"/>
            <w:tcBorders>
              <w:top w:val="single" w:sz="18" w:space="0" w:color="auto"/>
              <w:bottom w:val="single" w:sz="18" w:space="0" w:color="auto"/>
            </w:tcBorders>
            <w:vAlign w:val="center"/>
          </w:tcPr>
          <w:p w14:paraId="354ADBDC" w14:textId="4AA1687B" w:rsidR="00AC3118" w:rsidRPr="001D2472" w:rsidRDefault="002B627A" w:rsidP="00DB4E8E">
            <w:pPr>
              <w:pStyle w:val="BodyText"/>
              <w:jc w:val="right"/>
              <w:rPr>
                <w:rFonts w:ascii="Arial" w:hAnsi="Arial" w:cs="Arial"/>
                <w:b/>
                <w:sz w:val="22"/>
                <w:szCs w:val="22"/>
                <w:lang w:val="en-GB"/>
              </w:rPr>
            </w:pPr>
            <w:r>
              <w:rPr>
                <w:rFonts w:ascii="Arial" w:hAnsi="Arial" w:cs="Arial"/>
                <w:b/>
                <w:sz w:val="22"/>
                <w:szCs w:val="22"/>
                <w:lang w:val="en-GB"/>
              </w:rPr>
              <w:t>5</w:t>
            </w:r>
            <w:r w:rsidR="003F14A6">
              <w:rPr>
                <w:rFonts w:ascii="Arial" w:hAnsi="Arial" w:cs="Arial"/>
                <w:b/>
                <w:sz w:val="22"/>
                <w:szCs w:val="22"/>
                <w:lang w:val="en-GB"/>
              </w:rPr>
              <w:t>39.5</w:t>
            </w:r>
          </w:p>
        </w:tc>
      </w:tr>
      <w:tr w:rsidR="00AC3118" w:rsidRPr="00D26131" w14:paraId="5672FC42" w14:textId="77777777" w:rsidTr="00D274E5">
        <w:trPr>
          <w:trHeight w:val="458"/>
        </w:trPr>
        <w:tc>
          <w:tcPr>
            <w:tcW w:w="2989" w:type="dxa"/>
            <w:tcBorders>
              <w:top w:val="single" w:sz="18" w:space="0" w:color="auto"/>
              <w:left w:val="single" w:sz="18" w:space="0" w:color="auto"/>
              <w:bottom w:val="single" w:sz="18" w:space="0" w:color="auto"/>
            </w:tcBorders>
            <w:vAlign w:val="center"/>
          </w:tcPr>
          <w:p w14:paraId="4639024F" w14:textId="77777777" w:rsidR="00AC3118" w:rsidRPr="00F210AB" w:rsidRDefault="00AC3118" w:rsidP="00AC3118">
            <w:pPr>
              <w:pStyle w:val="BodyText"/>
              <w:rPr>
                <w:rFonts w:ascii="Arial" w:hAnsi="Arial" w:cs="Arial"/>
                <w:b/>
                <w:sz w:val="22"/>
                <w:szCs w:val="22"/>
              </w:rPr>
            </w:pPr>
            <w:r w:rsidRPr="00F210AB">
              <w:rPr>
                <w:rFonts w:ascii="Arial" w:hAnsi="Arial" w:cs="Arial"/>
                <w:b/>
                <w:sz w:val="22"/>
                <w:szCs w:val="22"/>
              </w:rPr>
              <w:t>(Under) / Over Borrowing</w:t>
            </w:r>
            <w:r w:rsidRPr="00F210AB">
              <w:rPr>
                <w:rFonts w:ascii="Arial" w:hAnsi="Arial" w:cs="Arial"/>
                <w:b/>
                <w:sz w:val="22"/>
                <w:szCs w:val="22"/>
              </w:rPr>
              <w:br/>
              <w:t>(Prudential Indicator PI-6)</w:t>
            </w:r>
          </w:p>
        </w:tc>
        <w:tc>
          <w:tcPr>
            <w:tcW w:w="1185" w:type="dxa"/>
            <w:tcBorders>
              <w:top w:val="single" w:sz="18" w:space="0" w:color="auto"/>
              <w:bottom w:val="single" w:sz="18" w:space="0" w:color="auto"/>
            </w:tcBorders>
            <w:shd w:val="clear" w:color="auto" w:fill="auto"/>
            <w:vAlign w:val="center"/>
          </w:tcPr>
          <w:p w14:paraId="141A611A" w14:textId="41B098FF" w:rsidR="00AC3118" w:rsidRPr="00F210AB" w:rsidRDefault="00054CE0" w:rsidP="005A41C0">
            <w:pPr>
              <w:pStyle w:val="BodyText"/>
              <w:jc w:val="right"/>
              <w:rPr>
                <w:rFonts w:ascii="Arial" w:hAnsi="Arial" w:cs="Arial"/>
                <w:b/>
                <w:sz w:val="22"/>
                <w:szCs w:val="22"/>
              </w:rPr>
            </w:pPr>
            <w:r>
              <w:rPr>
                <w:rFonts w:ascii="Arial" w:hAnsi="Arial" w:cs="Arial"/>
                <w:b/>
                <w:sz w:val="22"/>
                <w:szCs w:val="22"/>
              </w:rPr>
              <w:t>(</w:t>
            </w:r>
            <w:r w:rsidR="00091195">
              <w:rPr>
                <w:rFonts w:ascii="Arial" w:hAnsi="Arial" w:cs="Arial"/>
                <w:b/>
                <w:sz w:val="22"/>
                <w:szCs w:val="22"/>
              </w:rPr>
              <w:t>18</w:t>
            </w:r>
            <w:r w:rsidR="003F3016">
              <w:rPr>
                <w:rFonts w:ascii="Arial" w:hAnsi="Arial" w:cs="Arial"/>
                <w:b/>
                <w:sz w:val="22"/>
                <w:szCs w:val="22"/>
              </w:rPr>
              <w:t>3</w:t>
            </w:r>
            <w:r w:rsidR="00091195">
              <w:rPr>
                <w:rFonts w:ascii="Arial" w:hAnsi="Arial" w:cs="Arial"/>
                <w:b/>
                <w:sz w:val="22"/>
                <w:szCs w:val="22"/>
              </w:rPr>
              <w:t>.8</w:t>
            </w:r>
            <w:r w:rsidR="00AC3118" w:rsidRPr="00F210AB">
              <w:rPr>
                <w:rFonts w:ascii="Arial" w:hAnsi="Arial" w:cs="Arial"/>
                <w:b/>
                <w:sz w:val="22"/>
                <w:szCs w:val="22"/>
              </w:rPr>
              <w:t>)</w:t>
            </w:r>
          </w:p>
        </w:tc>
        <w:tc>
          <w:tcPr>
            <w:tcW w:w="1185" w:type="dxa"/>
            <w:tcBorders>
              <w:top w:val="single" w:sz="18" w:space="0" w:color="auto"/>
              <w:bottom w:val="single" w:sz="18" w:space="0" w:color="auto"/>
            </w:tcBorders>
            <w:shd w:val="clear" w:color="auto" w:fill="auto"/>
            <w:vAlign w:val="center"/>
          </w:tcPr>
          <w:p w14:paraId="530BD219" w14:textId="3DCDC837" w:rsidR="00AC3118" w:rsidRPr="00D26131" w:rsidRDefault="00464B3F" w:rsidP="005A41C0">
            <w:pPr>
              <w:pStyle w:val="BodyText"/>
              <w:jc w:val="right"/>
              <w:rPr>
                <w:rFonts w:ascii="Arial" w:hAnsi="Arial" w:cs="Arial"/>
                <w:b/>
                <w:sz w:val="22"/>
                <w:szCs w:val="22"/>
                <w:highlight w:val="yellow"/>
              </w:rPr>
            </w:pPr>
            <w:r>
              <w:rPr>
                <w:rFonts w:ascii="Arial" w:hAnsi="Arial" w:cs="Arial"/>
                <w:b/>
                <w:sz w:val="22"/>
                <w:szCs w:val="22"/>
              </w:rPr>
              <w:t>(15</w:t>
            </w:r>
            <w:r w:rsidR="00091195">
              <w:rPr>
                <w:rFonts w:ascii="Arial" w:hAnsi="Arial" w:cs="Arial"/>
                <w:b/>
                <w:sz w:val="22"/>
                <w:szCs w:val="22"/>
              </w:rPr>
              <w:t>5.</w:t>
            </w:r>
            <w:r w:rsidR="00235E55">
              <w:rPr>
                <w:rFonts w:ascii="Arial" w:hAnsi="Arial" w:cs="Arial"/>
                <w:b/>
                <w:sz w:val="22"/>
                <w:szCs w:val="22"/>
              </w:rPr>
              <w:t>6</w:t>
            </w:r>
            <w:r w:rsidR="00472367">
              <w:rPr>
                <w:rFonts w:ascii="Arial" w:hAnsi="Arial" w:cs="Arial"/>
                <w:b/>
                <w:sz w:val="22"/>
                <w:szCs w:val="22"/>
              </w:rPr>
              <w:t>)</w:t>
            </w:r>
          </w:p>
        </w:tc>
        <w:tc>
          <w:tcPr>
            <w:tcW w:w="1185" w:type="dxa"/>
            <w:tcBorders>
              <w:top w:val="single" w:sz="18" w:space="0" w:color="auto"/>
              <w:bottom w:val="single" w:sz="18" w:space="0" w:color="auto"/>
            </w:tcBorders>
            <w:vAlign w:val="center"/>
          </w:tcPr>
          <w:p w14:paraId="0787F701" w14:textId="620C2DC3" w:rsidR="00AC3118" w:rsidRPr="00D26131" w:rsidRDefault="00464B3F" w:rsidP="005A41C0">
            <w:pPr>
              <w:pStyle w:val="BodyText"/>
              <w:jc w:val="right"/>
              <w:rPr>
                <w:rFonts w:ascii="Arial" w:hAnsi="Arial" w:cs="Arial"/>
                <w:b/>
                <w:sz w:val="22"/>
                <w:szCs w:val="22"/>
                <w:highlight w:val="yellow"/>
              </w:rPr>
            </w:pPr>
            <w:r>
              <w:rPr>
                <w:rFonts w:ascii="Arial" w:hAnsi="Arial" w:cs="Arial"/>
                <w:b/>
                <w:sz w:val="22"/>
                <w:szCs w:val="22"/>
              </w:rPr>
              <w:t>(1</w:t>
            </w:r>
            <w:r w:rsidR="00091195">
              <w:rPr>
                <w:rFonts w:ascii="Arial" w:hAnsi="Arial" w:cs="Arial"/>
                <w:b/>
                <w:sz w:val="22"/>
                <w:szCs w:val="22"/>
              </w:rPr>
              <w:t>26.9</w:t>
            </w:r>
            <w:r w:rsidR="00472367">
              <w:rPr>
                <w:rFonts w:ascii="Arial" w:hAnsi="Arial" w:cs="Arial"/>
                <w:b/>
                <w:sz w:val="22"/>
                <w:szCs w:val="22"/>
              </w:rPr>
              <w:t>)</w:t>
            </w:r>
          </w:p>
        </w:tc>
        <w:tc>
          <w:tcPr>
            <w:tcW w:w="1185" w:type="dxa"/>
            <w:tcBorders>
              <w:top w:val="single" w:sz="18" w:space="0" w:color="auto"/>
              <w:bottom w:val="single" w:sz="18" w:space="0" w:color="auto"/>
            </w:tcBorders>
            <w:shd w:val="clear" w:color="auto" w:fill="auto"/>
            <w:vAlign w:val="center"/>
          </w:tcPr>
          <w:p w14:paraId="061BA6C0" w14:textId="41DD75EC" w:rsidR="00AC3118" w:rsidRPr="00D274E5" w:rsidRDefault="00464B3F" w:rsidP="005A41C0">
            <w:pPr>
              <w:pStyle w:val="BodyText"/>
              <w:jc w:val="right"/>
              <w:rPr>
                <w:rFonts w:ascii="Arial" w:hAnsi="Arial" w:cs="Arial"/>
                <w:b/>
                <w:sz w:val="22"/>
                <w:szCs w:val="22"/>
              </w:rPr>
            </w:pPr>
            <w:r>
              <w:rPr>
                <w:rFonts w:ascii="Arial" w:hAnsi="Arial" w:cs="Arial"/>
                <w:b/>
                <w:sz w:val="22"/>
                <w:szCs w:val="22"/>
              </w:rPr>
              <w:t>(</w:t>
            </w:r>
            <w:r w:rsidR="00091195">
              <w:rPr>
                <w:rFonts w:ascii="Arial" w:hAnsi="Arial" w:cs="Arial"/>
                <w:b/>
                <w:sz w:val="22"/>
                <w:szCs w:val="22"/>
              </w:rPr>
              <w:t>86.8</w:t>
            </w:r>
            <w:r w:rsidR="00472367">
              <w:rPr>
                <w:rFonts w:ascii="Arial" w:hAnsi="Arial" w:cs="Arial"/>
                <w:b/>
                <w:sz w:val="22"/>
                <w:szCs w:val="22"/>
              </w:rPr>
              <w:t>)</w:t>
            </w:r>
          </w:p>
        </w:tc>
        <w:tc>
          <w:tcPr>
            <w:tcW w:w="1185" w:type="dxa"/>
            <w:tcBorders>
              <w:top w:val="single" w:sz="18" w:space="0" w:color="auto"/>
              <w:bottom w:val="single" w:sz="18" w:space="0" w:color="auto"/>
            </w:tcBorders>
            <w:vAlign w:val="center"/>
          </w:tcPr>
          <w:p w14:paraId="6DD8CEDE" w14:textId="75E2584E" w:rsidR="00AC3118" w:rsidRPr="00D274E5" w:rsidRDefault="00464B3F" w:rsidP="005A41C0">
            <w:pPr>
              <w:pStyle w:val="BodyText"/>
              <w:jc w:val="right"/>
              <w:rPr>
                <w:rFonts w:ascii="Arial" w:hAnsi="Arial" w:cs="Arial"/>
                <w:b/>
                <w:sz w:val="22"/>
                <w:szCs w:val="22"/>
              </w:rPr>
            </w:pPr>
            <w:r>
              <w:rPr>
                <w:rFonts w:ascii="Arial" w:hAnsi="Arial" w:cs="Arial"/>
                <w:b/>
                <w:sz w:val="22"/>
                <w:szCs w:val="22"/>
              </w:rPr>
              <w:t>(</w:t>
            </w:r>
            <w:r w:rsidR="00091195">
              <w:rPr>
                <w:rFonts w:ascii="Arial" w:hAnsi="Arial" w:cs="Arial"/>
                <w:b/>
                <w:sz w:val="22"/>
                <w:szCs w:val="22"/>
              </w:rPr>
              <w:t>54.4</w:t>
            </w:r>
            <w:r w:rsidR="00472367">
              <w:rPr>
                <w:rFonts w:ascii="Arial" w:hAnsi="Arial" w:cs="Arial"/>
                <w:b/>
                <w:sz w:val="22"/>
                <w:szCs w:val="22"/>
              </w:rPr>
              <w:t>)</w:t>
            </w:r>
          </w:p>
        </w:tc>
        <w:tc>
          <w:tcPr>
            <w:tcW w:w="1173" w:type="dxa"/>
            <w:tcBorders>
              <w:top w:val="single" w:sz="18" w:space="0" w:color="auto"/>
              <w:bottom w:val="single" w:sz="18" w:space="0" w:color="auto"/>
            </w:tcBorders>
            <w:vAlign w:val="center"/>
          </w:tcPr>
          <w:p w14:paraId="3185008D" w14:textId="222251EE" w:rsidR="00AC3118" w:rsidRPr="001D2472" w:rsidRDefault="00464B3F" w:rsidP="005A41C0">
            <w:pPr>
              <w:pStyle w:val="BodyText"/>
              <w:jc w:val="right"/>
              <w:rPr>
                <w:rFonts w:ascii="Arial" w:hAnsi="Arial" w:cs="Arial"/>
                <w:b/>
                <w:sz w:val="22"/>
                <w:szCs w:val="22"/>
              </w:rPr>
            </w:pPr>
            <w:r>
              <w:rPr>
                <w:rFonts w:ascii="Arial" w:hAnsi="Arial" w:cs="Arial"/>
                <w:b/>
                <w:sz w:val="22"/>
                <w:szCs w:val="22"/>
              </w:rPr>
              <w:t>(</w:t>
            </w:r>
            <w:r w:rsidR="00091195">
              <w:rPr>
                <w:rFonts w:ascii="Arial" w:hAnsi="Arial" w:cs="Arial"/>
                <w:b/>
                <w:sz w:val="22"/>
                <w:szCs w:val="22"/>
              </w:rPr>
              <w:t>49.1</w:t>
            </w:r>
            <w:r w:rsidR="00472367">
              <w:rPr>
                <w:rFonts w:ascii="Arial" w:hAnsi="Arial" w:cs="Arial"/>
                <w:b/>
                <w:sz w:val="22"/>
                <w:szCs w:val="22"/>
              </w:rPr>
              <w:t>)</w:t>
            </w:r>
          </w:p>
        </w:tc>
      </w:tr>
    </w:tbl>
    <w:p w14:paraId="1444646B" w14:textId="77777777" w:rsidR="001E6286" w:rsidRDefault="001E6286" w:rsidP="008B0CF7">
      <w:pPr>
        <w:pStyle w:val="BodyTextIndent"/>
        <w:ind w:left="0"/>
        <w:jc w:val="left"/>
        <w:rPr>
          <w:b w:val="0"/>
          <w:i/>
          <w:color w:val="auto"/>
          <w:sz w:val="20"/>
          <w:szCs w:val="20"/>
        </w:rPr>
      </w:pPr>
      <w:r w:rsidRPr="00D274E5">
        <w:rPr>
          <w:b w:val="0"/>
          <w:i/>
          <w:color w:val="auto"/>
          <w:sz w:val="20"/>
          <w:szCs w:val="20"/>
        </w:rPr>
        <w:t>* The CFR for this calculation includes the current and two future years projected capital expenditure</w:t>
      </w:r>
      <w:r w:rsidR="008B0CF7" w:rsidRPr="00D274E5">
        <w:rPr>
          <w:b w:val="0"/>
          <w:i/>
          <w:color w:val="auto"/>
          <w:sz w:val="20"/>
          <w:szCs w:val="20"/>
        </w:rPr>
        <w:t xml:space="preserve"> </w:t>
      </w:r>
      <w:r w:rsidR="008B0CF7" w:rsidRPr="001C15EA">
        <w:rPr>
          <w:b w:val="0"/>
          <w:i/>
          <w:color w:val="auto"/>
          <w:sz w:val="20"/>
          <w:szCs w:val="20"/>
        </w:rPr>
        <w:t>see 4.1b</w:t>
      </w:r>
      <w:r w:rsidR="006948A9" w:rsidRPr="001C15EA">
        <w:rPr>
          <w:b w:val="0"/>
          <w:i/>
          <w:color w:val="auto"/>
          <w:sz w:val="20"/>
          <w:szCs w:val="20"/>
        </w:rPr>
        <w:t>)</w:t>
      </w:r>
    </w:p>
    <w:p w14:paraId="3D9F5038" w14:textId="77777777" w:rsidR="00091195" w:rsidRDefault="00091195" w:rsidP="008B0CF7">
      <w:pPr>
        <w:pStyle w:val="BodyTextIndent"/>
        <w:ind w:left="0"/>
        <w:jc w:val="left"/>
        <w:rPr>
          <w:b w:val="0"/>
          <w:i/>
          <w:color w:val="auto"/>
          <w:sz w:val="20"/>
          <w:szCs w:val="20"/>
        </w:rPr>
      </w:pPr>
    </w:p>
    <w:p w14:paraId="1C184AB1" w14:textId="77777777" w:rsidR="00091195" w:rsidRDefault="00091195" w:rsidP="008B0CF7">
      <w:pPr>
        <w:pStyle w:val="BodyTextIndent"/>
        <w:ind w:left="0"/>
        <w:jc w:val="left"/>
        <w:rPr>
          <w:b w:val="0"/>
          <w:i/>
          <w:color w:val="auto"/>
          <w:sz w:val="20"/>
          <w:szCs w:val="20"/>
        </w:rPr>
      </w:pPr>
    </w:p>
    <w:p w14:paraId="022689D8" w14:textId="77777777" w:rsidR="00091195" w:rsidRDefault="00091195" w:rsidP="008B0CF7">
      <w:pPr>
        <w:pStyle w:val="BodyTextIndent"/>
        <w:ind w:left="0"/>
        <w:jc w:val="left"/>
        <w:rPr>
          <w:b w:val="0"/>
          <w:i/>
          <w:color w:val="auto"/>
          <w:sz w:val="20"/>
          <w:szCs w:val="20"/>
        </w:rPr>
      </w:pPr>
    </w:p>
    <w:p w14:paraId="047FDEF9" w14:textId="77777777" w:rsidR="00091195" w:rsidRDefault="00091195" w:rsidP="008B0CF7">
      <w:pPr>
        <w:pStyle w:val="BodyTextIndent"/>
        <w:ind w:left="0"/>
        <w:jc w:val="left"/>
        <w:rPr>
          <w:b w:val="0"/>
          <w:i/>
          <w:color w:val="auto"/>
          <w:sz w:val="20"/>
          <w:szCs w:val="20"/>
        </w:rPr>
      </w:pPr>
    </w:p>
    <w:p w14:paraId="7A5564C7" w14:textId="77777777" w:rsidR="00091195" w:rsidRPr="001C15EA" w:rsidRDefault="00091195" w:rsidP="008B0CF7">
      <w:pPr>
        <w:pStyle w:val="BodyTextIndent"/>
        <w:ind w:left="0"/>
        <w:jc w:val="left"/>
        <w:rPr>
          <w:i/>
          <w:color w:val="auto"/>
          <w:szCs w:val="22"/>
        </w:rPr>
      </w:pPr>
    </w:p>
    <w:p w14:paraId="3D85A628" w14:textId="74289764" w:rsidR="00062BC5" w:rsidRPr="001D2472" w:rsidRDefault="00062BC5" w:rsidP="005B34C4">
      <w:pPr>
        <w:numPr>
          <w:ilvl w:val="0"/>
          <w:numId w:val="47"/>
        </w:numPr>
        <w:rPr>
          <w:sz w:val="22"/>
          <w:szCs w:val="22"/>
        </w:rPr>
      </w:pPr>
      <w:r w:rsidRPr="001D2472">
        <w:rPr>
          <w:sz w:val="22"/>
          <w:szCs w:val="22"/>
        </w:rPr>
        <w:t xml:space="preserve">Within the </w:t>
      </w:r>
      <w:r w:rsidR="0064691C" w:rsidRPr="001D2472">
        <w:rPr>
          <w:sz w:val="22"/>
          <w:szCs w:val="22"/>
        </w:rPr>
        <w:t xml:space="preserve">range of </w:t>
      </w:r>
      <w:r w:rsidRPr="001D2472">
        <w:rPr>
          <w:sz w:val="22"/>
          <w:szCs w:val="22"/>
        </w:rPr>
        <w:t xml:space="preserve">prudential indicators there are a number of key indicators to ensure that the Council operates its activities within </w:t>
      </w:r>
      <w:r w:rsidR="008B0CF7" w:rsidRPr="001D2472">
        <w:rPr>
          <w:sz w:val="22"/>
          <w:szCs w:val="22"/>
        </w:rPr>
        <w:t>well-defined</w:t>
      </w:r>
      <w:r w:rsidRPr="001D2472">
        <w:rPr>
          <w:sz w:val="22"/>
          <w:szCs w:val="22"/>
        </w:rPr>
        <w:t xml:space="preserve"> limits. One of these (PI-6) is that</w:t>
      </w:r>
      <w:r w:rsidRPr="001D2472">
        <w:rPr>
          <w:bCs/>
          <w:noProof/>
          <w:sz w:val="22"/>
          <w:szCs w:val="22"/>
        </w:rPr>
        <w:t xml:space="preserve"> the Council needs to ensure that its gross </w:t>
      </w:r>
      <w:r w:rsidR="00E35770" w:rsidRPr="001D2472">
        <w:rPr>
          <w:bCs/>
          <w:noProof/>
          <w:sz w:val="22"/>
          <w:szCs w:val="22"/>
        </w:rPr>
        <w:t xml:space="preserve">debt </w:t>
      </w:r>
      <w:r w:rsidRPr="001D2472">
        <w:rPr>
          <w:bCs/>
          <w:noProof/>
          <w:sz w:val="22"/>
          <w:szCs w:val="22"/>
        </w:rPr>
        <w:t>figure (shown above</w:t>
      </w:r>
      <w:r w:rsidR="00400EE6">
        <w:rPr>
          <w:bCs/>
          <w:noProof/>
          <w:sz w:val="22"/>
          <w:szCs w:val="22"/>
        </w:rPr>
        <w:t xml:space="preserve"> in PI-5)</w:t>
      </w:r>
      <w:r w:rsidRPr="001D2472">
        <w:rPr>
          <w:bCs/>
          <w:noProof/>
          <w:sz w:val="22"/>
          <w:szCs w:val="22"/>
        </w:rPr>
        <w:t xml:space="preserve">) does not, except in the short term, exceed the total of the CFR in the preceding year plus the estimates of any additional CFR for </w:t>
      </w:r>
      <w:r w:rsidR="00F16C6A" w:rsidRPr="001D2472">
        <w:rPr>
          <w:bCs/>
          <w:noProof/>
          <w:sz w:val="22"/>
          <w:szCs w:val="22"/>
        </w:rPr>
        <w:t>202</w:t>
      </w:r>
      <w:r w:rsidR="0017034E" w:rsidRPr="001D2472">
        <w:rPr>
          <w:bCs/>
          <w:noProof/>
          <w:sz w:val="22"/>
          <w:szCs w:val="22"/>
        </w:rPr>
        <w:t>3</w:t>
      </w:r>
      <w:r w:rsidR="0052192C" w:rsidRPr="001D2472">
        <w:rPr>
          <w:bCs/>
          <w:noProof/>
          <w:sz w:val="22"/>
          <w:szCs w:val="22"/>
        </w:rPr>
        <w:t>/</w:t>
      </w:r>
      <w:r w:rsidR="00611BC8" w:rsidRPr="001D2472">
        <w:rPr>
          <w:bCs/>
          <w:noProof/>
          <w:sz w:val="22"/>
          <w:szCs w:val="22"/>
        </w:rPr>
        <w:t>2</w:t>
      </w:r>
      <w:r w:rsidR="0017034E" w:rsidRPr="001D2472">
        <w:rPr>
          <w:bCs/>
          <w:noProof/>
          <w:sz w:val="22"/>
          <w:szCs w:val="22"/>
        </w:rPr>
        <w:t>4</w:t>
      </w:r>
      <w:r w:rsidRPr="001D2472">
        <w:rPr>
          <w:bCs/>
          <w:noProof/>
          <w:sz w:val="22"/>
          <w:szCs w:val="22"/>
        </w:rPr>
        <w:t xml:space="preserve"> and </w:t>
      </w:r>
      <w:r w:rsidR="00611BC8" w:rsidRPr="001D2472">
        <w:rPr>
          <w:bCs/>
          <w:noProof/>
          <w:sz w:val="22"/>
          <w:szCs w:val="22"/>
        </w:rPr>
        <w:t xml:space="preserve">the </w:t>
      </w:r>
      <w:r w:rsidRPr="001D2472">
        <w:rPr>
          <w:bCs/>
          <w:noProof/>
          <w:sz w:val="22"/>
          <w:szCs w:val="22"/>
        </w:rPr>
        <w:t xml:space="preserve">following two financial years. This allows some flexibility for limited </w:t>
      </w:r>
      <w:r w:rsidR="00611BC8" w:rsidRPr="001D2472">
        <w:rPr>
          <w:bCs/>
          <w:noProof/>
          <w:sz w:val="22"/>
          <w:szCs w:val="22"/>
        </w:rPr>
        <w:t xml:space="preserve">early </w:t>
      </w:r>
      <w:r w:rsidRPr="001D2472">
        <w:rPr>
          <w:bCs/>
          <w:noProof/>
          <w:sz w:val="22"/>
          <w:szCs w:val="22"/>
        </w:rPr>
        <w:t xml:space="preserve">borrowing for future </w:t>
      </w:r>
      <w:r w:rsidR="00091195" w:rsidRPr="001D2472">
        <w:rPr>
          <w:bCs/>
          <w:noProof/>
          <w:sz w:val="22"/>
          <w:szCs w:val="22"/>
        </w:rPr>
        <w:t>years</w:t>
      </w:r>
      <w:r w:rsidR="00091195" w:rsidRPr="001D2472">
        <w:rPr>
          <w:sz w:val="22"/>
          <w:szCs w:val="22"/>
        </w:rPr>
        <w:t xml:space="preserve"> but</w:t>
      </w:r>
      <w:r w:rsidRPr="001D2472">
        <w:rPr>
          <w:sz w:val="22"/>
          <w:szCs w:val="22"/>
        </w:rPr>
        <w:t xml:space="preserve"> ensures that borrowing is not undertaken for revenue </w:t>
      </w:r>
      <w:r w:rsidR="00611BC8" w:rsidRPr="001D2472">
        <w:rPr>
          <w:sz w:val="22"/>
          <w:szCs w:val="22"/>
        </w:rPr>
        <w:t xml:space="preserve">or speculative </w:t>
      </w:r>
      <w:r w:rsidRPr="001D2472">
        <w:rPr>
          <w:sz w:val="22"/>
          <w:szCs w:val="22"/>
        </w:rPr>
        <w:t xml:space="preserve">purposes.    </w:t>
      </w:r>
      <w:r w:rsidRPr="001D2472">
        <w:rPr>
          <w:color w:val="3366FF"/>
          <w:sz w:val="22"/>
          <w:szCs w:val="22"/>
        </w:rPr>
        <w:t xml:space="preserve">  </w:t>
      </w:r>
      <w:r w:rsidRPr="001D2472">
        <w:rPr>
          <w:color w:val="3366FF"/>
          <w:sz w:val="22"/>
          <w:szCs w:val="22"/>
        </w:rPr>
        <w:br/>
      </w:r>
    </w:p>
    <w:p w14:paraId="4B442CAA" w14:textId="349D4A87" w:rsidR="00062BC5" w:rsidRPr="001D2472" w:rsidRDefault="00062BC5" w:rsidP="005B34C4">
      <w:pPr>
        <w:numPr>
          <w:ilvl w:val="0"/>
          <w:numId w:val="47"/>
        </w:numPr>
        <w:rPr>
          <w:sz w:val="22"/>
          <w:szCs w:val="22"/>
        </w:rPr>
      </w:pPr>
      <w:r w:rsidRPr="001D2472">
        <w:rPr>
          <w:sz w:val="22"/>
          <w:szCs w:val="22"/>
        </w:rPr>
        <w:t>The Council has complied with this prudential indicator in the current year and no difficulties are currently envisaged for the</w:t>
      </w:r>
      <w:r w:rsidR="00CC26AF" w:rsidRPr="001D2472">
        <w:rPr>
          <w:sz w:val="22"/>
          <w:szCs w:val="22"/>
        </w:rPr>
        <w:t xml:space="preserve"> </w:t>
      </w:r>
      <w:proofErr w:type="gramStart"/>
      <w:r w:rsidR="00CC26AF" w:rsidRPr="001D2472">
        <w:rPr>
          <w:sz w:val="22"/>
          <w:szCs w:val="22"/>
        </w:rPr>
        <w:t>long term</w:t>
      </w:r>
      <w:proofErr w:type="gramEnd"/>
      <w:r w:rsidRPr="001D2472">
        <w:rPr>
          <w:sz w:val="22"/>
          <w:szCs w:val="22"/>
        </w:rPr>
        <w:t xml:space="preserve"> future. </w:t>
      </w:r>
      <w:r w:rsidR="00CC26AF" w:rsidRPr="001D2472">
        <w:rPr>
          <w:sz w:val="22"/>
          <w:szCs w:val="22"/>
        </w:rPr>
        <w:t xml:space="preserve"> </w:t>
      </w:r>
      <w:r w:rsidRPr="001D2472">
        <w:rPr>
          <w:sz w:val="22"/>
          <w:szCs w:val="22"/>
        </w:rPr>
        <w:t xml:space="preserve">This view takes into account current commitments, existing plans, and the proposals in the Financial Plans for </w:t>
      </w:r>
      <w:r w:rsidR="00A6075E" w:rsidRPr="001D2472">
        <w:rPr>
          <w:sz w:val="22"/>
          <w:szCs w:val="22"/>
        </w:rPr>
        <w:t>20</w:t>
      </w:r>
      <w:r w:rsidR="00F16C6A" w:rsidRPr="001D2472">
        <w:rPr>
          <w:sz w:val="22"/>
          <w:szCs w:val="22"/>
        </w:rPr>
        <w:t>2</w:t>
      </w:r>
      <w:r w:rsidR="00060912">
        <w:rPr>
          <w:sz w:val="22"/>
          <w:szCs w:val="22"/>
        </w:rPr>
        <w:t>4/</w:t>
      </w:r>
      <w:r w:rsidR="00611BC8" w:rsidRPr="001D2472">
        <w:rPr>
          <w:sz w:val="22"/>
          <w:szCs w:val="22"/>
        </w:rPr>
        <w:t>2</w:t>
      </w:r>
      <w:r w:rsidR="00091195">
        <w:rPr>
          <w:sz w:val="22"/>
          <w:szCs w:val="22"/>
        </w:rPr>
        <w:t>5</w:t>
      </w:r>
      <w:r w:rsidRPr="001D2472">
        <w:rPr>
          <w:sz w:val="22"/>
          <w:szCs w:val="22"/>
        </w:rPr>
        <w:t xml:space="preserve">. </w:t>
      </w:r>
    </w:p>
    <w:p w14:paraId="11725153" w14:textId="77777777" w:rsidR="00443AB7" w:rsidRPr="001D2472" w:rsidRDefault="00443AB7">
      <w:pPr>
        <w:rPr>
          <w:rFonts w:ascii="Calibri" w:hAnsi="Calibri" w:cs="Arial"/>
          <w:bCs/>
          <w:noProof/>
          <w:color w:val="993366"/>
          <w:sz w:val="22"/>
          <w:szCs w:val="22"/>
        </w:rPr>
      </w:pPr>
    </w:p>
    <w:p w14:paraId="69A68F47" w14:textId="77777777" w:rsidR="00062BC5" w:rsidRPr="001D2472" w:rsidRDefault="00062BC5" w:rsidP="005B34C4">
      <w:pPr>
        <w:pStyle w:val="ListParagraph"/>
        <w:numPr>
          <w:ilvl w:val="1"/>
          <w:numId w:val="34"/>
        </w:numPr>
        <w:ind w:left="567" w:hanging="567"/>
        <w:rPr>
          <w:rFonts w:cs="Arial"/>
          <w:b/>
          <w:bCs/>
          <w:noProof/>
          <w:color w:val="993366"/>
          <w:sz w:val="24"/>
          <w:szCs w:val="24"/>
        </w:rPr>
      </w:pPr>
      <w:r w:rsidRPr="001D2472">
        <w:rPr>
          <w:rFonts w:cs="Arial"/>
          <w:b/>
          <w:bCs/>
          <w:noProof/>
          <w:color w:val="993366"/>
          <w:sz w:val="24"/>
          <w:szCs w:val="24"/>
        </w:rPr>
        <w:t>Treasury Indicators: Limits to Borrowing Activity</w:t>
      </w:r>
    </w:p>
    <w:p w14:paraId="35D3847D" w14:textId="77777777" w:rsidR="00062BC5" w:rsidRPr="001D2472" w:rsidRDefault="00062BC5" w:rsidP="008939B9">
      <w:pPr>
        <w:tabs>
          <w:tab w:val="num" w:pos="1080"/>
        </w:tabs>
        <w:rPr>
          <w:rFonts w:cs="Arial"/>
          <w:b/>
          <w:bCs/>
          <w:noProof/>
          <w:color w:val="993366"/>
          <w:sz w:val="18"/>
          <w:szCs w:val="18"/>
        </w:rPr>
      </w:pPr>
    </w:p>
    <w:p w14:paraId="0E8E8641" w14:textId="77777777" w:rsidR="00062BC5" w:rsidRPr="001D2472" w:rsidRDefault="00062BC5" w:rsidP="00DE08CD">
      <w:pPr>
        <w:ind w:left="539"/>
        <w:rPr>
          <w:b/>
          <w:sz w:val="16"/>
          <w:szCs w:val="16"/>
        </w:rPr>
      </w:pPr>
      <w:r w:rsidRPr="001D2472">
        <w:rPr>
          <w:b/>
          <w:color w:val="993366"/>
          <w:sz w:val="24"/>
          <w:szCs w:val="24"/>
        </w:rPr>
        <w:t>The Operational Boundary (Prudential Indicator PI-7)</w:t>
      </w:r>
      <w:r w:rsidRPr="001D2472">
        <w:rPr>
          <w:b/>
          <w:color w:val="993366"/>
          <w:sz w:val="24"/>
          <w:szCs w:val="24"/>
        </w:rPr>
        <w:br/>
      </w:r>
    </w:p>
    <w:p w14:paraId="0CC13319" w14:textId="166C445D" w:rsidR="00062BC5" w:rsidRPr="001D2472" w:rsidRDefault="00062BC5" w:rsidP="005B34C4">
      <w:pPr>
        <w:numPr>
          <w:ilvl w:val="0"/>
          <w:numId w:val="19"/>
        </w:numPr>
        <w:rPr>
          <w:sz w:val="22"/>
          <w:szCs w:val="22"/>
        </w:rPr>
      </w:pPr>
      <w:r w:rsidRPr="001D2472">
        <w:rPr>
          <w:sz w:val="22"/>
          <w:szCs w:val="22"/>
        </w:rPr>
        <w:t xml:space="preserve">This is the limit </w:t>
      </w:r>
      <w:r w:rsidR="004E0005" w:rsidRPr="001D2472">
        <w:rPr>
          <w:sz w:val="22"/>
          <w:szCs w:val="22"/>
        </w:rPr>
        <w:t xml:space="preserve">beyond </w:t>
      </w:r>
      <w:r w:rsidRPr="001D2472">
        <w:rPr>
          <w:sz w:val="22"/>
          <w:szCs w:val="22"/>
        </w:rPr>
        <w:t xml:space="preserve">which external borrowing is not normally expected to exceed. In most cases, this would be a similar figure to the CFR, but may be lower or higher depending on the levels of actual </w:t>
      </w:r>
      <w:r w:rsidR="002237BA" w:rsidRPr="001D2472">
        <w:rPr>
          <w:sz w:val="22"/>
          <w:szCs w:val="22"/>
        </w:rPr>
        <w:t>debt</w:t>
      </w:r>
      <w:r w:rsidR="002A3DE3" w:rsidRPr="001D2472">
        <w:rPr>
          <w:sz w:val="22"/>
          <w:szCs w:val="22"/>
        </w:rPr>
        <w:t xml:space="preserve"> and the ability to fund under-borrowing by other cash resources</w:t>
      </w:r>
      <w:r w:rsidRPr="001D2472">
        <w:rPr>
          <w:sz w:val="22"/>
          <w:szCs w:val="22"/>
        </w:rPr>
        <w:t>.</w:t>
      </w:r>
      <w:r w:rsidR="001D2472" w:rsidRPr="001D2472">
        <w:rPr>
          <w:sz w:val="22"/>
          <w:szCs w:val="22"/>
        </w:rPr>
        <w:t xml:space="preserve"> </w:t>
      </w:r>
    </w:p>
    <w:p w14:paraId="6AD2047F" w14:textId="77777777" w:rsidR="00062BC5" w:rsidRPr="00D26131" w:rsidRDefault="00062BC5" w:rsidP="00DE08CD">
      <w:pPr>
        <w:ind w:left="539"/>
        <w:rPr>
          <w:rFonts w:cs="Arial"/>
          <w:bCs/>
          <w:noProof/>
          <w:color w:val="993366"/>
          <w:sz w:val="16"/>
          <w:szCs w:val="16"/>
          <w:highlight w:val="yellow"/>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134"/>
        <w:gridCol w:w="1134"/>
        <w:gridCol w:w="1134"/>
        <w:gridCol w:w="1134"/>
        <w:gridCol w:w="1134"/>
        <w:gridCol w:w="1134"/>
      </w:tblGrid>
      <w:tr w:rsidR="002242BC" w:rsidRPr="00D26131" w14:paraId="3DA190FF" w14:textId="77777777" w:rsidTr="001D2472">
        <w:trPr>
          <w:trHeight w:val="310"/>
        </w:trPr>
        <w:tc>
          <w:tcPr>
            <w:tcW w:w="3261" w:type="dxa"/>
            <w:vMerge w:val="restart"/>
            <w:shd w:val="clear" w:color="auto" w:fill="A6A6A6" w:themeFill="background1" w:themeFillShade="A6"/>
          </w:tcPr>
          <w:p w14:paraId="160361BE" w14:textId="77777777" w:rsidR="002242BC" w:rsidRPr="001D2472" w:rsidRDefault="002242BC" w:rsidP="007C5484">
            <w:pPr>
              <w:rPr>
                <w:rFonts w:cs="Arial"/>
                <w:b/>
                <w:bCs/>
                <w:sz w:val="22"/>
                <w:szCs w:val="22"/>
                <w:highlight w:val="darkGray"/>
              </w:rPr>
            </w:pPr>
            <w:r w:rsidRPr="001D2472">
              <w:rPr>
                <w:rFonts w:cs="Arial"/>
                <w:b/>
                <w:bCs/>
                <w:sz w:val="22"/>
                <w:szCs w:val="22"/>
                <w:highlight w:val="darkGray"/>
              </w:rPr>
              <w:t xml:space="preserve">Operational boundary </w:t>
            </w:r>
            <w:r w:rsidRPr="001D2472">
              <w:rPr>
                <w:rFonts w:cs="Arial"/>
                <w:b/>
                <w:bCs/>
                <w:sz w:val="22"/>
                <w:szCs w:val="22"/>
                <w:highlight w:val="darkGray"/>
              </w:rPr>
              <w:br/>
            </w:r>
            <w:r w:rsidRPr="001D2472">
              <w:rPr>
                <w:rFonts w:cs="Arial"/>
                <w:b/>
                <w:sz w:val="22"/>
                <w:szCs w:val="22"/>
                <w:highlight w:val="darkGray"/>
              </w:rPr>
              <w:t>£m</w:t>
            </w:r>
          </w:p>
        </w:tc>
        <w:tc>
          <w:tcPr>
            <w:tcW w:w="6804" w:type="dxa"/>
            <w:gridSpan w:val="6"/>
            <w:shd w:val="clear" w:color="auto" w:fill="A6A6A6" w:themeFill="background1" w:themeFillShade="A6"/>
            <w:vAlign w:val="center"/>
          </w:tcPr>
          <w:p w14:paraId="1AC97531" w14:textId="77777777" w:rsidR="002242BC" w:rsidRPr="001D2472" w:rsidRDefault="002242BC" w:rsidP="007C5484">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Estimate</w:t>
            </w:r>
          </w:p>
        </w:tc>
      </w:tr>
      <w:tr w:rsidR="00712336" w:rsidRPr="00D26131" w14:paraId="19FC6EC7" w14:textId="77777777" w:rsidTr="001D2472">
        <w:trPr>
          <w:trHeight w:val="304"/>
        </w:trPr>
        <w:tc>
          <w:tcPr>
            <w:tcW w:w="3261" w:type="dxa"/>
            <w:vMerge/>
            <w:shd w:val="clear" w:color="auto" w:fill="A6A6A6" w:themeFill="background1" w:themeFillShade="A6"/>
          </w:tcPr>
          <w:p w14:paraId="7A446950" w14:textId="77777777" w:rsidR="00712336" w:rsidRPr="001D2472" w:rsidRDefault="00712336" w:rsidP="00712336">
            <w:pPr>
              <w:rPr>
                <w:rFonts w:cs="Arial"/>
                <w:sz w:val="22"/>
                <w:szCs w:val="22"/>
                <w:highlight w:val="darkGray"/>
              </w:rPr>
            </w:pPr>
          </w:p>
        </w:tc>
        <w:tc>
          <w:tcPr>
            <w:tcW w:w="1134" w:type="dxa"/>
            <w:shd w:val="clear" w:color="auto" w:fill="A6A6A6" w:themeFill="background1" w:themeFillShade="A6"/>
          </w:tcPr>
          <w:p w14:paraId="2D892ABC" w14:textId="73F3B676"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3</w:t>
            </w:r>
            <w:r w:rsidRPr="001D2472">
              <w:rPr>
                <w:rFonts w:ascii="Arial" w:hAnsi="Arial" w:cs="Arial"/>
                <w:b/>
                <w:bCs/>
                <w:sz w:val="22"/>
                <w:szCs w:val="22"/>
                <w:highlight w:val="darkGray"/>
              </w:rPr>
              <w:t>/2</w:t>
            </w:r>
            <w:r w:rsidR="00091195">
              <w:rPr>
                <w:rFonts w:ascii="Arial" w:hAnsi="Arial" w:cs="Arial"/>
                <w:b/>
                <w:bCs/>
                <w:sz w:val="22"/>
                <w:szCs w:val="22"/>
                <w:highlight w:val="darkGray"/>
              </w:rPr>
              <w:t>4</w:t>
            </w:r>
          </w:p>
        </w:tc>
        <w:tc>
          <w:tcPr>
            <w:tcW w:w="1134" w:type="dxa"/>
            <w:shd w:val="clear" w:color="auto" w:fill="A6A6A6" w:themeFill="background1" w:themeFillShade="A6"/>
          </w:tcPr>
          <w:p w14:paraId="02392DC4" w14:textId="6E10625F"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4</w:t>
            </w:r>
            <w:r w:rsidRPr="001D2472">
              <w:rPr>
                <w:rFonts w:ascii="Arial" w:hAnsi="Arial" w:cs="Arial"/>
                <w:b/>
                <w:bCs/>
                <w:sz w:val="22"/>
                <w:szCs w:val="22"/>
                <w:highlight w:val="darkGray"/>
              </w:rPr>
              <w:t>/2</w:t>
            </w:r>
            <w:r w:rsidR="00091195">
              <w:rPr>
                <w:rFonts w:ascii="Arial" w:hAnsi="Arial" w:cs="Arial"/>
                <w:b/>
                <w:bCs/>
                <w:sz w:val="22"/>
                <w:szCs w:val="22"/>
                <w:highlight w:val="darkGray"/>
              </w:rPr>
              <w:t>5</w:t>
            </w:r>
          </w:p>
        </w:tc>
        <w:tc>
          <w:tcPr>
            <w:tcW w:w="1134" w:type="dxa"/>
            <w:shd w:val="clear" w:color="auto" w:fill="A6A6A6" w:themeFill="background1" w:themeFillShade="A6"/>
          </w:tcPr>
          <w:p w14:paraId="669D65E8" w14:textId="42CDD280"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5</w:t>
            </w:r>
            <w:r w:rsidRPr="001D2472">
              <w:rPr>
                <w:rFonts w:ascii="Arial" w:hAnsi="Arial" w:cs="Arial"/>
                <w:b/>
                <w:bCs/>
                <w:sz w:val="22"/>
                <w:szCs w:val="22"/>
                <w:highlight w:val="darkGray"/>
              </w:rPr>
              <w:t>/2</w:t>
            </w:r>
            <w:r w:rsidR="00091195">
              <w:rPr>
                <w:rFonts w:ascii="Arial" w:hAnsi="Arial" w:cs="Arial"/>
                <w:b/>
                <w:bCs/>
                <w:sz w:val="22"/>
                <w:szCs w:val="22"/>
                <w:highlight w:val="darkGray"/>
              </w:rPr>
              <w:t>6</w:t>
            </w:r>
          </w:p>
        </w:tc>
        <w:tc>
          <w:tcPr>
            <w:tcW w:w="1134" w:type="dxa"/>
            <w:shd w:val="clear" w:color="auto" w:fill="A6A6A6" w:themeFill="background1" w:themeFillShade="A6"/>
          </w:tcPr>
          <w:p w14:paraId="3F5B6DD8" w14:textId="1EF0A171"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6</w:t>
            </w:r>
            <w:r w:rsidRPr="001D2472">
              <w:rPr>
                <w:rFonts w:ascii="Arial" w:hAnsi="Arial" w:cs="Arial"/>
                <w:b/>
                <w:bCs/>
                <w:sz w:val="22"/>
                <w:szCs w:val="22"/>
                <w:highlight w:val="darkGray"/>
              </w:rPr>
              <w:t>/2</w:t>
            </w:r>
            <w:r w:rsidR="00091195">
              <w:rPr>
                <w:rFonts w:ascii="Arial" w:hAnsi="Arial" w:cs="Arial"/>
                <w:b/>
                <w:bCs/>
                <w:sz w:val="22"/>
                <w:szCs w:val="22"/>
                <w:highlight w:val="darkGray"/>
              </w:rPr>
              <w:t>7</w:t>
            </w:r>
          </w:p>
        </w:tc>
        <w:tc>
          <w:tcPr>
            <w:tcW w:w="1134" w:type="dxa"/>
            <w:shd w:val="clear" w:color="auto" w:fill="A6A6A6" w:themeFill="background1" w:themeFillShade="A6"/>
          </w:tcPr>
          <w:p w14:paraId="3191CBEA" w14:textId="15043288"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7</w:t>
            </w:r>
            <w:r w:rsidRPr="001D2472">
              <w:rPr>
                <w:rFonts w:ascii="Arial" w:hAnsi="Arial" w:cs="Arial"/>
                <w:b/>
                <w:bCs/>
                <w:sz w:val="22"/>
                <w:szCs w:val="22"/>
                <w:highlight w:val="darkGray"/>
              </w:rPr>
              <w:t>/2</w:t>
            </w:r>
            <w:r w:rsidR="00091195">
              <w:rPr>
                <w:rFonts w:ascii="Arial" w:hAnsi="Arial" w:cs="Arial"/>
                <w:b/>
                <w:bCs/>
                <w:sz w:val="22"/>
                <w:szCs w:val="22"/>
                <w:highlight w:val="darkGray"/>
              </w:rPr>
              <w:t>8</w:t>
            </w:r>
          </w:p>
        </w:tc>
        <w:tc>
          <w:tcPr>
            <w:tcW w:w="1134" w:type="dxa"/>
            <w:shd w:val="clear" w:color="auto" w:fill="A6A6A6" w:themeFill="background1" w:themeFillShade="A6"/>
          </w:tcPr>
          <w:p w14:paraId="41489EAF" w14:textId="5A325163" w:rsidR="00712336" w:rsidRPr="001D2472" w:rsidRDefault="001D2472" w:rsidP="00712336">
            <w:pPr>
              <w:pStyle w:val="BodyText"/>
              <w:jc w:val="center"/>
              <w:rPr>
                <w:rFonts w:ascii="Arial" w:hAnsi="Arial" w:cs="Arial"/>
                <w:b/>
                <w:bCs/>
                <w:sz w:val="22"/>
                <w:szCs w:val="22"/>
                <w:highlight w:val="darkGray"/>
              </w:rPr>
            </w:pPr>
            <w:r w:rsidRPr="001D2472">
              <w:rPr>
                <w:rFonts w:ascii="Arial" w:hAnsi="Arial" w:cs="Arial"/>
                <w:b/>
                <w:bCs/>
                <w:sz w:val="22"/>
                <w:szCs w:val="22"/>
                <w:highlight w:val="darkGray"/>
              </w:rPr>
              <w:t>202</w:t>
            </w:r>
            <w:r w:rsidR="00091195">
              <w:rPr>
                <w:rFonts w:ascii="Arial" w:hAnsi="Arial" w:cs="Arial"/>
                <w:b/>
                <w:bCs/>
                <w:sz w:val="22"/>
                <w:szCs w:val="22"/>
                <w:highlight w:val="darkGray"/>
              </w:rPr>
              <w:t>8</w:t>
            </w:r>
            <w:r w:rsidRPr="001D2472">
              <w:rPr>
                <w:rFonts w:ascii="Arial" w:hAnsi="Arial" w:cs="Arial"/>
                <w:b/>
                <w:bCs/>
                <w:sz w:val="22"/>
                <w:szCs w:val="22"/>
                <w:highlight w:val="darkGray"/>
              </w:rPr>
              <w:t>/2</w:t>
            </w:r>
            <w:r w:rsidR="00091195">
              <w:rPr>
                <w:rFonts w:ascii="Arial" w:hAnsi="Arial" w:cs="Arial"/>
                <w:b/>
                <w:bCs/>
                <w:sz w:val="22"/>
                <w:szCs w:val="22"/>
                <w:highlight w:val="darkGray"/>
              </w:rPr>
              <w:t>9</w:t>
            </w:r>
          </w:p>
        </w:tc>
      </w:tr>
      <w:tr w:rsidR="002242BC" w:rsidRPr="002A3884" w14:paraId="549718CC" w14:textId="77777777" w:rsidTr="002242BC">
        <w:trPr>
          <w:trHeight w:val="408"/>
        </w:trPr>
        <w:tc>
          <w:tcPr>
            <w:tcW w:w="3261" w:type="dxa"/>
            <w:tcBorders>
              <w:bottom w:val="nil"/>
            </w:tcBorders>
            <w:vAlign w:val="center"/>
          </w:tcPr>
          <w:p w14:paraId="04327B8C" w14:textId="77777777" w:rsidR="002242BC" w:rsidRPr="001D2472" w:rsidRDefault="002242BC" w:rsidP="007C5484">
            <w:pPr>
              <w:rPr>
                <w:rFonts w:cs="Arial"/>
                <w:b/>
                <w:sz w:val="22"/>
                <w:szCs w:val="22"/>
              </w:rPr>
            </w:pPr>
            <w:r w:rsidRPr="001D2472">
              <w:rPr>
                <w:rFonts w:cs="Arial"/>
                <w:b/>
                <w:sz w:val="22"/>
                <w:szCs w:val="22"/>
              </w:rPr>
              <w:t>Total Operational Boundary (PI-7a)</w:t>
            </w:r>
          </w:p>
        </w:tc>
        <w:tc>
          <w:tcPr>
            <w:tcW w:w="1134" w:type="dxa"/>
            <w:tcBorders>
              <w:bottom w:val="nil"/>
            </w:tcBorders>
            <w:vAlign w:val="center"/>
          </w:tcPr>
          <w:p w14:paraId="1FBA66A1" w14:textId="048AE4EB" w:rsidR="002242BC" w:rsidRPr="0038552D" w:rsidRDefault="00854363" w:rsidP="002D4BFC">
            <w:pPr>
              <w:jc w:val="center"/>
              <w:rPr>
                <w:rFonts w:cs="Arial"/>
                <w:b/>
                <w:sz w:val="22"/>
                <w:szCs w:val="22"/>
              </w:rPr>
            </w:pPr>
            <w:r>
              <w:rPr>
                <w:rFonts w:cs="Arial"/>
                <w:b/>
                <w:sz w:val="22"/>
                <w:szCs w:val="22"/>
              </w:rPr>
              <w:t>486.8</w:t>
            </w:r>
          </w:p>
        </w:tc>
        <w:tc>
          <w:tcPr>
            <w:tcW w:w="1134" w:type="dxa"/>
            <w:tcBorders>
              <w:bottom w:val="nil"/>
            </w:tcBorders>
            <w:vAlign w:val="center"/>
          </w:tcPr>
          <w:p w14:paraId="4CFFEDE1" w14:textId="7489BC0B" w:rsidR="002242BC" w:rsidRPr="00D70743" w:rsidRDefault="00854363" w:rsidP="00C91E97">
            <w:pPr>
              <w:jc w:val="center"/>
              <w:rPr>
                <w:rFonts w:cs="Arial"/>
                <w:b/>
                <w:sz w:val="22"/>
                <w:szCs w:val="22"/>
              </w:rPr>
            </w:pPr>
            <w:r>
              <w:rPr>
                <w:rFonts w:cs="Arial"/>
                <w:b/>
                <w:sz w:val="22"/>
                <w:szCs w:val="22"/>
              </w:rPr>
              <w:t>497.7</w:t>
            </w:r>
          </w:p>
        </w:tc>
        <w:tc>
          <w:tcPr>
            <w:tcW w:w="1134" w:type="dxa"/>
            <w:tcBorders>
              <w:bottom w:val="nil"/>
            </w:tcBorders>
            <w:vAlign w:val="center"/>
          </w:tcPr>
          <w:p w14:paraId="11559DD8" w14:textId="437F7DC0" w:rsidR="002242BC" w:rsidRPr="00D70743" w:rsidRDefault="002E63FC" w:rsidP="000A756B">
            <w:pPr>
              <w:tabs>
                <w:tab w:val="right" w:pos="702"/>
              </w:tabs>
              <w:jc w:val="center"/>
              <w:rPr>
                <w:rFonts w:cs="Arial"/>
                <w:b/>
                <w:sz w:val="22"/>
                <w:szCs w:val="22"/>
              </w:rPr>
            </w:pPr>
            <w:r w:rsidRPr="00D70743">
              <w:rPr>
                <w:rFonts w:cs="Arial"/>
                <w:b/>
                <w:sz w:val="22"/>
                <w:szCs w:val="22"/>
              </w:rPr>
              <w:t>5</w:t>
            </w:r>
            <w:r w:rsidR="00854363">
              <w:rPr>
                <w:rFonts w:cs="Arial"/>
                <w:b/>
                <w:sz w:val="22"/>
                <w:szCs w:val="22"/>
              </w:rPr>
              <w:t>19.1</w:t>
            </w:r>
          </w:p>
        </w:tc>
        <w:tc>
          <w:tcPr>
            <w:tcW w:w="1134" w:type="dxa"/>
            <w:tcBorders>
              <w:bottom w:val="nil"/>
            </w:tcBorders>
            <w:vAlign w:val="center"/>
          </w:tcPr>
          <w:p w14:paraId="1C95176D" w14:textId="0AAA6A2E" w:rsidR="002242BC" w:rsidRPr="00D70743" w:rsidRDefault="002E63FC" w:rsidP="000A756B">
            <w:pPr>
              <w:jc w:val="center"/>
              <w:rPr>
                <w:rFonts w:cs="Arial"/>
                <w:b/>
                <w:sz w:val="22"/>
                <w:szCs w:val="22"/>
              </w:rPr>
            </w:pPr>
            <w:r w:rsidRPr="00D70743">
              <w:rPr>
                <w:rFonts w:cs="Arial"/>
                <w:b/>
                <w:sz w:val="22"/>
                <w:szCs w:val="22"/>
              </w:rPr>
              <w:t>5</w:t>
            </w:r>
            <w:r w:rsidR="00854363">
              <w:rPr>
                <w:rFonts w:cs="Arial"/>
                <w:b/>
                <w:sz w:val="22"/>
                <w:szCs w:val="22"/>
              </w:rPr>
              <w:t>15.7</w:t>
            </w:r>
          </w:p>
        </w:tc>
        <w:tc>
          <w:tcPr>
            <w:tcW w:w="1134" w:type="dxa"/>
            <w:tcBorders>
              <w:bottom w:val="nil"/>
            </w:tcBorders>
            <w:vAlign w:val="center"/>
          </w:tcPr>
          <w:p w14:paraId="1EB06DAB" w14:textId="614B18AE" w:rsidR="002242BC" w:rsidRPr="00D70743" w:rsidRDefault="002E63FC" w:rsidP="000A756B">
            <w:pPr>
              <w:jc w:val="center"/>
              <w:rPr>
                <w:rFonts w:cs="Arial"/>
                <w:b/>
                <w:sz w:val="22"/>
                <w:szCs w:val="22"/>
              </w:rPr>
            </w:pPr>
            <w:r w:rsidRPr="00D70743">
              <w:rPr>
                <w:rFonts w:cs="Arial"/>
                <w:b/>
                <w:sz w:val="22"/>
                <w:szCs w:val="22"/>
              </w:rPr>
              <w:t>5</w:t>
            </w:r>
            <w:r w:rsidR="00854363">
              <w:rPr>
                <w:rFonts w:cs="Arial"/>
                <w:b/>
                <w:sz w:val="22"/>
                <w:szCs w:val="22"/>
              </w:rPr>
              <w:t>02.8</w:t>
            </w:r>
          </w:p>
        </w:tc>
        <w:tc>
          <w:tcPr>
            <w:tcW w:w="1134" w:type="dxa"/>
            <w:tcBorders>
              <w:bottom w:val="nil"/>
            </w:tcBorders>
            <w:vAlign w:val="center"/>
          </w:tcPr>
          <w:p w14:paraId="716BEE05" w14:textId="3AEA75F5" w:rsidR="002242BC" w:rsidRPr="00D70743" w:rsidRDefault="002E63FC" w:rsidP="000A756B">
            <w:pPr>
              <w:jc w:val="center"/>
              <w:rPr>
                <w:rFonts w:cs="Arial"/>
                <w:b/>
                <w:sz w:val="22"/>
                <w:szCs w:val="22"/>
              </w:rPr>
            </w:pPr>
            <w:r w:rsidRPr="00D70743">
              <w:rPr>
                <w:rFonts w:cs="Arial"/>
                <w:b/>
                <w:sz w:val="22"/>
                <w:szCs w:val="22"/>
              </w:rPr>
              <w:t>49</w:t>
            </w:r>
            <w:r w:rsidR="00854363">
              <w:rPr>
                <w:rFonts w:cs="Arial"/>
                <w:b/>
                <w:sz w:val="22"/>
                <w:szCs w:val="22"/>
              </w:rPr>
              <w:t>3.</w:t>
            </w:r>
            <w:r w:rsidR="00235E55">
              <w:rPr>
                <w:rFonts w:cs="Arial"/>
                <w:b/>
                <w:sz w:val="22"/>
                <w:szCs w:val="22"/>
              </w:rPr>
              <w:t>8</w:t>
            </w:r>
          </w:p>
        </w:tc>
      </w:tr>
      <w:tr w:rsidR="00AC3118" w:rsidRPr="002A3884" w14:paraId="46FE8D57" w14:textId="77777777" w:rsidTr="005F5A06">
        <w:trPr>
          <w:trHeight w:val="512"/>
        </w:trPr>
        <w:tc>
          <w:tcPr>
            <w:tcW w:w="3261" w:type="dxa"/>
            <w:tcBorders>
              <w:top w:val="nil"/>
              <w:bottom w:val="nil"/>
            </w:tcBorders>
            <w:vAlign w:val="center"/>
          </w:tcPr>
          <w:p w14:paraId="439F2200" w14:textId="77777777" w:rsidR="00AC3118" w:rsidRPr="001D2472" w:rsidRDefault="00AC3118" w:rsidP="00AC3118">
            <w:pPr>
              <w:rPr>
                <w:rFonts w:cs="Arial"/>
                <w:sz w:val="22"/>
                <w:szCs w:val="22"/>
              </w:rPr>
            </w:pPr>
            <w:r w:rsidRPr="001D2472">
              <w:rPr>
                <w:rFonts w:cs="Arial"/>
                <w:sz w:val="22"/>
                <w:szCs w:val="22"/>
              </w:rPr>
              <w:t xml:space="preserve">Less: Other </w:t>
            </w:r>
            <w:proofErr w:type="gramStart"/>
            <w:r w:rsidRPr="001D2472">
              <w:rPr>
                <w:rFonts w:cs="Arial"/>
                <w:sz w:val="22"/>
                <w:szCs w:val="22"/>
              </w:rPr>
              <w:t>long term</w:t>
            </w:r>
            <w:proofErr w:type="gramEnd"/>
            <w:r w:rsidRPr="001D2472">
              <w:rPr>
                <w:rFonts w:cs="Arial"/>
                <w:sz w:val="22"/>
                <w:szCs w:val="22"/>
              </w:rPr>
              <w:t xml:space="preserve"> liabilities</w:t>
            </w:r>
          </w:p>
        </w:tc>
        <w:tc>
          <w:tcPr>
            <w:tcW w:w="1134" w:type="dxa"/>
            <w:tcBorders>
              <w:top w:val="nil"/>
              <w:bottom w:val="nil"/>
            </w:tcBorders>
            <w:vAlign w:val="center"/>
          </w:tcPr>
          <w:p w14:paraId="4AE83650" w14:textId="48D81EEE" w:rsidR="00AC3118" w:rsidRPr="00383A2F" w:rsidRDefault="005F5A06" w:rsidP="003F3016">
            <w:pPr>
              <w:pStyle w:val="BodyText"/>
              <w:jc w:val="center"/>
              <w:rPr>
                <w:rFonts w:ascii="Arial" w:hAnsi="Arial" w:cs="Arial"/>
                <w:sz w:val="22"/>
                <w:szCs w:val="22"/>
              </w:rPr>
            </w:pPr>
            <w:r w:rsidRPr="00383A2F">
              <w:rPr>
                <w:rFonts w:ascii="Arial" w:hAnsi="Arial" w:cs="Arial"/>
                <w:sz w:val="22"/>
                <w:szCs w:val="22"/>
              </w:rPr>
              <w:t>(</w:t>
            </w:r>
            <w:r w:rsidR="00091195">
              <w:rPr>
                <w:rFonts w:ascii="Arial" w:hAnsi="Arial" w:cs="Arial"/>
                <w:sz w:val="22"/>
                <w:szCs w:val="22"/>
              </w:rPr>
              <w:t>11</w:t>
            </w:r>
            <w:r w:rsidR="003F3016">
              <w:rPr>
                <w:rFonts w:ascii="Arial" w:hAnsi="Arial" w:cs="Arial"/>
                <w:sz w:val="22"/>
                <w:szCs w:val="22"/>
              </w:rPr>
              <w:t>1</w:t>
            </w:r>
            <w:r w:rsidR="00091195">
              <w:rPr>
                <w:rFonts w:ascii="Arial" w:hAnsi="Arial" w:cs="Arial"/>
                <w:sz w:val="22"/>
                <w:szCs w:val="22"/>
              </w:rPr>
              <w:t>.3</w:t>
            </w:r>
            <w:r w:rsidRPr="00383A2F">
              <w:rPr>
                <w:rFonts w:ascii="Arial" w:hAnsi="Arial" w:cs="Arial"/>
                <w:sz w:val="22"/>
                <w:szCs w:val="22"/>
              </w:rPr>
              <w:t>)</w:t>
            </w:r>
          </w:p>
        </w:tc>
        <w:tc>
          <w:tcPr>
            <w:tcW w:w="1134" w:type="dxa"/>
            <w:tcBorders>
              <w:top w:val="nil"/>
              <w:bottom w:val="nil"/>
            </w:tcBorders>
            <w:vAlign w:val="center"/>
          </w:tcPr>
          <w:p w14:paraId="49786C82" w14:textId="33DECC51" w:rsidR="00AC3118" w:rsidRPr="00D70743" w:rsidRDefault="005F5A06" w:rsidP="002E63FC">
            <w:pPr>
              <w:pStyle w:val="BodyText"/>
              <w:jc w:val="center"/>
              <w:rPr>
                <w:rFonts w:ascii="Arial" w:hAnsi="Arial" w:cs="Arial"/>
                <w:sz w:val="22"/>
                <w:szCs w:val="22"/>
              </w:rPr>
            </w:pPr>
            <w:r w:rsidRPr="00D70743">
              <w:rPr>
                <w:rFonts w:ascii="Arial" w:hAnsi="Arial" w:cs="Arial"/>
                <w:sz w:val="22"/>
                <w:szCs w:val="22"/>
              </w:rPr>
              <w:t>(</w:t>
            </w:r>
            <w:r w:rsidR="002E63FC" w:rsidRPr="00D70743">
              <w:rPr>
                <w:rFonts w:ascii="Arial" w:hAnsi="Arial" w:cs="Arial"/>
                <w:sz w:val="22"/>
                <w:szCs w:val="22"/>
              </w:rPr>
              <w:t>11</w:t>
            </w:r>
            <w:r w:rsidR="00091195">
              <w:rPr>
                <w:rFonts w:ascii="Arial" w:hAnsi="Arial" w:cs="Arial"/>
                <w:sz w:val="22"/>
                <w:szCs w:val="22"/>
              </w:rPr>
              <w:t>0.2</w:t>
            </w:r>
            <w:r w:rsidRPr="00D70743">
              <w:rPr>
                <w:rFonts w:ascii="Arial" w:hAnsi="Arial" w:cs="Arial"/>
                <w:sz w:val="22"/>
                <w:szCs w:val="22"/>
              </w:rPr>
              <w:t>)</w:t>
            </w:r>
          </w:p>
        </w:tc>
        <w:tc>
          <w:tcPr>
            <w:tcW w:w="1134" w:type="dxa"/>
            <w:tcBorders>
              <w:top w:val="nil"/>
              <w:bottom w:val="nil"/>
            </w:tcBorders>
            <w:vAlign w:val="center"/>
          </w:tcPr>
          <w:p w14:paraId="2BE7A213" w14:textId="4F3ECA24" w:rsidR="00AC3118" w:rsidRPr="00D70743" w:rsidRDefault="005F5A06" w:rsidP="005F5A06">
            <w:pPr>
              <w:pStyle w:val="BodyText"/>
              <w:jc w:val="center"/>
              <w:rPr>
                <w:rFonts w:ascii="Arial" w:hAnsi="Arial" w:cs="Arial"/>
                <w:sz w:val="22"/>
                <w:szCs w:val="22"/>
              </w:rPr>
            </w:pPr>
            <w:r w:rsidRPr="00D70743">
              <w:rPr>
                <w:rFonts w:ascii="Arial" w:hAnsi="Arial" w:cs="Arial"/>
                <w:sz w:val="22"/>
                <w:szCs w:val="22"/>
              </w:rPr>
              <w:t>(</w:t>
            </w:r>
            <w:r w:rsidR="00D70743" w:rsidRPr="00D70743">
              <w:rPr>
                <w:rFonts w:ascii="Arial" w:hAnsi="Arial" w:cs="Arial"/>
                <w:sz w:val="22"/>
                <w:szCs w:val="22"/>
              </w:rPr>
              <w:t>1</w:t>
            </w:r>
            <w:r w:rsidR="00091195">
              <w:rPr>
                <w:rFonts w:ascii="Arial" w:hAnsi="Arial" w:cs="Arial"/>
                <w:sz w:val="22"/>
                <w:szCs w:val="22"/>
              </w:rPr>
              <w:t>09.1</w:t>
            </w:r>
            <w:r w:rsidRPr="00D70743">
              <w:rPr>
                <w:rFonts w:ascii="Arial" w:hAnsi="Arial" w:cs="Arial"/>
                <w:sz w:val="22"/>
                <w:szCs w:val="22"/>
              </w:rPr>
              <w:t>)</w:t>
            </w:r>
          </w:p>
        </w:tc>
        <w:tc>
          <w:tcPr>
            <w:tcW w:w="1134" w:type="dxa"/>
            <w:tcBorders>
              <w:top w:val="nil"/>
              <w:bottom w:val="nil"/>
            </w:tcBorders>
            <w:vAlign w:val="center"/>
          </w:tcPr>
          <w:p w14:paraId="70418D7D" w14:textId="033AC492" w:rsidR="00AC3118" w:rsidRPr="00D70743" w:rsidRDefault="005F5A06" w:rsidP="005F5A06">
            <w:pPr>
              <w:pStyle w:val="BodyText"/>
              <w:jc w:val="center"/>
              <w:rPr>
                <w:rFonts w:ascii="Arial" w:hAnsi="Arial" w:cs="Arial"/>
                <w:sz w:val="22"/>
                <w:szCs w:val="22"/>
              </w:rPr>
            </w:pPr>
            <w:r w:rsidRPr="00D70743">
              <w:rPr>
                <w:rFonts w:ascii="Arial" w:hAnsi="Arial" w:cs="Arial"/>
                <w:sz w:val="22"/>
                <w:szCs w:val="22"/>
              </w:rPr>
              <w:t>(</w:t>
            </w:r>
            <w:r w:rsidR="00D70743" w:rsidRPr="00D70743">
              <w:rPr>
                <w:rFonts w:ascii="Arial" w:hAnsi="Arial" w:cs="Arial"/>
                <w:sz w:val="22"/>
                <w:szCs w:val="22"/>
              </w:rPr>
              <w:t>10</w:t>
            </w:r>
            <w:r w:rsidR="00091195">
              <w:rPr>
                <w:rFonts w:ascii="Arial" w:hAnsi="Arial" w:cs="Arial"/>
                <w:sz w:val="22"/>
                <w:szCs w:val="22"/>
              </w:rPr>
              <w:t>8</w:t>
            </w:r>
            <w:r w:rsidR="00854363">
              <w:rPr>
                <w:rFonts w:ascii="Arial" w:hAnsi="Arial" w:cs="Arial"/>
                <w:sz w:val="22"/>
                <w:szCs w:val="22"/>
              </w:rPr>
              <w:t>.0</w:t>
            </w:r>
            <w:r w:rsidRPr="00D70743">
              <w:rPr>
                <w:rFonts w:ascii="Arial" w:hAnsi="Arial" w:cs="Arial"/>
                <w:sz w:val="22"/>
                <w:szCs w:val="22"/>
              </w:rPr>
              <w:t>)</w:t>
            </w:r>
          </w:p>
        </w:tc>
        <w:tc>
          <w:tcPr>
            <w:tcW w:w="1134" w:type="dxa"/>
            <w:tcBorders>
              <w:top w:val="nil"/>
              <w:bottom w:val="nil"/>
            </w:tcBorders>
            <w:vAlign w:val="center"/>
          </w:tcPr>
          <w:p w14:paraId="1DDDE568" w14:textId="0EDD3AD6" w:rsidR="00AC3118" w:rsidRPr="00D70743" w:rsidRDefault="005F5A06" w:rsidP="005F5A06">
            <w:pPr>
              <w:pStyle w:val="BodyText"/>
              <w:jc w:val="center"/>
              <w:rPr>
                <w:rFonts w:ascii="Arial" w:hAnsi="Arial" w:cs="Arial"/>
                <w:sz w:val="22"/>
                <w:szCs w:val="22"/>
              </w:rPr>
            </w:pPr>
            <w:r w:rsidRPr="00D70743">
              <w:rPr>
                <w:rFonts w:ascii="Arial" w:hAnsi="Arial" w:cs="Arial"/>
                <w:sz w:val="22"/>
                <w:szCs w:val="22"/>
              </w:rPr>
              <w:t>(</w:t>
            </w:r>
            <w:r w:rsidR="00D70743" w:rsidRPr="00D70743">
              <w:rPr>
                <w:rFonts w:ascii="Arial" w:hAnsi="Arial" w:cs="Arial"/>
                <w:sz w:val="22"/>
                <w:szCs w:val="22"/>
              </w:rPr>
              <w:t>10</w:t>
            </w:r>
            <w:r w:rsidR="00091195">
              <w:rPr>
                <w:rFonts w:ascii="Arial" w:hAnsi="Arial" w:cs="Arial"/>
                <w:sz w:val="22"/>
                <w:szCs w:val="22"/>
              </w:rPr>
              <w:t>6.7</w:t>
            </w:r>
            <w:r w:rsidRPr="00D70743">
              <w:rPr>
                <w:rFonts w:ascii="Arial" w:hAnsi="Arial" w:cs="Arial"/>
                <w:sz w:val="22"/>
                <w:szCs w:val="22"/>
              </w:rPr>
              <w:t>)</w:t>
            </w:r>
          </w:p>
        </w:tc>
        <w:tc>
          <w:tcPr>
            <w:tcW w:w="1134" w:type="dxa"/>
            <w:tcBorders>
              <w:top w:val="nil"/>
              <w:bottom w:val="nil"/>
            </w:tcBorders>
            <w:vAlign w:val="center"/>
          </w:tcPr>
          <w:p w14:paraId="64B676F5" w14:textId="7BB2045D" w:rsidR="00AC3118" w:rsidRPr="00D70743" w:rsidRDefault="005F5A06" w:rsidP="005F5A06">
            <w:pPr>
              <w:pStyle w:val="BodyText"/>
              <w:jc w:val="center"/>
              <w:rPr>
                <w:rFonts w:ascii="Arial" w:hAnsi="Arial" w:cs="Arial"/>
                <w:sz w:val="22"/>
                <w:szCs w:val="22"/>
              </w:rPr>
            </w:pPr>
            <w:r w:rsidRPr="00D70743">
              <w:rPr>
                <w:rFonts w:ascii="Arial" w:hAnsi="Arial" w:cs="Arial"/>
                <w:sz w:val="22"/>
                <w:szCs w:val="22"/>
              </w:rPr>
              <w:t>(</w:t>
            </w:r>
            <w:r w:rsidR="00D70743" w:rsidRPr="00D70743">
              <w:rPr>
                <w:rFonts w:ascii="Arial" w:hAnsi="Arial" w:cs="Arial"/>
                <w:sz w:val="22"/>
                <w:szCs w:val="22"/>
              </w:rPr>
              <w:t>10</w:t>
            </w:r>
            <w:r w:rsidR="00091195">
              <w:rPr>
                <w:rFonts w:ascii="Arial" w:hAnsi="Arial" w:cs="Arial"/>
                <w:sz w:val="22"/>
                <w:szCs w:val="22"/>
              </w:rPr>
              <w:t>5.4</w:t>
            </w:r>
            <w:r w:rsidRPr="00D70743">
              <w:rPr>
                <w:rFonts w:ascii="Arial" w:hAnsi="Arial" w:cs="Arial"/>
                <w:sz w:val="22"/>
                <w:szCs w:val="22"/>
              </w:rPr>
              <w:t>)</w:t>
            </w:r>
          </w:p>
        </w:tc>
      </w:tr>
      <w:tr w:rsidR="002242BC" w:rsidRPr="002A3884" w14:paraId="2E5E11FC" w14:textId="77777777" w:rsidTr="002242BC">
        <w:trPr>
          <w:trHeight w:val="560"/>
        </w:trPr>
        <w:tc>
          <w:tcPr>
            <w:tcW w:w="3261" w:type="dxa"/>
            <w:tcBorders>
              <w:top w:val="nil"/>
            </w:tcBorders>
          </w:tcPr>
          <w:p w14:paraId="2E811182" w14:textId="77777777" w:rsidR="002242BC" w:rsidRPr="001C15EA" w:rsidRDefault="002242BC" w:rsidP="00DB4348">
            <w:pPr>
              <w:rPr>
                <w:rFonts w:cs="Arial"/>
                <w:b/>
                <w:sz w:val="22"/>
                <w:szCs w:val="22"/>
              </w:rPr>
            </w:pPr>
            <w:r w:rsidRPr="001C15EA">
              <w:rPr>
                <w:rFonts w:cs="Arial"/>
                <w:b/>
                <w:sz w:val="22"/>
                <w:szCs w:val="22"/>
              </w:rPr>
              <w:t xml:space="preserve">Operational Boundary exc. Other </w:t>
            </w:r>
            <w:proofErr w:type="gramStart"/>
            <w:r w:rsidRPr="001C15EA">
              <w:rPr>
                <w:rFonts w:cs="Arial"/>
                <w:b/>
                <w:sz w:val="22"/>
                <w:szCs w:val="22"/>
              </w:rPr>
              <w:t>Long Term</w:t>
            </w:r>
            <w:proofErr w:type="gramEnd"/>
            <w:r w:rsidRPr="001C15EA">
              <w:rPr>
                <w:rFonts w:cs="Arial"/>
                <w:b/>
                <w:sz w:val="22"/>
                <w:szCs w:val="22"/>
              </w:rPr>
              <w:t xml:space="preserve"> Liabilities (PI-7b)</w:t>
            </w:r>
          </w:p>
        </w:tc>
        <w:tc>
          <w:tcPr>
            <w:tcW w:w="1134" w:type="dxa"/>
            <w:tcBorders>
              <w:top w:val="nil"/>
            </w:tcBorders>
            <w:vAlign w:val="center"/>
          </w:tcPr>
          <w:p w14:paraId="288965F8" w14:textId="4EFDF679" w:rsidR="002242BC" w:rsidRPr="001C15EA" w:rsidRDefault="00583614" w:rsidP="005F5A06">
            <w:pPr>
              <w:jc w:val="center"/>
              <w:rPr>
                <w:rFonts w:cs="Arial"/>
                <w:b/>
                <w:sz w:val="22"/>
                <w:szCs w:val="22"/>
              </w:rPr>
            </w:pPr>
            <w:r w:rsidRPr="001C15EA">
              <w:rPr>
                <w:rFonts w:cs="Arial"/>
                <w:b/>
                <w:sz w:val="22"/>
                <w:szCs w:val="22"/>
              </w:rPr>
              <w:t>3</w:t>
            </w:r>
            <w:r w:rsidR="00091195">
              <w:rPr>
                <w:rFonts w:cs="Arial"/>
                <w:b/>
                <w:sz w:val="22"/>
                <w:szCs w:val="22"/>
              </w:rPr>
              <w:t>7</w:t>
            </w:r>
            <w:r w:rsidR="003F3016">
              <w:rPr>
                <w:rFonts w:cs="Arial"/>
                <w:b/>
                <w:sz w:val="22"/>
                <w:szCs w:val="22"/>
              </w:rPr>
              <w:t>5</w:t>
            </w:r>
            <w:r w:rsidR="00091195">
              <w:rPr>
                <w:rFonts w:cs="Arial"/>
                <w:b/>
                <w:sz w:val="22"/>
                <w:szCs w:val="22"/>
              </w:rPr>
              <w:t>.5</w:t>
            </w:r>
          </w:p>
        </w:tc>
        <w:tc>
          <w:tcPr>
            <w:tcW w:w="1134" w:type="dxa"/>
            <w:tcBorders>
              <w:top w:val="nil"/>
            </w:tcBorders>
            <w:vAlign w:val="center"/>
          </w:tcPr>
          <w:p w14:paraId="3A19A858" w14:textId="66547B56" w:rsidR="002242BC" w:rsidRPr="00D70743" w:rsidRDefault="00C91E97" w:rsidP="000A756B">
            <w:pPr>
              <w:jc w:val="center"/>
              <w:rPr>
                <w:rFonts w:cs="Arial"/>
                <w:b/>
                <w:sz w:val="22"/>
                <w:szCs w:val="22"/>
              </w:rPr>
            </w:pPr>
            <w:r w:rsidRPr="00D70743">
              <w:rPr>
                <w:rFonts w:cs="Arial"/>
                <w:b/>
                <w:sz w:val="22"/>
                <w:szCs w:val="22"/>
              </w:rPr>
              <w:t>3</w:t>
            </w:r>
            <w:r w:rsidR="00854363">
              <w:rPr>
                <w:rFonts w:cs="Arial"/>
                <w:b/>
                <w:sz w:val="22"/>
                <w:szCs w:val="22"/>
              </w:rPr>
              <w:t>87.5</w:t>
            </w:r>
          </w:p>
        </w:tc>
        <w:tc>
          <w:tcPr>
            <w:tcW w:w="1134" w:type="dxa"/>
            <w:tcBorders>
              <w:top w:val="nil"/>
            </w:tcBorders>
            <w:vAlign w:val="center"/>
          </w:tcPr>
          <w:p w14:paraId="055C1C3A" w14:textId="00775F25" w:rsidR="002242BC" w:rsidRPr="00D70743" w:rsidRDefault="00854363" w:rsidP="000A756B">
            <w:pPr>
              <w:tabs>
                <w:tab w:val="right" w:pos="702"/>
              </w:tabs>
              <w:jc w:val="center"/>
              <w:rPr>
                <w:rFonts w:cs="Arial"/>
                <w:b/>
                <w:sz w:val="22"/>
                <w:szCs w:val="22"/>
              </w:rPr>
            </w:pPr>
            <w:r>
              <w:rPr>
                <w:rFonts w:cs="Arial"/>
                <w:b/>
                <w:sz w:val="22"/>
                <w:szCs w:val="22"/>
              </w:rPr>
              <w:t>410.0</w:t>
            </w:r>
          </w:p>
        </w:tc>
        <w:tc>
          <w:tcPr>
            <w:tcW w:w="1134" w:type="dxa"/>
            <w:tcBorders>
              <w:top w:val="nil"/>
            </w:tcBorders>
            <w:vAlign w:val="center"/>
          </w:tcPr>
          <w:p w14:paraId="39B391E5" w14:textId="41325C89" w:rsidR="002242BC" w:rsidRPr="00D70743" w:rsidRDefault="00C91E97" w:rsidP="000A756B">
            <w:pPr>
              <w:jc w:val="center"/>
              <w:rPr>
                <w:rFonts w:cs="Arial"/>
                <w:b/>
                <w:sz w:val="22"/>
                <w:szCs w:val="22"/>
              </w:rPr>
            </w:pPr>
            <w:r w:rsidRPr="00D70743">
              <w:rPr>
                <w:rFonts w:cs="Arial"/>
                <w:b/>
                <w:sz w:val="22"/>
                <w:szCs w:val="22"/>
              </w:rPr>
              <w:t>40</w:t>
            </w:r>
            <w:r w:rsidR="00854363">
              <w:rPr>
                <w:rFonts w:cs="Arial"/>
                <w:b/>
                <w:sz w:val="22"/>
                <w:szCs w:val="22"/>
              </w:rPr>
              <w:t>7.7</w:t>
            </w:r>
          </w:p>
        </w:tc>
        <w:tc>
          <w:tcPr>
            <w:tcW w:w="1134" w:type="dxa"/>
            <w:tcBorders>
              <w:top w:val="nil"/>
            </w:tcBorders>
            <w:vAlign w:val="center"/>
          </w:tcPr>
          <w:p w14:paraId="38F0DA34" w14:textId="27481A4D" w:rsidR="002242BC" w:rsidRPr="00D70743" w:rsidRDefault="00854363" w:rsidP="000A756B">
            <w:pPr>
              <w:jc w:val="center"/>
              <w:rPr>
                <w:rFonts w:cs="Arial"/>
                <w:b/>
                <w:sz w:val="22"/>
                <w:szCs w:val="22"/>
              </w:rPr>
            </w:pPr>
            <w:r>
              <w:rPr>
                <w:rFonts w:cs="Arial"/>
                <w:b/>
                <w:sz w:val="22"/>
                <w:szCs w:val="22"/>
              </w:rPr>
              <w:t>396.1</w:t>
            </w:r>
          </w:p>
        </w:tc>
        <w:tc>
          <w:tcPr>
            <w:tcW w:w="1134" w:type="dxa"/>
            <w:tcBorders>
              <w:top w:val="nil"/>
            </w:tcBorders>
            <w:vAlign w:val="center"/>
          </w:tcPr>
          <w:p w14:paraId="0AEFD8D5" w14:textId="7D41BA6C" w:rsidR="002242BC" w:rsidRPr="00D70743" w:rsidRDefault="00C91E97" w:rsidP="000A756B">
            <w:pPr>
              <w:jc w:val="center"/>
              <w:rPr>
                <w:rFonts w:cs="Arial"/>
                <w:b/>
                <w:sz w:val="22"/>
                <w:szCs w:val="22"/>
              </w:rPr>
            </w:pPr>
            <w:r w:rsidRPr="00D70743">
              <w:rPr>
                <w:rFonts w:cs="Arial"/>
                <w:b/>
                <w:sz w:val="22"/>
                <w:szCs w:val="22"/>
              </w:rPr>
              <w:t>3</w:t>
            </w:r>
            <w:r w:rsidR="00854363">
              <w:rPr>
                <w:rFonts w:cs="Arial"/>
                <w:b/>
                <w:sz w:val="22"/>
                <w:szCs w:val="22"/>
              </w:rPr>
              <w:t>88.</w:t>
            </w:r>
            <w:r w:rsidR="00235E55">
              <w:rPr>
                <w:rFonts w:cs="Arial"/>
                <w:b/>
                <w:sz w:val="22"/>
                <w:szCs w:val="22"/>
              </w:rPr>
              <w:t>4</w:t>
            </w:r>
          </w:p>
        </w:tc>
      </w:tr>
    </w:tbl>
    <w:p w14:paraId="69E4C9A2" w14:textId="77777777" w:rsidR="00062BC5" w:rsidRPr="001C15EA" w:rsidRDefault="00062BC5" w:rsidP="007C5484">
      <w:pPr>
        <w:ind w:left="567"/>
        <w:rPr>
          <w:rFonts w:cs="Arial"/>
          <w:b/>
          <w:bCs/>
          <w:noProof/>
          <w:color w:val="993366"/>
          <w:sz w:val="28"/>
          <w:szCs w:val="28"/>
        </w:rPr>
      </w:pPr>
    </w:p>
    <w:p w14:paraId="09184AEF" w14:textId="2C86BB30" w:rsidR="001A4258" w:rsidRPr="001C15EA" w:rsidRDefault="001A4258" w:rsidP="005B34C4">
      <w:pPr>
        <w:numPr>
          <w:ilvl w:val="3"/>
          <w:numId w:val="20"/>
        </w:numPr>
        <w:tabs>
          <w:tab w:val="num" w:pos="1440"/>
        </w:tabs>
        <w:ind w:hanging="567"/>
        <w:rPr>
          <w:sz w:val="22"/>
          <w:szCs w:val="22"/>
        </w:rPr>
      </w:pPr>
      <w:r w:rsidRPr="001C15EA">
        <w:rPr>
          <w:sz w:val="22"/>
          <w:szCs w:val="22"/>
        </w:rPr>
        <w:t xml:space="preserve">The following chart shows how the current and projected Operational Borrowing limit compare with the anticipated levels of </w:t>
      </w:r>
      <w:r w:rsidR="003F79EF">
        <w:rPr>
          <w:sz w:val="22"/>
          <w:szCs w:val="22"/>
        </w:rPr>
        <w:t>gross</w:t>
      </w:r>
      <w:r w:rsidRPr="001C15EA">
        <w:rPr>
          <w:sz w:val="22"/>
          <w:szCs w:val="22"/>
        </w:rPr>
        <w:t xml:space="preserve"> </w:t>
      </w:r>
      <w:r w:rsidR="003F79EF">
        <w:rPr>
          <w:sz w:val="22"/>
          <w:szCs w:val="22"/>
        </w:rPr>
        <w:t xml:space="preserve">external </w:t>
      </w:r>
      <w:r w:rsidRPr="001C15EA">
        <w:rPr>
          <w:sz w:val="22"/>
          <w:szCs w:val="22"/>
        </w:rPr>
        <w:t>debt</w:t>
      </w:r>
      <w:r w:rsidR="003F79EF">
        <w:rPr>
          <w:sz w:val="22"/>
          <w:szCs w:val="22"/>
        </w:rPr>
        <w:t xml:space="preserve"> (PI-5)</w:t>
      </w:r>
      <w:r w:rsidRPr="001C15EA">
        <w:rPr>
          <w:sz w:val="22"/>
          <w:szCs w:val="22"/>
        </w:rPr>
        <w:t>.</w:t>
      </w:r>
    </w:p>
    <w:p w14:paraId="03FF68B4" w14:textId="77777777" w:rsidR="000813D0" w:rsidRPr="00D26131" w:rsidRDefault="000813D0" w:rsidP="005F5A06">
      <w:pPr>
        <w:ind w:left="108"/>
        <w:rPr>
          <w:b/>
          <w:color w:val="993366"/>
          <w:sz w:val="16"/>
          <w:szCs w:val="16"/>
          <w:highlight w:val="yellow"/>
        </w:rPr>
      </w:pPr>
    </w:p>
    <w:p w14:paraId="78606581" w14:textId="483A69BB" w:rsidR="009C0DB1" w:rsidRPr="00D26131" w:rsidRDefault="009C0DB1" w:rsidP="005F5A06">
      <w:pPr>
        <w:ind w:left="108"/>
        <w:rPr>
          <w:b/>
          <w:color w:val="993366"/>
          <w:sz w:val="16"/>
          <w:szCs w:val="16"/>
          <w:highlight w:val="yellow"/>
        </w:rPr>
      </w:pPr>
    </w:p>
    <w:p w14:paraId="2522F4D6" w14:textId="0426BF3B" w:rsidR="004E0005" w:rsidRPr="0017034E" w:rsidRDefault="00235E55" w:rsidP="004649D3">
      <w:pPr>
        <w:ind w:left="540"/>
        <w:rPr>
          <w:b/>
          <w:color w:val="993366"/>
          <w:sz w:val="24"/>
          <w:szCs w:val="24"/>
        </w:rPr>
      </w:pPr>
      <w:r>
        <w:rPr>
          <w:noProof/>
        </w:rPr>
        <w:drawing>
          <wp:inline distT="0" distB="0" distL="0" distR="0" wp14:anchorId="5D82FB18" wp14:editId="6CFE0499">
            <wp:extent cx="6134100" cy="3819525"/>
            <wp:effectExtent l="0" t="0" r="0" b="9525"/>
            <wp:docPr id="1003240926" name="Chart 1">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B18BD6" w14:textId="77777777" w:rsidR="00526216" w:rsidRDefault="00526216" w:rsidP="00526216">
      <w:pPr>
        <w:rPr>
          <w:b/>
          <w:color w:val="993366"/>
          <w:sz w:val="22"/>
          <w:szCs w:val="22"/>
        </w:rPr>
      </w:pPr>
    </w:p>
    <w:p w14:paraId="20A5F4C5" w14:textId="77777777" w:rsidR="00903C74" w:rsidRPr="00526216" w:rsidRDefault="00903C74" w:rsidP="00526216">
      <w:pPr>
        <w:rPr>
          <w:b/>
          <w:color w:val="993366"/>
          <w:sz w:val="22"/>
          <w:szCs w:val="22"/>
        </w:rPr>
      </w:pPr>
    </w:p>
    <w:p w14:paraId="491769AB" w14:textId="713BC997" w:rsidR="00062BC5" w:rsidRPr="0017034E" w:rsidRDefault="00062BC5" w:rsidP="00526216">
      <w:pPr>
        <w:rPr>
          <w:rFonts w:ascii="Calibri" w:hAnsi="Calibri" w:cs="Arial"/>
          <w:b/>
          <w:bCs/>
          <w:noProof/>
          <w:color w:val="993366"/>
          <w:sz w:val="18"/>
          <w:szCs w:val="18"/>
        </w:rPr>
      </w:pPr>
      <w:r w:rsidRPr="0017034E">
        <w:rPr>
          <w:b/>
          <w:color w:val="993366"/>
          <w:sz w:val="24"/>
          <w:szCs w:val="24"/>
        </w:rPr>
        <w:t xml:space="preserve">The </w:t>
      </w:r>
      <w:r w:rsidRPr="0017034E">
        <w:rPr>
          <w:rFonts w:cs="Arial"/>
          <w:b/>
          <w:color w:val="993366"/>
          <w:sz w:val="24"/>
          <w:szCs w:val="24"/>
        </w:rPr>
        <w:t xml:space="preserve">Authorised Limit </w:t>
      </w:r>
      <w:r w:rsidR="00A44C9E" w:rsidRPr="0017034E">
        <w:rPr>
          <w:rFonts w:cs="Arial"/>
          <w:b/>
          <w:color w:val="993366"/>
          <w:sz w:val="24"/>
          <w:szCs w:val="24"/>
        </w:rPr>
        <w:t>f</w:t>
      </w:r>
      <w:r w:rsidRPr="0017034E">
        <w:rPr>
          <w:rFonts w:cs="Arial"/>
          <w:b/>
          <w:color w:val="993366"/>
          <w:sz w:val="24"/>
          <w:szCs w:val="24"/>
        </w:rPr>
        <w:t xml:space="preserve">or External </w:t>
      </w:r>
      <w:r w:rsidR="00C64814" w:rsidRPr="0017034E">
        <w:rPr>
          <w:rFonts w:cs="Arial"/>
          <w:b/>
          <w:color w:val="993366"/>
          <w:sz w:val="24"/>
          <w:szCs w:val="24"/>
        </w:rPr>
        <w:t>Debt</w:t>
      </w:r>
      <w:r w:rsidRPr="0017034E">
        <w:rPr>
          <w:rFonts w:cs="Arial"/>
          <w:b/>
          <w:color w:val="993366"/>
          <w:sz w:val="24"/>
          <w:szCs w:val="24"/>
        </w:rPr>
        <w:t xml:space="preserve"> </w:t>
      </w:r>
      <w:r w:rsidRPr="0017034E">
        <w:rPr>
          <w:b/>
          <w:color w:val="993366"/>
          <w:sz w:val="24"/>
          <w:szCs w:val="24"/>
        </w:rPr>
        <w:t>(Prudential Indicator PI-8)</w:t>
      </w:r>
      <w:r w:rsidRPr="0017034E">
        <w:rPr>
          <w:b/>
          <w:color w:val="993366"/>
          <w:sz w:val="24"/>
          <w:szCs w:val="24"/>
        </w:rPr>
        <w:br/>
      </w:r>
    </w:p>
    <w:p w14:paraId="223D9A3E" w14:textId="77777777" w:rsidR="00062BC5" w:rsidRPr="0017034E" w:rsidRDefault="00062BC5" w:rsidP="005B34C4">
      <w:pPr>
        <w:numPr>
          <w:ilvl w:val="3"/>
          <w:numId w:val="20"/>
        </w:numPr>
        <w:tabs>
          <w:tab w:val="num" w:pos="1440"/>
        </w:tabs>
        <w:ind w:hanging="567"/>
        <w:rPr>
          <w:sz w:val="22"/>
          <w:szCs w:val="22"/>
        </w:rPr>
      </w:pPr>
      <w:r w:rsidRPr="0017034E">
        <w:rPr>
          <w:sz w:val="22"/>
          <w:szCs w:val="22"/>
        </w:rPr>
        <w:t xml:space="preserve">A further key prudential indicator represents a control on the maximum level of borrowing. This represents a </w:t>
      </w:r>
      <w:r w:rsidR="00621CD8" w:rsidRPr="0017034E">
        <w:rPr>
          <w:sz w:val="22"/>
          <w:szCs w:val="22"/>
        </w:rPr>
        <w:t xml:space="preserve">legal </w:t>
      </w:r>
      <w:r w:rsidRPr="0017034E">
        <w:rPr>
          <w:sz w:val="22"/>
          <w:szCs w:val="22"/>
        </w:rPr>
        <w:t xml:space="preserve">limit beyond which external </w:t>
      </w:r>
      <w:r w:rsidR="00A44C9E" w:rsidRPr="0017034E">
        <w:rPr>
          <w:sz w:val="22"/>
          <w:szCs w:val="22"/>
        </w:rPr>
        <w:t>debt</w:t>
      </w:r>
      <w:r w:rsidRPr="0017034E">
        <w:rPr>
          <w:sz w:val="22"/>
          <w:szCs w:val="22"/>
        </w:rPr>
        <w:t xml:space="preserve"> is prohibited, and this limit needs to be set or revised by the full Council. It </w:t>
      </w:r>
      <w:r w:rsidR="00FD1E40" w:rsidRPr="0017034E">
        <w:rPr>
          <w:sz w:val="22"/>
          <w:szCs w:val="22"/>
        </w:rPr>
        <w:t>reflects the level of external debt</w:t>
      </w:r>
      <w:r w:rsidRPr="0017034E">
        <w:rPr>
          <w:sz w:val="22"/>
          <w:szCs w:val="22"/>
        </w:rPr>
        <w:t xml:space="preserve"> which, while not desired, could be afforded in the short term, but is not sustainable in the longer term.  </w:t>
      </w:r>
      <w:r w:rsidRPr="0017034E">
        <w:rPr>
          <w:sz w:val="22"/>
          <w:szCs w:val="22"/>
        </w:rPr>
        <w:br/>
      </w:r>
    </w:p>
    <w:p w14:paraId="3052FD30" w14:textId="77777777" w:rsidR="00FD1E40" w:rsidRPr="00383A2F" w:rsidRDefault="00FD1E40" w:rsidP="005B34C4">
      <w:pPr>
        <w:pStyle w:val="ListParagraph"/>
        <w:numPr>
          <w:ilvl w:val="3"/>
          <w:numId w:val="20"/>
        </w:numPr>
        <w:ind w:hanging="567"/>
        <w:rPr>
          <w:sz w:val="22"/>
          <w:szCs w:val="22"/>
        </w:rPr>
      </w:pPr>
      <w:r w:rsidRPr="0017034E">
        <w:rPr>
          <w:sz w:val="22"/>
          <w:szCs w:val="22"/>
        </w:rPr>
        <w:t xml:space="preserve">The authorised limits for external debt for the current year and two subsequent years are the legislative </w:t>
      </w:r>
      <w:r w:rsidRPr="00383A2F">
        <w:rPr>
          <w:sz w:val="22"/>
          <w:szCs w:val="22"/>
        </w:rPr>
        <w:t>limits determined under Regulation 6(1) of the Local Authority (Capital Finance and Accounting) (Scotland) Regulations 2016.</w:t>
      </w:r>
    </w:p>
    <w:p w14:paraId="7AC7EAE8" w14:textId="77777777" w:rsidR="00036804" w:rsidRPr="00383A2F" w:rsidRDefault="00036804" w:rsidP="00E54149">
      <w:pPr>
        <w:pStyle w:val="ListParagraph"/>
        <w:ind w:left="567" w:hanging="567"/>
        <w:rPr>
          <w:sz w:val="22"/>
          <w:szCs w:val="22"/>
        </w:rPr>
      </w:pPr>
    </w:p>
    <w:p w14:paraId="628BC9A1" w14:textId="58B77A99" w:rsidR="00834F0C" w:rsidRPr="00383A2F" w:rsidRDefault="00062BC5" w:rsidP="005B34C4">
      <w:pPr>
        <w:numPr>
          <w:ilvl w:val="3"/>
          <w:numId w:val="20"/>
        </w:numPr>
        <w:tabs>
          <w:tab w:val="num" w:pos="1440"/>
        </w:tabs>
        <w:ind w:hanging="567"/>
        <w:rPr>
          <w:sz w:val="22"/>
          <w:szCs w:val="22"/>
        </w:rPr>
      </w:pPr>
      <w:r w:rsidRPr="00383A2F">
        <w:rPr>
          <w:sz w:val="22"/>
          <w:szCs w:val="22"/>
        </w:rPr>
        <w:t xml:space="preserve">The </w:t>
      </w:r>
      <w:r w:rsidR="00531A41" w:rsidRPr="00383A2F">
        <w:rPr>
          <w:sz w:val="22"/>
          <w:szCs w:val="22"/>
        </w:rPr>
        <w:t>C</w:t>
      </w:r>
      <w:r w:rsidR="00C73052" w:rsidRPr="00383A2F">
        <w:rPr>
          <w:sz w:val="22"/>
          <w:szCs w:val="22"/>
        </w:rPr>
        <w:t xml:space="preserve">ouncil is asked to approve the following </w:t>
      </w:r>
      <w:r w:rsidR="00526216">
        <w:rPr>
          <w:sz w:val="22"/>
          <w:szCs w:val="22"/>
        </w:rPr>
        <w:t>A</w:t>
      </w:r>
      <w:r w:rsidR="00C73052" w:rsidRPr="00383A2F">
        <w:rPr>
          <w:sz w:val="22"/>
          <w:szCs w:val="22"/>
        </w:rPr>
        <w:t xml:space="preserve">uthorised </w:t>
      </w:r>
      <w:r w:rsidR="00526216">
        <w:rPr>
          <w:sz w:val="22"/>
          <w:szCs w:val="22"/>
        </w:rPr>
        <w:t>L</w:t>
      </w:r>
      <w:r w:rsidR="00C73052" w:rsidRPr="00383A2F">
        <w:rPr>
          <w:sz w:val="22"/>
          <w:szCs w:val="22"/>
        </w:rPr>
        <w:t>imit</w:t>
      </w:r>
      <w:r w:rsidR="00400EE6">
        <w:rPr>
          <w:sz w:val="22"/>
          <w:szCs w:val="22"/>
        </w:rPr>
        <w:t xml:space="preserve">, being the Operational </w:t>
      </w:r>
      <w:r w:rsidR="00526216">
        <w:rPr>
          <w:sz w:val="22"/>
          <w:szCs w:val="22"/>
        </w:rPr>
        <w:t>B</w:t>
      </w:r>
      <w:r w:rsidR="00400EE6">
        <w:rPr>
          <w:sz w:val="22"/>
          <w:szCs w:val="22"/>
        </w:rPr>
        <w:t>oundary</w:t>
      </w:r>
      <w:r w:rsidR="002B4C6C">
        <w:rPr>
          <w:sz w:val="22"/>
          <w:szCs w:val="22"/>
        </w:rPr>
        <w:t xml:space="preserve"> (PI-7a)</w:t>
      </w:r>
      <w:r w:rsidR="00400EE6">
        <w:rPr>
          <w:sz w:val="22"/>
          <w:szCs w:val="22"/>
        </w:rPr>
        <w:t xml:space="preserve"> plus 20% margin</w:t>
      </w:r>
      <w:r w:rsidR="00C73052" w:rsidRPr="00383A2F">
        <w:rPr>
          <w:sz w:val="22"/>
          <w:szCs w:val="22"/>
        </w:rPr>
        <w:t>:</w:t>
      </w:r>
    </w:p>
    <w:p w14:paraId="27C30F5D" w14:textId="77777777" w:rsidR="00062BC5" w:rsidRPr="00D26131" w:rsidRDefault="00062BC5" w:rsidP="00E54149">
      <w:pPr>
        <w:tabs>
          <w:tab w:val="num" w:pos="1440"/>
        </w:tabs>
        <w:ind w:left="108"/>
        <w:rPr>
          <w:sz w:val="22"/>
          <w:szCs w:val="22"/>
          <w:highlight w:val="yellow"/>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134"/>
        <w:gridCol w:w="1134"/>
        <w:gridCol w:w="1134"/>
        <w:gridCol w:w="1134"/>
        <w:gridCol w:w="1134"/>
        <w:gridCol w:w="1134"/>
      </w:tblGrid>
      <w:tr w:rsidR="005102B3" w:rsidRPr="00D26131" w14:paraId="187CE3A3" w14:textId="77777777" w:rsidTr="00383A2F">
        <w:tc>
          <w:tcPr>
            <w:tcW w:w="3260" w:type="dxa"/>
            <w:vMerge w:val="restart"/>
            <w:tcBorders>
              <w:top w:val="single" w:sz="4" w:space="0" w:color="auto"/>
              <w:left w:val="single" w:sz="4" w:space="0" w:color="auto"/>
              <w:right w:val="single" w:sz="4" w:space="0" w:color="auto"/>
            </w:tcBorders>
            <w:shd w:val="clear" w:color="auto" w:fill="A6A6A6" w:themeFill="background1" w:themeFillShade="A6"/>
          </w:tcPr>
          <w:p w14:paraId="01312F84" w14:textId="77777777" w:rsidR="005102B3" w:rsidRPr="00383A2F" w:rsidRDefault="005102B3" w:rsidP="00E54149">
            <w:pPr>
              <w:ind w:left="108"/>
              <w:rPr>
                <w:rFonts w:cs="Arial"/>
                <w:b/>
                <w:bCs/>
                <w:sz w:val="22"/>
                <w:szCs w:val="22"/>
                <w:highlight w:val="darkGray"/>
              </w:rPr>
            </w:pPr>
            <w:r w:rsidRPr="00383A2F">
              <w:rPr>
                <w:rFonts w:cs="Arial"/>
                <w:b/>
                <w:bCs/>
                <w:sz w:val="22"/>
                <w:szCs w:val="22"/>
                <w:highlight w:val="darkGray"/>
              </w:rPr>
              <w:t xml:space="preserve">Authorised Limit </w:t>
            </w:r>
            <w:r w:rsidRPr="00383A2F">
              <w:rPr>
                <w:rFonts w:cs="Arial"/>
                <w:b/>
                <w:bCs/>
                <w:sz w:val="22"/>
                <w:szCs w:val="22"/>
                <w:highlight w:val="darkGray"/>
              </w:rPr>
              <w:br/>
              <w:t>£m</w:t>
            </w:r>
          </w:p>
        </w:tc>
        <w:tc>
          <w:tcPr>
            <w:tcW w:w="6804"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F88E6E" w14:textId="77777777" w:rsidR="005102B3" w:rsidRPr="00383A2F" w:rsidRDefault="005102B3" w:rsidP="005F47B1">
            <w:pPr>
              <w:pStyle w:val="BodyText"/>
              <w:ind w:left="108" w:right="743"/>
              <w:jc w:val="center"/>
              <w:rPr>
                <w:rFonts w:ascii="Arial" w:hAnsi="Arial" w:cs="Arial"/>
                <w:b/>
                <w:bCs/>
                <w:sz w:val="22"/>
                <w:szCs w:val="22"/>
                <w:highlight w:val="darkGray"/>
              </w:rPr>
            </w:pPr>
            <w:r w:rsidRPr="00383A2F">
              <w:rPr>
                <w:rFonts w:ascii="Arial" w:hAnsi="Arial" w:cs="Arial"/>
                <w:b/>
                <w:bCs/>
                <w:sz w:val="22"/>
                <w:szCs w:val="22"/>
                <w:highlight w:val="darkGray"/>
              </w:rPr>
              <w:t>Estimate</w:t>
            </w:r>
          </w:p>
        </w:tc>
      </w:tr>
      <w:tr w:rsidR="00712336" w:rsidRPr="00D26131" w14:paraId="05A589A0" w14:textId="77777777" w:rsidTr="00383A2F">
        <w:trPr>
          <w:trHeight w:val="304"/>
        </w:trPr>
        <w:tc>
          <w:tcPr>
            <w:tcW w:w="3260" w:type="dxa"/>
            <w:vMerge/>
            <w:tcBorders>
              <w:left w:val="single" w:sz="4" w:space="0" w:color="auto"/>
              <w:right w:val="single" w:sz="4" w:space="0" w:color="auto"/>
            </w:tcBorders>
            <w:shd w:val="clear" w:color="auto" w:fill="A6A6A6" w:themeFill="background1" w:themeFillShade="A6"/>
          </w:tcPr>
          <w:p w14:paraId="0A35A2B5" w14:textId="77777777" w:rsidR="00712336" w:rsidRPr="00383A2F" w:rsidRDefault="00712336" w:rsidP="00E54149">
            <w:pPr>
              <w:ind w:left="108"/>
              <w:rPr>
                <w:rFonts w:cs="Arial"/>
                <w:sz w:val="22"/>
                <w:szCs w:val="22"/>
                <w:highlight w:val="darkGray"/>
              </w:rPr>
            </w:pPr>
          </w:p>
        </w:tc>
        <w:tc>
          <w:tcPr>
            <w:tcW w:w="1134" w:type="dxa"/>
            <w:tcBorders>
              <w:left w:val="single" w:sz="4" w:space="0" w:color="auto"/>
            </w:tcBorders>
            <w:shd w:val="clear" w:color="auto" w:fill="A6A6A6" w:themeFill="background1" w:themeFillShade="A6"/>
          </w:tcPr>
          <w:p w14:paraId="46AFBFF6" w14:textId="5D12AD72"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3</w:t>
            </w:r>
            <w:r w:rsidRPr="00383A2F">
              <w:rPr>
                <w:rFonts w:ascii="Arial" w:hAnsi="Arial" w:cs="Arial"/>
                <w:b/>
                <w:bCs/>
                <w:sz w:val="22"/>
                <w:szCs w:val="22"/>
                <w:highlight w:val="darkGray"/>
              </w:rPr>
              <w:t>/2</w:t>
            </w:r>
            <w:r w:rsidR="00235E55">
              <w:rPr>
                <w:rFonts w:ascii="Arial" w:hAnsi="Arial" w:cs="Arial"/>
                <w:b/>
                <w:bCs/>
                <w:sz w:val="22"/>
                <w:szCs w:val="22"/>
                <w:highlight w:val="darkGray"/>
              </w:rPr>
              <w:t>4</w:t>
            </w:r>
          </w:p>
        </w:tc>
        <w:tc>
          <w:tcPr>
            <w:tcW w:w="1134" w:type="dxa"/>
            <w:shd w:val="clear" w:color="auto" w:fill="A6A6A6" w:themeFill="background1" w:themeFillShade="A6"/>
          </w:tcPr>
          <w:p w14:paraId="5F6421C6" w14:textId="157FC2D8"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4</w:t>
            </w:r>
            <w:r w:rsidRPr="00383A2F">
              <w:rPr>
                <w:rFonts w:ascii="Arial" w:hAnsi="Arial" w:cs="Arial"/>
                <w:b/>
                <w:bCs/>
                <w:sz w:val="22"/>
                <w:szCs w:val="22"/>
                <w:highlight w:val="darkGray"/>
              </w:rPr>
              <w:t>/2</w:t>
            </w:r>
            <w:r w:rsidR="00235E55">
              <w:rPr>
                <w:rFonts w:ascii="Arial" w:hAnsi="Arial" w:cs="Arial"/>
                <w:b/>
                <w:bCs/>
                <w:sz w:val="22"/>
                <w:szCs w:val="22"/>
                <w:highlight w:val="darkGray"/>
              </w:rPr>
              <w:t>5</w:t>
            </w:r>
          </w:p>
        </w:tc>
        <w:tc>
          <w:tcPr>
            <w:tcW w:w="1134" w:type="dxa"/>
            <w:shd w:val="clear" w:color="auto" w:fill="A6A6A6" w:themeFill="background1" w:themeFillShade="A6"/>
          </w:tcPr>
          <w:p w14:paraId="1F7087DE" w14:textId="357F3645"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5/</w:t>
            </w:r>
            <w:r w:rsidRPr="00383A2F">
              <w:rPr>
                <w:rFonts w:ascii="Arial" w:hAnsi="Arial" w:cs="Arial"/>
                <w:b/>
                <w:bCs/>
                <w:sz w:val="22"/>
                <w:szCs w:val="22"/>
                <w:highlight w:val="darkGray"/>
              </w:rPr>
              <w:t>2</w:t>
            </w:r>
            <w:r w:rsidR="00235E55">
              <w:rPr>
                <w:rFonts w:ascii="Arial" w:hAnsi="Arial" w:cs="Arial"/>
                <w:b/>
                <w:bCs/>
                <w:sz w:val="22"/>
                <w:szCs w:val="22"/>
                <w:highlight w:val="darkGray"/>
              </w:rPr>
              <w:t>6</w:t>
            </w:r>
          </w:p>
        </w:tc>
        <w:tc>
          <w:tcPr>
            <w:tcW w:w="1134" w:type="dxa"/>
            <w:shd w:val="clear" w:color="auto" w:fill="A6A6A6" w:themeFill="background1" w:themeFillShade="A6"/>
          </w:tcPr>
          <w:p w14:paraId="3B190872" w14:textId="7FB1428D"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6</w:t>
            </w:r>
            <w:r w:rsidRPr="00383A2F">
              <w:rPr>
                <w:rFonts w:ascii="Arial" w:hAnsi="Arial" w:cs="Arial"/>
                <w:b/>
                <w:bCs/>
                <w:sz w:val="22"/>
                <w:szCs w:val="22"/>
                <w:highlight w:val="darkGray"/>
              </w:rPr>
              <w:t>/2</w:t>
            </w:r>
            <w:r w:rsidR="00235E55">
              <w:rPr>
                <w:rFonts w:ascii="Arial" w:hAnsi="Arial" w:cs="Arial"/>
                <w:b/>
                <w:bCs/>
                <w:sz w:val="22"/>
                <w:szCs w:val="22"/>
                <w:highlight w:val="darkGray"/>
              </w:rPr>
              <w:t>7</w:t>
            </w:r>
          </w:p>
        </w:tc>
        <w:tc>
          <w:tcPr>
            <w:tcW w:w="1134" w:type="dxa"/>
            <w:shd w:val="clear" w:color="auto" w:fill="A6A6A6" w:themeFill="background1" w:themeFillShade="A6"/>
          </w:tcPr>
          <w:p w14:paraId="4A65CB1D" w14:textId="3E3E6BAC"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7</w:t>
            </w:r>
            <w:r w:rsidRPr="00383A2F">
              <w:rPr>
                <w:rFonts w:ascii="Arial" w:hAnsi="Arial" w:cs="Arial"/>
                <w:b/>
                <w:bCs/>
                <w:sz w:val="22"/>
                <w:szCs w:val="22"/>
                <w:highlight w:val="darkGray"/>
              </w:rPr>
              <w:t>/2</w:t>
            </w:r>
            <w:r w:rsidR="00235E55">
              <w:rPr>
                <w:rFonts w:ascii="Arial" w:hAnsi="Arial" w:cs="Arial"/>
                <w:b/>
                <w:bCs/>
                <w:sz w:val="22"/>
                <w:szCs w:val="22"/>
                <w:highlight w:val="darkGray"/>
              </w:rPr>
              <w:t>8</w:t>
            </w:r>
          </w:p>
        </w:tc>
        <w:tc>
          <w:tcPr>
            <w:tcW w:w="1134" w:type="dxa"/>
            <w:shd w:val="clear" w:color="auto" w:fill="A6A6A6" w:themeFill="background1" w:themeFillShade="A6"/>
          </w:tcPr>
          <w:p w14:paraId="3E2DFF3D" w14:textId="2A17DD41" w:rsidR="00712336" w:rsidRPr="00383A2F" w:rsidRDefault="00383A2F" w:rsidP="005F47B1">
            <w:pPr>
              <w:pStyle w:val="BodyText"/>
              <w:ind w:left="108"/>
              <w:jc w:val="center"/>
              <w:rPr>
                <w:rFonts w:ascii="Arial" w:hAnsi="Arial" w:cs="Arial"/>
                <w:b/>
                <w:bCs/>
                <w:sz w:val="22"/>
                <w:szCs w:val="22"/>
                <w:highlight w:val="darkGray"/>
              </w:rPr>
            </w:pPr>
            <w:r w:rsidRPr="00383A2F">
              <w:rPr>
                <w:rFonts w:ascii="Arial" w:hAnsi="Arial" w:cs="Arial"/>
                <w:b/>
                <w:bCs/>
                <w:sz w:val="22"/>
                <w:szCs w:val="22"/>
                <w:highlight w:val="darkGray"/>
              </w:rPr>
              <w:t>202</w:t>
            </w:r>
            <w:r w:rsidR="00235E55">
              <w:rPr>
                <w:rFonts w:ascii="Arial" w:hAnsi="Arial" w:cs="Arial"/>
                <w:b/>
                <w:bCs/>
                <w:sz w:val="22"/>
                <w:szCs w:val="22"/>
                <w:highlight w:val="darkGray"/>
              </w:rPr>
              <w:t>8/</w:t>
            </w:r>
            <w:r w:rsidRPr="00383A2F">
              <w:rPr>
                <w:rFonts w:ascii="Arial" w:hAnsi="Arial" w:cs="Arial"/>
                <w:b/>
                <w:bCs/>
                <w:sz w:val="22"/>
                <w:szCs w:val="22"/>
                <w:highlight w:val="darkGray"/>
              </w:rPr>
              <w:t>2</w:t>
            </w:r>
            <w:r w:rsidR="00235E55">
              <w:rPr>
                <w:rFonts w:ascii="Arial" w:hAnsi="Arial" w:cs="Arial"/>
                <w:b/>
                <w:bCs/>
                <w:sz w:val="22"/>
                <w:szCs w:val="22"/>
                <w:highlight w:val="darkGray"/>
              </w:rPr>
              <w:t>9</w:t>
            </w:r>
          </w:p>
        </w:tc>
      </w:tr>
      <w:tr w:rsidR="005102B3" w:rsidRPr="00D26131" w14:paraId="5F64A83A" w14:textId="77777777" w:rsidTr="005F47B1">
        <w:trPr>
          <w:trHeight w:val="408"/>
        </w:trPr>
        <w:tc>
          <w:tcPr>
            <w:tcW w:w="3260" w:type="dxa"/>
            <w:tcBorders>
              <w:bottom w:val="nil"/>
            </w:tcBorders>
            <w:vAlign w:val="center"/>
          </w:tcPr>
          <w:p w14:paraId="3A9D7706" w14:textId="77777777" w:rsidR="005102B3" w:rsidRPr="00383A2F" w:rsidRDefault="005102B3" w:rsidP="00E54149">
            <w:pPr>
              <w:ind w:left="108"/>
              <w:rPr>
                <w:rFonts w:cs="Arial"/>
                <w:b/>
                <w:sz w:val="22"/>
                <w:szCs w:val="22"/>
              </w:rPr>
            </w:pPr>
            <w:r w:rsidRPr="00383A2F">
              <w:rPr>
                <w:rFonts w:cs="Arial"/>
                <w:b/>
                <w:sz w:val="22"/>
                <w:szCs w:val="22"/>
              </w:rPr>
              <w:t>Total Authorised Limit (PI-8a)</w:t>
            </w:r>
          </w:p>
        </w:tc>
        <w:tc>
          <w:tcPr>
            <w:tcW w:w="1134" w:type="dxa"/>
            <w:tcBorders>
              <w:bottom w:val="nil"/>
            </w:tcBorders>
            <w:vAlign w:val="center"/>
          </w:tcPr>
          <w:p w14:paraId="45EBE7FD" w14:textId="74D8D452" w:rsidR="005102B3" w:rsidRPr="00432F38" w:rsidRDefault="00432F38" w:rsidP="00C91E97">
            <w:pPr>
              <w:ind w:left="108"/>
              <w:jc w:val="center"/>
              <w:rPr>
                <w:rFonts w:cs="Arial"/>
                <w:b/>
                <w:sz w:val="22"/>
                <w:szCs w:val="22"/>
              </w:rPr>
            </w:pPr>
            <w:r w:rsidRPr="00432F38">
              <w:rPr>
                <w:rFonts w:cs="Arial"/>
                <w:b/>
                <w:sz w:val="22"/>
                <w:szCs w:val="22"/>
              </w:rPr>
              <w:t>5</w:t>
            </w:r>
            <w:r w:rsidR="003F3016">
              <w:rPr>
                <w:rFonts w:cs="Arial"/>
                <w:b/>
                <w:sz w:val="22"/>
                <w:szCs w:val="22"/>
              </w:rPr>
              <w:t>84.1</w:t>
            </w:r>
          </w:p>
        </w:tc>
        <w:tc>
          <w:tcPr>
            <w:tcW w:w="1134" w:type="dxa"/>
            <w:tcBorders>
              <w:bottom w:val="nil"/>
            </w:tcBorders>
            <w:vAlign w:val="center"/>
          </w:tcPr>
          <w:p w14:paraId="062FA157" w14:textId="3776F7D7" w:rsidR="005102B3" w:rsidRPr="00432F38" w:rsidRDefault="003F3016" w:rsidP="005F47B1">
            <w:pPr>
              <w:ind w:left="108"/>
              <w:jc w:val="center"/>
              <w:rPr>
                <w:rFonts w:cs="Arial"/>
                <w:b/>
                <w:sz w:val="22"/>
                <w:szCs w:val="22"/>
              </w:rPr>
            </w:pPr>
            <w:r>
              <w:rPr>
                <w:rFonts w:cs="Arial"/>
                <w:b/>
                <w:sz w:val="22"/>
                <w:szCs w:val="22"/>
              </w:rPr>
              <w:t>597.3</w:t>
            </w:r>
          </w:p>
        </w:tc>
        <w:tc>
          <w:tcPr>
            <w:tcW w:w="1134" w:type="dxa"/>
            <w:tcBorders>
              <w:bottom w:val="nil"/>
            </w:tcBorders>
            <w:vAlign w:val="center"/>
          </w:tcPr>
          <w:p w14:paraId="6C4D4492" w14:textId="37088D10" w:rsidR="005102B3" w:rsidRPr="00432F38" w:rsidRDefault="00432F38" w:rsidP="00432F38">
            <w:pPr>
              <w:tabs>
                <w:tab w:val="right" w:pos="702"/>
              </w:tabs>
              <w:ind w:left="108"/>
              <w:jc w:val="center"/>
              <w:rPr>
                <w:rFonts w:cs="Arial"/>
                <w:b/>
                <w:sz w:val="22"/>
                <w:szCs w:val="22"/>
              </w:rPr>
            </w:pPr>
            <w:r>
              <w:rPr>
                <w:rFonts w:cs="Arial"/>
                <w:b/>
                <w:sz w:val="22"/>
                <w:szCs w:val="22"/>
              </w:rPr>
              <w:t>6</w:t>
            </w:r>
            <w:r w:rsidR="003F3016">
              <w:rPr>
                <w:rFonts w:cs="Arial"/>
                <w:b/>
                <w:sz w:val="22"/>
                <w:szCs w:val="22"/>
              </w:rPr>
              <w:t>22</w:t>
            </w:r>
            <w:r w:rsidR="002A3884" w:rsidRPr="00432F38">
              <w:rPr>
                <w:rFonts w:cs="Arial"/>
                <w:b/>
                <w:sz w:val="22"/>
                <w:szCs w:val="22"/>
              </w:rPr>
              <w:t>.</w:t>
            </w:r>
            <w:r>
              <w:rPr>
                <w:rFonts w:cs="Arial"/>
                <w:b/>
                <w:sz w:val="22"/>
                <w:szCs w:val="22"/>
              </w:rPr>
              <w:t>9</w:t>
            </w:r>
          </w:p>
        </w:tc>
        <w:tc>
          <w:tcPr>
            <w:tcW w:w="1134" w:type="dxa"/>
            <w:tcBorders>
              <w:bottom w:val="nil"/>
            </w:tcBorders>
            <w:vAlign w:val="center"/>
          </w:tcPr>
          <w:p w14:paraId="6B4C7731" w14:textId="44E3E494" w:rsidR="005102B3" w:rsidRPr="00432F38" w:rsidRDefault="00432F38" w:rsidP="000A756B">
            <w:pPr>
              <w:ind w:left="108"/>
              <w:jc w:val="center"/>
              <w:rPr>
                <w:rFonts w:cs="Arial"/>
                <w:b/>
                <w:sz w:val="22"/>
                <w:szCs w:val="22"/>
              </w:rPr>
            </w:pPr>
            <w:r>
              <w:rPr>
                <w:rFonts w:cs="Arial"/>
                <w:b/>
                <w:sz w:val="22"/>
                <w:szCs w:val="22"/>
              </w:rPr>
              <w:t>6</w:t>
            </w:r>
            <w:r w:rsidR="003F3016">
              <w:rPr>
                <w:rFonts w:cs="Arial"/>
                <w:b/>
                <w:sz w:val="22"/>
                <w:szCs w:val="22"/>
              </w:rPr>
              <w:t>18.8</w:t>
            </w:r>
          </w:p>
        </w:tc>
        <w:tc>
          <w:tcPr>
            <w:tcW w:w="1134" w:type="dxa"/>
            <w:tcBorders>
              <w:bottom w:val="nil"/>
            </w:tcBorders>
            <w:vAlign w:val="center"/>
          </w:tcPr>
          <w:p w14:paraId="6F859134" w14:textId="4EAD47CE" w:rsidR="005102B3" w:rsidRPr="00432F38" w:rsidRDefault="00432F38" w:rsidP="000A756B">
            <w:pPr>
              <w:ind w:left="108"/>
              <w:jc w:val="center"/>
              <w:rPr>
                <w:rFonts w:cs="Arial"/>
                <w:b/>
                <w:sz w:val="22"/>
                <w:szCs w:val="22"/>
              </w:rPr>
            </w:pPr>
            <w:r>
              <w:rPr>
                <w:rFonts w:cs="Arial"/>
                <w:b/>
                <w:sz w:val="22"/>
                <w:szCs w:val="22"/>
              </w:rPr>
              <w:t>6</w:t>
            </w:r>
            <w:r w:rsidR="003F3016">
              <w:rPr>
                <w:rFonts w:cs="Arial"/>
                <w:b/>
                <w:sz w:val="22"/>
                <w:szCs w:val="22"/>
              </w:rPr>
              <w:t>03.4</w:t>
            </w:r>
          </w:p>
        </w:tc>
        <w:tc>
          <w:tcPr>
            <w:tcW w:w="1134" w:type="dxa"/>
            <w:tcBorders>
              <w:bottom w:val="nil"/>
            </w:tcBorders>
            <w:vAlign w:val="center"/>
          </w:tcPr>
          <w:p w14:paraId="72206236" w14:textId="55D210D0" w:rsidR="005102B3" w:rsidRPr="00432F38" w:rsidRDefault="00432F38" w:rsidP="00024886">
            <w:pPr>
              <w:ind w:left="108"/>
              <w:jc w:val="center"/>
              <w:rPr>
                <w:rFonts w:cs="Arial"/>
                <w:b/>
                <w:sz w:val="22"/>
                <w:szCs w:val="22"/>
              </w:rPr>
            </w:pPr>
            <w:r>
              <w:rPr>
                <w:rFonts w:cs="Arial"/>
                <w:b/>
                <w:sz w:val="22"/>
                <w:szCs w:val="22"/>
              </w:rPr>
              <w:t>59</w:t>
            </w:r>
            <w:r w:rsidR="003F3016">
              <w:rPr>
                <w:rFonts w:cs="Arial"/>
                <w:b/>
                <w:sz w:val="22"/>
                <w:szCs w:val="22"/>
              </w:rPr>
              <w:t>2.6</w:t>
            </w:r>
          </w:p>
        </w:tc>
      </w:tr>
      <w:tr w:rsidR="005F5A06" w:rsidRPr="007C1B9A" w14:paraId="3F06904C" w14:textId="77777777" w:rsidTr="005F47B1">
        <w:trPr>
          <w:trHeight w:val="512"/>
        </w:trPr>
        <w:tc>
          <w:tcPr>
            <w:tcW w:w="3260" w:type="dxa"/>
            <w:tcBorders>
              <w:top w:val="nil"/>
              <w:bottom w:val="nil"/>
            </w:tcBorders>
            <w:vAlign w:val="center"/>
          </w:tcPr>
          <w:p w14:paraId="3396A797" w14:textId="77777777" w:rsidR="005F5A06" w:rsidRPr="007C1B9A" w:rsidRDefault="005F5A06" w:rsidP="00E54149">
            <w:pPr>
              <w:ind w:left="108"/>
              <w:rPr>
                <w:rFonts w:cs="Arial"/>
                <w:sz w:val="22"/>
                <w:szCs w:val="22"/>
              </w:rPr>
            </w:pPr>
            <w:r w:rsidRPr="007C1B9A">
              <w:rPr>
                <w:rFonts w:cs="Arial"/>
                <w:sz w:val="22"/>
                <w:szCs w:val="22"/>
              </w:rPr>
              <w:t xml:space="preserve">Less: Other </w:t>
            </w:r>
            <w:proofErr w:type="gramStart"/>
            <w:r w:rsidRPr="007C1B9A">
              <w:rPr>
                <w:rFonts w:cs="Arial"/>
                <w:sz w:val="22"/>
                <w:szCs w:val="22"/>
              </w:rPr>
              <w:t>long term</w:t>
            </w:r>
            <w:proofErr w:type="gramEnd"/>
            <w:r w:rsidRPr="007C1B9A">
              <w:rPr>
                <w:rFonts w:cs="Arial"/>
                <w:sz w:val="22"/>
                <w:szCs w:val="22"/>
              </w:rPr>
              <w:t xml:space="preserve"> liabilities</w:t>
            </w:r>
          </w:p>
        </w:tc>
        <w:tc>
          <w:tcPr>
            <w:tcW w:w="1134" w:type="dxa"/>
            <w:tcBorders>
              <w:top w:val="nil"/>
              <w:bottom w:val="nil"/>
            </w:tcBorders>
            <w:vAlign w:val="center"/>
          </w:tcPr>
          <w:p w14:paraId="35A822A0" w14:textId="6AC91A90" w:rsidR="005F5A06" w:rsidRPr="007C1B9A" w:rsidRDefault="00383A2F" w:rsidP="005F47B1">
            <w:pPr>
              <w:pStyle w:val="BodyText"/>
              <w:ind w:left="108"/>
              <w:jc w:val="center"/>
              <w:rPr>
                <w:rFonts w:ascii="Arial" w:hAnsi="Arial" w:cs="Arial"/>
                <w:sz w:val="22"/>
                <w:szCs w:val="22"/>
              </w:rPr>
            </w:pPr>
            <w:r w:rsidRPr="007C1B9A">
              <w:rPr>
                <w:rFonts w:ascii="Arial" w:hAnsi="Arial" w:cs="Arial"/>
                <w:sz w:val="22"/>
                <w:szCs w:val="22"/>
              </w:rPr>
              <w:t>(</w:t>
            </w:r>
            <w:r w:rsidR="003F3016">
              <w:rPr>
                <w:rFonts w:ascii="Arial" w:hAnsi="Arial" w:cs="Arial"/>
                <w:sz w:val="22"/>
                <w:szCs w:val="22"/>
              </w:rPr>
              <w:t>111.3</w:t>
            </w:r>
            <w:r w:rsidR="005F5A06" w:rsidRPr="007C1B9A">
              <w:rPr>
                <w:rFonts w:ascii="Arial" w:hAnsi="Arial" w:cs="Arial"/>
                <w:sz w:val="22"/>
                <w:szCs w:val="22"/>
              </w:rPr>
              <w:t>)</w:t>
            </w:r>
          </w:p>
        </w:tc>
        <w:tc>
          <w:tcPr>
            <w:tcW w:w="1134" w:type="dxa"/>
            <w:tcBorders>
              <w:top w:val="nil"/>
              <w:bottom w:val="nil"/>
            </w:tcBorders>
            <w:vAlign w:val="center"/>
          </w:tcPr>
          <w:p w14:paraId="0E4514A4" w14:textId="199D54DE" w:rsidR="005F5A06" w:rsidRPr="007C1B9A" w:rsidRDefault="002A3884" w:rsidP="005F47B1">
            <w:pPr>
              <w:pStyle w:val="BodyText"/>
              <w:ind w:left="108"/>
              <w:jc w:val="center"/>
              <w:rPr>
                <w:rFonts w:ascii="Arial" w:hAnsi="Arial" w:cs="Arial"/>
                <w:sz w:val="22"/>
                <w:szCs w:val="22"/>
              </w:rPr>
            </w:pPr>
            <w:r>
              <w:rPr>
                <w:rFonts w:ascii="Arial" w:hAnsi="Arial" w:cs="Arial"/>
                <w:sz w:val="22"/>
                <w:szCs w:val="22"/>
              </w:rPr>
              <w:t>(11</w:t>
            </w:r>
            <w:r w:rsidR="003F3016">
              <w:rPr>
                <w:rFonts w:ascii="Arial" w:hAnsi="Arial" w:cs="Arial"/>
                <w:sz w:val="22"/>
                <w:szCs w:val="22"/>
              </w:rPr>
              <w:t>0.2</w:t>
            </w:r>
            <w:r w:rsidR="005F5A06" w:rsidRPr="007C1B9A">
              <w:rPr>
                <w:rFonts w:ascii="Arial" w:hAnsi="Arial" w:cs="Arial"/>
                <w:sz w:val="22"/>
                <w:szCs w:val="22"/>
              </w:rPr>
              <w:t>)</w:t>
            </w:r>
          </w:p>
        </w:tc>
        <w:tc>
          <w:tcPr>
            <w:tcW w:w="1134" w:type="dxa"/>
            <w:tcBorders>
              <w:top w:val="nil"/>
              <w:bottom w:val="nil"/>
            </w:tcBorders>
            <w:vAlign w:val="center"/>
          </w:tcPr>
          <w:p w14:paraId="0B359A1E" w14:textId="718E8DE7" w:rsidR="005F5A06" w:rsidRPr="007C1B9A" w:rsidRDefault="002A3884" w:rsidP="005F47B1">
            <w:pPr>
              <w:pStyle w:val="BodyText"/>
              <w:ind w:left="108"/>
              <w:jc w:val="center"/>
              <w:rPr>
                <w:rFonts w:ascii="Arial" w:hAnsi="Arial" w:cs="Arial"/>
                <w:sz w:val="22"/>
                <w:szCs w:val="22"/>
              </w:rPr>
            </w:pPr>
            <w:r>
              <w:rPr>
                <w:rFonts w:ascii="Arial" w:hAnsi="Arial" w:cs="Arial"/>
                <w:sz w:val="22"/>
                <w:szCs w:val="22"/>
              </w:rPr>
              <w:t>(1</w:t>
            </w:r>
            <w:r w:rsidR="003F3016">
              <w:rPr>
                <w:rFonts w:ascii="Arial" w:hAnsi="Arial" w:cs="Arial"/>
                <w:sz w:val="22"/>
                <w:szCs w:val="22"/>
              </w:rPr>
              <w:t>09.1</w:t>
            </w:r>
            <w:r w:rsidR="005F5A06" w:rsidRPr="007C1B9A">
              <w:rPr>
                <w:rFonts w:ascii="Arial" w:hAnsi="Arial" w:cs="Arial"/>
                <w:sz w:val="22"/>
                <w:szCs w:val="22"/>
              </w:rPr>
              <w:t>)</w:t>
            </w:r>
          </w:p>
        </w:tc>
        <w:tc>
          <w:tcPr>
            <w:tcW w:w="1134" w:type="dxa"/>
            <w:tcBorders>
              <w:top w:val="nil"/>
              <w:bottom w:val="nil"/>
            </w:tcBorders>
            <w:vAlign w:val="center"/>
          </w:tcPr>
          <w:p w14:paraId="22662FC4" w14:textId="1A160DA1" w:rsidR="005F5A06" w:rsidRPr="007C1B9A" w:rsidRDefault="002A3884" w:rsidP="005F47B1">
            <w:pPr>
              <w:pStyle w:val="BodyText"/>
              <w:ind w:left="108"/>
              <w:jc w:val="center"/>
              <w:rPr>
                <w:rFonts w:ascii="Arial" w:hAnsi="Arial" w:cs="Arial"/>
                <w:sz w:val="22"/>
                <w:szCs w:val="22"/>
              </w:rPr>
            </w:pPr>
            <w:r>
              <w:rPr>
                <w:rFonts w:ascii="Arial" w:hAnsi="Arial" w:cs="Arial"/>
                <w:sz w:val="22"/>
                <w:szCs w:val="22"/>
              </w:rPr>
              <w:t>(10</w:t>
            </w:r>
            <w:r w:rsidR="003F3016">
              <w:rPr>
                <w:rFonts w:ascii="Arial" w:hAnsi="Arial" w:cs="Arial"/>
                <w:sz w:val="22"/>
                <w:szCs w:val="22"/>
              </w:rPr>
              <w:t>7.9</w:t>
            </w:r>
            <w:r w:rsidR="005F5A06" w:rsidRPr="007C1B9A">
              <w:rPr>
                <w:rFonts w:ascii="Arial" w:hAnsi="Arial" w:cs="Arial"/>
                <w:sz w:val="22"/>
                <w:szCs w:val="22"/>
              </w:rPr>
              <w:t>)</w:t>
            </w:r>
          </w:p>
        </w:tc>
        <w:tc>
          <w:tcPr>
            <w:tcW w:w="1134" w:type="dxa"/>
            <w:tcBorders>
              <w:top w:val="nil"/>
              <w:bottom w:val="nil"/>
            </w:tcBorders>
            <w:vAlign w:val="center"/>
          </w:tcPr>
          <w:p w14:paraId="454334E4" w14:textId="66BF61CC" w:rsidR="005F5A06" w:rsidRPr="007C1B9A" w:rsidRDefault="002A3884" w:rsidP="005F47B1">
            <w:pPr>
              <w:pStyle w:val="BodyText"/>
              <w:ind w:left="108"/>
              <w:jc w:val="center"/>
              <w:rPr>
                <w:rFonts w:ascii="Arial" w:hAnsi="Arial" w:cs="Arial"/>
                <w:sz w:val="22"/>
                <w:szCs w:val="22"/>
              </w:rPr>
            </w:pPr>
            <w:r>
              <w:rPr>
                <w:rFonts w:ascii="Arial" w:hAnsi="Arial" w:cs="Arial"/>
                <w:sz w:val="22"/>
                <w:szCs w:val="22"/>
              </w:rPr>
              <w:t>(10</w:t>
            </w:r>
            <w:r w:rsidR="003F3016">
              <w:rPr>
                <w:rFonts w:ascii="Arial" w:hAnsi="Arial" w:cs="Arial"/>
                <w:sz w:val="22"/>
                <w:szCs w:val="22"/>
              </w:rPr>
              <w:t>6.7</w:t>
            </w:r>
            <w:r w:rsidR="005F5A06" w:rsidRPr="007C1B9A">
              <w:rPr>
                <w:rFonts w:ascii="Arial" w:hAnsi="Arial" w:cs="Arial"/>
                <w:sz w:val="22"/>
                <w:szCs w:val="22"/>
              </w:rPr>
              <w:t>)</w:t>
            </w:r>
          </w:p>
        </w:tc>
        <w:tc>
          <w:tcPr>
            <w:tcW w:w="1134" w:type="dxa"/>
            <w:tcBorders>
              <w:top w:val="nil"/>
              <w:bottom w:val="nil"/>
            </w:tcBorders>
            <w:vAlign w:val="center"/>
          </w:tcPr>
          <w:p w14:paraId="3E50DBA1" w14:textId="28113323" w:rsidR="005F5A06" w:rsidRPr="007C1B9A" w:rsidRDefault="002A3884" w:rsidP="005F47B1">
            <w:pPr>
              <w:pStyle w:val="BodyText"/>
              <w:ind w:left="108"/>
              <w:jc w:val="center"/>
              <w:rPr>
                <w:rFonts w:ascii="Arial" w:hAnsi="Arial" w:cs="Arial"/>
                <w:sz w:val="22"/>
                <w:szCs w:val="22"/>
              </w:rPr>
            </w:pPr>
            <w:r>
              <w:rPr>
                <w:rFonts w:ascii="Arial" w:hAnsi="Arial" w:cs="Arial"/>
                <w:sz w:val="22"/>
                <w:szCs w:val="22"/>
              </w:rPr>
              <w:t>(10</w:t>
            </w:r>
            <w:r w:rsidR="003F79EF">
              <w:rPr>
                <w:rFonts w:ascii="Arial" w:hAnsi="Arial" w:cs="Arial"/>
                <w:sz w:val="22"/>
                <w:szCs w:val="22"/>
              </w:rPr>
              <w:t>5.4</w:t>
            </w:r>
            <w:r w:rsidR="005F5A06" w:rsidRPr="007C1B9A">
              <w:rPr>
                <w:rFonts w:ascii="Arial" w:hAnsi="Arial" w:cs="Arial"/>
                <w:sz w:val="22"/>
                <w:szCs w:val="22"/>
              </w:rPr>
              <w:t>)</w:t>
            </w:r>
          </w:p>
        </w:tc>
      </w:tr>
      <w:tr w:rsidR="005102B3" w:rsidRPr="007C1B9A" w14:paraId="705EA3AB" w14:textId="77777777" w:rsidTr="005F47B1">
        <w:trPr>
          <w:trHeight w:val="560"/>
        </w:trPr>
        <w:tc>
          <w:tcPr>
            <w:tcW w:w="3260" w:type="dxa"/>
            <w:tcBorders>
              <w:top w:val="nil"/>
            </w:tcBorders>
          </w:tcPr>
          <w:p w14:paraId="79DA8128" w14:textId="77777777" w:rsidR="005102B3" w:rsidRPr="007C1B9A" w:rsidRDefault="005102B3" w:rsidP="00E54149">
            <w:pPr>
              <w:ind w:left="108"/>
              <w:rPr>
                <w:rFonts w:cs="Arial"/>
                <w:b/>
                <w:sz w:val="22"/>
                <w:szCs w:val="22"/>
              </w:rPr>
            </w:pPr>
            <w:r w:rsidRPr="007C1B9A">
              <w:rPr>
                <w:rFonts w:cs="Arial"/>
                <w:b/>
                <w:sz w:val="22"/>
                <w:szCs w:val="22"/>
              </w:rPr>
              <w:t>Authorised Limit exc. Other Long-Term Liabilities (PI-8b)</w:t>
            </w:r>
          </w:p>
        </w:tc>
        <w:tc>
          <w:tcPr>
            <w:tcW w:w="1134" w:type="dxa"/>
            <w:tcBorders>
              <w:top w:val="nil"/>
            </w:tcBorders>
            <w:vAlign w:val="center"/>
          </w:tcPr>
          <w:p w14:paraId="4E99DBA8" w14:textId="144996CC" w:rsidR="005102B3" w:rsidRPr="007C1B9A" w:rsidRDefault="00432F38" w:rsidP="005F47B1">
            <w:pPr>
              <w:ind w:left="108"/>
              <w:jc w:val="center"/>
              <w:rPr>
                <w:rFonts w:cs="Arial"/>
                <w:b/>
                <w:sz w:val="22"/>
                <w:szCs w:val="22"/>
              </w:rPr>
            </w:pPr>
            <w:r>
              <w:rPr>
                <w:rFonts w:cs="Arial"/>
                <w:b/>
                <w:sz w:val="22"/>
                <w:szCs w:val="22"/>
              </w:rPr>
              <w:t>4</w:t>
            </w:r>
            <w:r w:rsidR="003F3016">
              <w:rPr>
                <w:rFonts w:cs="Arial"/>
                <w:b/>
                <w:sz w:val="22"/>
                <w:szCs w:val="22"/>
              </w:rPr>
              <w:t>72.</w:t>
            </w:r>
            <w:r w:rsidR="00287AD9">
              <w:rPr>
                <w:rFonts w:cs="Arial"/>
                <w:b/>
                <w:sz w:val="22"/>
                <w:szCs w:val="22"/>
              </w:rPr>
              <w:t>8</w:t>
            </w:r>
          </w:p>
        </w:tc>
        <w:tc>
          <w:tcPr>
            <w:tcW w:w="1134" w:type="dxa"/>
            <w:tcBorders>
              <w:top w:val="nil"/>
            </w:tcBorders>
            <w:vAlign w:val="center"/>
          </w:tcPr>
          <w:p w14:paraId="7F8CAD3F" w14:textId="5AA6E7BB" w:rsidR="005102B3" w:rsidRPr="007C1B9A" w:rsidRDefault="00432F38" w:rsidP="005F47B1">
            <w:pPr>
              <w:ind w:left="108"/>
              <w:jc w:val="center"/>
              <w:rPr>
                <w:rFonts w:cs="Arial"/>
                <w:b/>
                <w:sz w:val="22"/>
                <w:szCs w:val="22"/>
              </w:rPr>
            </w:pPr>
            <w:r>
              <w:rPr>
                <w:rFonts w:cs="Arial"/>
                <w:b/>
                <w:sz w:val="22"/>
                <w:szCs w:val="22"/>
              </w:rPr>
              <w:t>4</w:t>
            </w:r>
            <w:r w:rsidR="003F3016">
              <w:rPr>
                <w:rFonts w:cs="Arial"/>
                <w:b/>
                <w:sz w:val="22"/>
                <w:szCs w:val="22"/>
              </w:rPr>
              <w:t>87.1</w:t>
            </w:r>
          </w:p>
        </w:tc>
        <w:tc>
          <w:tcPr>
            <w:tcW w:w="1134" w:type="dxa"/>
            <w:tcBorders>
              <w:top w:val="nil"/>
            </w:tcBorders>
            <w:vAlign w:val="center"/>
          </w:tcPr>
          <w:p w14:paraId="52DF3555" w14:textId="4582FFA2" w:rsidR="005102B3" w:rsidRPr="007C1B9A" w:rsidRDefault="00432F38" w:rsidP="000A756B">
            <w:pPr>
              <w:tabs>
                <w:tab w:val="right" w:pos="702"/>
              </w:tabs>
              <w:ind w:left="108"/>
              <w:jc w:val="center"/>
              <w:rPr>
                <w:rFonts w:cs="Arial"/>
                <w:b/>
                <w:sz w:val="22"/>
                <w:szCs w:val="22"/>
              </w:rPr>
            </w:pPr>
            <w:r>
              <w:rPr>
                <w:rFonts w:cs="Arial"/>
                <w:b/>
                <w:sz w:val="22"/>
                <w:szCs w:val="22"/>
              </w:rPr>
              <w:t>5</w:t>
            </w:r>
            <w:r w:rsidR="003F3016">
              <w:rPr>
                <w:rFonts w:cs="Arial"/>
                <w:b/>
                <w:sz w:val="22"/>
                <w:szCs w:val="22"/>
              </w:rPr>
              <w:t>13.8</w:t>
            </w:r>
          </w:p>
        </w:tc>
        <w:tc>
          <w:tcPr>
            <w:tcW w:w="1134" w:type="dxa"/>
            <w:tcBorders>
              <w:top w:val="nil"/>
            </w:tcBorders>
            <w:vAlign w:val="center"/>
          </w:tcPr>
          <w:p w14:paraId="580DEA00" w14:textId="33163AF2" w:rsidR="005102B3" w:rsidRPr="007C1B9A" w:rsidRDefault="00432F38" w:rsidP="000A756B">
            <w:pPr>
              <w:ind w:left="108"/>
              <w:jc w:val="center"/>
              <w:rPr>
                <w:rFonts w:cs="Arial"/>
                <w:b/>
                <w:sz w:val="22"/>
                <w:szCs w:val="22"/>
              </w:rPr>
            </w:pPr>
            <w:r>
              <w:rPr>
                <w:rFonts w:cs="Arial"/>
                <w:b/>
                <w:sz w:val="22"/>
                <w:szCs w:val="22"/>
              </w:rPr>
              <w:t>5</w:t>
            </w:r>
            <w:r w:rsidR="003F3016">
              <w:rPr>
                <w:rFonts w:cs="Arial"/>
                <w:b/>
                <w:sz w:val="22"/>
                <w:szCs w:val="22"/>
              </w:rPr>
              <w:t>10.9</w:t>
            </w:r>
          </w:p>
        </w:tc>
        <w:tc>
          <w:tcPr>
            <w:tcW w:w="1134" w:type="dxa"/>
            <w:tcBorders>
              <w:top w:val="nil"/>
            </w:tcBorders>
            <w:vAlign w:val="center"/>
          </w:tcPr>
          <w:p w14:paraId="28D6DFF6" w14:textId="4B70E82F" w:rsidR="005102B3" w:rsidRPr="007C1B9A" w:rsidRDefault="003F79EF" w:rsidP="000A756B">
            <w:pPr>
              <w:ind w:left="108"/>
              <w:jc w:val="center"/>
              <w:rPr>
                <w:rFonts w:cs="Arial"/>
                <w:b/>
                <w:sz w:val="22"/>
                <w:szCs w:val="22"/>
              </w:rPr>
            </w:pPr>
            <w:r>
              <w:rPr>
                <w:rFonts w:cs="Arial"/>
                <w:b/>
                <w:sz w:val="22"/>
                <w:szCs w:val="22"/>
              </w:rPr>
              <w:t>496.7</w:t>
            </w:r>
          </w:p>
        </w:tc>
        <w:tc>
          <w:tcPr>
            <w:tcW w:w="1134" w:type="dxa"/>
            <w:tcBorders>
              <w:top w:val="nil"/>
            </w:tcBorders>
            <w:vAlign w:val="center"/>
          </w:tcPr>
          <w:p w14:paraId="565AB1AA" w14:textId="4D90B9E9" w:rsidR="005102B3" w:rsidRPr="007C1B9A" w:rsidRDefault="00432F38" w:rsidP="000A756B">
            <w:pPr>
              <w:ind w:left="108"/>
              <w:jc w:val="center"/>
              <w:rPr>
                <w:rFonts w:cs="Arial"/>
                <w:b/>
                <w:sz w:val="22"/>
                <w:szCs w:val="22"/>
              </w:rPr>
            </w:pPr>
            <w:r>
              <w:rPr>
                <w:rFonts w:cs="Arial"/>
                <w:b/>
                <w:sz w:val="22"/>
                <w:szCs w:val="22"/>
              </w:rPr>
              <w:t>48</w:t>
            </w:r>
            <w:r w:rsidR="003F79EF">
              <w:rPr>
                <w:rFonts w:cs="Arial"/>
                <w:b/>
                <w:sz w:val="22"/>
                <w:szCs w:val="22"/>
              </w:rPr>
              <w:t>7.2</w:t>
            </w:r>
          </w:p>
        </w:tc>
      </w:tr>
    </w:tbl>
    <w:p w14:paraId="79B9B9F3" w14:textId="77777777" w:rsidR="001A4258" w:rsidRPr="007C1B9A" w:rsidRDefault="001A4258" w:rsidP="00E26EB6">
      <w:pPr>
        <w:ind w:left="1134"/>
        <w:rPr>
          <w:rFonts w:cs="Arial"/>
          <w:bCs/>
          <w:noProof/>
          <w:color w:val="993366"/>
          <w:sz w:val="22"/>
          <w:szCs w:val="22"/>
        </w:rPr>
      </w:pPr>
    </w:p>
    <w:p w14:paraId="651F8F98" w14:textId="36C6F93E" w:rsidR="00F84D9C" w:rsidRPr="007C1B9A" w:rsidRDefault="00531A41" w:rsidP="005B34C4">
      <w:pPr>
        <w:numPr>
          <w:ilvl w:val="3"/>
          <w:numId w:val="20"/>
        </w:numPr>
        <w:tabs>
          <w:tab w:val="num" w:pos="1440"/>
        </w:tabs>
        <w:ind w:hanging="567"/>
        <w:rPr>
          <w:rFonts w:ascii="Calibri" w:hAnsi="Calibri" w:cs="Arial"/>
          <w:bCs/>
          <w:noProof/>
          <w:color w:val="993366"/>
          <w:sz w:val="36"/>
          <w:szCs w:val="36"/>
        </w:rPr>
      </w:pPr>
      <w:r w:rsidRPr="007C1B9A">
        <w:rPr>
          <w:sz w:val="22"/>
          <w:szCs w:val="22"/>
        </w:rPr>
        <w:t>The</w:t>
      </w:r>
      <w:r w:rsidR="00F84D9C" w:rsidRPr="007C1B9A">
        <w:rPr>
          <w:sz w:val="22"/>
          <w:szCs w:val="22"/>
        </w:rPr>
        <w:t xml:space="preserve"> chart </w:t>
      </w:r>
      <w:r w:rsidRPr="007C1B9A">
        <w:rPr>
          <w:sz w:val="22"/>
          <w:szCs w:val="22"/>
        </w:rPr>
        <w:t xml:space="preserve">on the </w:t>
      </w:r>
      <w:r w:rsidR="00443AB7" w:rsidRPr="007C1B9A">
        <w:rPr>
          <w:sz w:val="22"/>
          <w:szCs w:val="22"/>
        </w:rPr>
        <w:t>below</w:t>
      </w:r>
      <w:r w:rsidRPr="007C1B9A">
        <w:rPr>
          <w:sz w:val="22"/>
          <w:szCs w:val="22"/>
        </w:rPr>
        <w:t xml:space="preserve"> </w:t>
      </w:r>
      <w:r w:rsidR="00F84D9C" w:rsidRPr="007C1B9A">
        <w:rPr>
          <w:sz w:val="22"/>
          <w:szCs w:val="22"/>
        </w:rPr>
        <w:t xml:space="preserve">shows how the current and projected </w:t>
      </w:r>
      <w:r w:rsidR="001A4258" w:rsidRPr="007C1B9A">
        <w:rPr>
          <w:sz w:val="22"/>
          <w:szCs w:val="22"/>
        </w:rPr>
        <w:t xml:space="preserve">Capital Financing Requirement </w:t>
      </w:r>
      <w:r w:rsidR="003F79EF">
        <w:rPr>
          <w:sz w:val="22"/>
          <w:szCs w:val="22"/>
        </w:rPr>
        <w:t xml:space="preserve">(PI-2) </w:t>
      </w:r>
      <w:r w:rsidR="001A4258" w:rsidRPr="007C1B9A">
        <w:rPr>
          <w:sz w:val="22"/>
          <w:szCs w:val="22"/>
        </w:rPr>
        <w:t xml:space="preserve">compares </w:t>
      </w:r>
      <w:r w:rsidR="00FD1E40" w:rsidRPr="007C1B9A">
        <w:rPr>
          <w:sz w:val="22"/>
          <w:szCs w:val="22"/>
        </w:rPr>
        <w:t xml:space="preserve">to </w:t>
      </w:r>
      <w:r w:rsidR="001A4258" w:rsidRPr="007C1B9A">
        <w:rPr>
          <w:sz w:val="22"/>
          <w:szCs w:val="22"/>
        </w:rPr>
        <w:t>the Authorised Limit for External Debt</w:t>
      </w:r>
      <w:r w:rsidR="00E46435">
        <w:rPr>
          <w:sz w:val="22"/>
          <w:szCs w:val="22"/>
        </w:rPr>
        <w:t xml:space="preserve"> (PI – 8a)</w:t>
      </w:r>
      <w:r w:rsidR="007C1B9A" w:rsidRPr="007C1B9A">
        <w:rPr>
          <w:sz w:val="22"/>
          <w:szCs w:val="22"/>
        </w:rPr>
        <w:t>.</w:t>
      </w:r>
    </w:p>
    <w:p w14:paraId="06D49EDA" w14:textId="77777777" w:rsidR="00E54149" w:rsidRPr="007C1B9A" w:rsidRDefault="00E54149" w:rsidP="00E54149">
      <w:pPr>
        <w:tabs>
          <w:tab w:val="num" w:pos="1440"/>
        </w:tabs>
        <w:ind w:left="108"/>
        <w:rPr>
          <w:rFonts w:ascii="Calibri" w:hAnsi="Calibri" w:cs="Arial"/>
          <w:bCs/>
          <w:noProof/>
          <w:color w:val="993366"/>
          <w:sz w:val="16"/>
          <w:szCs w:val="16"/>
        </w:rPr>
      </w:pPr>
    </w:p>
    <w:p w14:paraId="25DEC280" w14:textId="752006CB" w:rsidR="00214596" w:rsidRPr="00D26131" w:rsidRDefault="003F79EF" w:rsidP="00E54149">
      <w:pPr>
        <w:tabs>
          <w:tab w:val="num" w:pos="1440"/>
        </w:tabs>
        <w:ind w:left="108"/>
        <w:rPr>
          <w:rFonts w:ascii="Calibri" w:hAnsi="Calibri" w:cs="Arial"/>
          <w:bCs/>
          <w:noProof/>
          <w:color w:val="993366"/>
          <w:sz w:val="22"/>
          <w:szCs w:val="22"/>
          <w:highlight w:val="yellow"/>
        </w:rPr>
      </w:pPr>
      <w:r>
        <w:rPr>
          <w:noProof/>
        </w:rPr>
        <w:drawing>
          <wp:inline distT="0" distB="0" distL="0" distR="0" wp14:anchorId="68B19A79" wp14:editId="6CC1FE6E">
            <wp:extent cx="6480175" cy="3010535"/>
            <wp:effectExtent l="0" t="0" r="15875" b="18415"/>
            <wp:docPr id="1454775203" name="Chart 1">
              <a:extLst xmlns:a="http://schemas.openxmlformats.org/drawingml/2006/main">
                <a:ext uri="{FF2B5EF4-FFF2-40B4-BE49-F238E27FC236}">
                  <a16:creationId xmlns:a16="http://schemas.microsoft.com/office/drawing/2014/main" id="{00000000-0008-0000-1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D86FE7" w14:textId="77777777" w:rsidR="002A3DE3" w:rsidRDefault="00424CA2" w:rsidP="00E54149">
      <w:pPr>
        <w:ind w:left="108"/>
        <w:rPr>
          <w:noProof/>
          <w:lang w:eastAsia="en-GB"/>
        </w:rPr>
      </w:pPr>
      <w:r w:rsidRPr="00BA7339">
        <w:rPr>
          <w:noProof/>
          <w:lang w:eastAsia="en-GB"/>
        </w:rPr>
        <w:tab/>
      </w:r>
    </w:p>
    <w:p w14:paraId="2755AA57" w14:textId="77777777" w:rsidR="003F79EF" w:rsidRDefault="003F79EF" w:rsidP="00E54149">
      <w:pPr>
        <w:ind w:left="108"/>
        <w:rPr>
          <w:noProof/>
          <w:lang w:eastAsia="en-GB"/>
        </w:rPr>
      </w:pPr>
    </w:p>
    <w:p w14:paraId="1BFC4086" w14:textId="77777777" w:rsidR="003F79EF" w:rsidRDefault="003F79EF" w:rsidP="00E54149">
      <w:pPr>
        <w:ind w:left="108"/>
        <w:rPr>
          <w:noProof/>
          <w:lang w:eastAsia="en-GB"/>
        </w:rPr>
      </w:pPr>
    </w:p>
    <w:p w14:paraId="4AEDB631" w14:textId="77777777" w:rsidR="003F79EF" w:rsidRDefault="003F79EF" w:rsidP="00E54149">
      <w:pPr>
        <w:ind w:left="108"/>
        <w:rPr>
          <w:noProof/>
          <w:lang w:eastAsia="en-GB"/>
        </w:rPr>
      </w:pPr>
    </w:p>
    <w:p w14:paraId="0D3F09B6" w14:textId="77777777" w:rsidR="003F79EF" w:rsidRDefault="003F79EF" w:rsidP="00E54149">
      <w:pPr>
        <w:ind w:left="108"/>
        <w:rPr>
          <w:noProof/>
          <w:lang w:eastAsia="en-GB"/>
        </w:rPr>
      </w:pPr>
    </w:p>
    <w:p w14:paraId="11939E6F" w14:textId="77777777" w:rsidR="003F79EF" w:rsidRDefault="003F79EF" w:rsidP="00E54149">
      <w:pPr>
        <w:ind w:left="108"/>
        <w:rPr>
          <w:noProof/>
          <w:lang w:eastAsia="en-GB"/>
        </w:rPr>
      </w:pPr>
    </w:p>
    <w:p w14:paraId="7A23D776" w14:textId="77777777" w:rsidR="003F79EF" w:rsidRDefault="003F79EF" w:rsidP="00E54149">
      <w:pPr>
        <w:ind w:left="108"/>
        <w:rPr>
          <w:noProof/>
          <w:lang w:eastAsia="en-GB"/>
        </w:rPr>
      </w:pPr>
    </w:p>
    <w:p w14:paraId="45B52164" w14:textId="77777777" w:rsidR="003F79EF" w:rsidRDefault="003F79EF" w:rsidP="00E54149">
      <w:pPr>
        <w:ind w:left="108"/>
        <w:rPr>
          <w:noProof/>
          <w:lang w:eastAsia="en-GB"/>
        </w:rPr>
      </w:pPr>
    </w:p>
    <w:p w14:paraId="2865975B" w14:textId="77777777" w:rsidR="003F79EF" w:rsidRDefault="003F79EF" w:rsidP="00E54149">
      <w:pPr>
        <w:ind w:left="108"/>
        <w:rPr>
          <w:noProof/>
          <w:lang w:eastAsia="en-GB"/>
        </w:rPr>
      </w:pPr>
    </w:p>
    <w:p w14:paraId="42864EF6" w14:textId="77777777" w:rsidR="003F79EF" w:rsidRDefault="003F79EF" w:rsidP="00E54149">
      <w:pPr>
        <w:ind w:left="108"/>
        <w:rPr>
          <w:noProof/>
          <w:lang w:eastAsia="en-GB"/>
        </w:rPr>
      </w:pPr>
    </w:p>
    <w:p w14:paraId="71CAA243" w14:textId="77777777" w:rsidR="003F79EF" w:rsidRDefault="003F79EF" w:rsidP="00E54149">
      <w:pPr>
        <w:ind w:left="108"/>
        <w:rPr>
          <w:noProof/>
          <w:lang w:eastAsia="en-GB"/>
        </w:rPr>
      </w:pPr>
    </w:p>
    <w:p w14:paraId="29628BB4" w14:textId="77777777" w:rsidR="003F79EF" w:rsidRDefault="003F79EF" w:rsidP="00E54149">
      <w:pPr>
        <w:ind w:left="108"/>
        <w:rPr>
          <w:noProof/>
          <w:lang w:eastAsia="en-GB"/>
        </w:rPr>
      </w:pPr>
    </w:p>
    <w:p w14:paraId="50DE4CA8" w14:textId="77777777" w:rsidR="003F79EF" w:rsidRDefault="003F79EF" w:rsidP="00E54149">
      <w:pPr>
        <w:ind w:left="108"/>
        <w:rPr>
          <w:noProof/>
          <w:lang w:eastAsia="en-GB"/>
        </w:rPr>
      </w:pPr>
    </w:p>
    <w:p w14:paraId="6C548485" w14:textId="77777777" w:rsidR="003F79EF" w:rsidRDefault="003F79EF" w:rsidP="00E54149">
      <w:pPr>
        <w:ind w:left="108"/>
        <w:rPr>
          <w:noProof/>
          <w:lang w:eastAsia="en-GB"/>
        </w:rPr>
      </w:pPr>
    </w:p>
    <w:p w14:paraId="4643FC35" w14:textId="77777777" w:rsidR="003F79EF" w:rsidRDefault="003F79EF" w:rsidP="00E54149">
      <w:pPr>
        <w:ind w:left="108"/>
        <w:rPr>
          <w:noProof/>
          <w:lang w:eastAsia="en-GB"/>
        </w:rPr>
      </w:pPr>
    </w:p>
    <w:p w14:paraId="65785005" w14:textId="77777777" w:rsidR="003F79EF" w:rsidRPr="00BA7339" w:rsidRDefault="003F79EF" w:rsidP="00E54149">
      <w:pPr>
        <w:ind w:left="108"/>
        <w:rPr>
          <w:rFonts w:ascii="Calibri" w:hAnsi="Calibri" w:cs="Arial"/>
          <w:bCs/>
          <w:noProof/>
          <w:color w:val="993366"/>
          <w:sz w:val="22"/>
          <w:szCs w:val="22"/>
        </w:rPr>
      </w:pPr>
    </w:p>
    <w:p w14:paraId="2349F518" w14:textId="356B30E4" w:rsidR="00062BC5" w:rsidRPr="0047280A" w:rsidRDefault="00062BC5" w:rsidP="005B34C4">
      <w:pPr>
        <w:numPr>
          <w:ilvl w:val="1"/>
          <w:numId w:val="20"/>
        </w:numPr>
        <w:tabs>
          <w:tab w:val="clear" w:pos="1080"/>
        </w:tabs>
        <w:ind w:left="540" w:hanging="540"/>
        <w:rPr>
          <w:rFonts w:cs="Arial"/>
          <w:b/>
          <w:bCs/>
          <w:noProof/>
          <w:color w:val="993366"/>
          <w:sz w:val="24"/>
          <w:szCs w:val="24"/>
        </w:rPr>
      </w:pPr>
      <w:r w:rsidRPr="0017034E">
        <w:rPr>
          <w:b/>
          <w:bCs/>
          <w:noProof/>
          <w:color w:val="993366"/>
          <w:sz w:val="24"/>
          <w:szCs w:val="24"/>
        </w:rPr>
        <w:t xml:space="preserve">Prospects for Interest Rates </w:t>
      </w:r>
    </w:p>
    <w:p w14:paraId="6C3F6621" w14:textId="77777777" w:rsidR="0047280A" w:rsidRPr="0017034E" w:rsidRDefault="0047280A" w:rsidP="0047280A">
      <w:pPr>
        <w:ind w:left="540"/>
        <w:rPr>
          <w:rFonts w:cs="Arial"/>
          <w:b/>
          <w:bCs/>
          <w:noProof/>
          <w:color w:val="993366"/>
          <w:sz w:val="24"/>
          <w:szCs w:val="24"/>
        </w:rPr>
      </w:pPr>
    </w:p>
    <w:p w14:paraId="792C42C9" w14:textId="77777777" w:rsidR="00400EE6" w:rsidRPr="00400EE6" w:rsidRDefault="00062BC5" w:rsidP="005B34C4">
      <w:pPr>
        <w:numPr>
          <w:ilvl w:val="2"/>
          <w:numId w:val="20"/>
        </w:numPr>
        <w:rPr>
          <w:noProof/>
          <w:sz w:val="22"/>
          <w:szCs w:val="22"/>
        </w:rPr>
      </w:pPr>
      <w:r w:rsidRPr="0017034E">
        <w:rPr>
          <w:noProof/>
          <w:sz w:val="22"/>
          <w:szCs w:val="22"/>
        </w:rPr>
        <w:t xml:space="preserve">The </w:t>
      </w:r>
      <w:r w:rsidR="00773DA1" w:rsidRPr="0017034E">
        <w:rPr>
          <w:rFonts w:cs="Arial"/>
          <w:sz w:val="22"/>
          <w:szCs w:val="22"/>
        </w:rPr>
        <w:t xml:space="preserve">Council has appointed Link </w:t>
      </w:r>
      <w:r w:rsidR="00FD1E40" w:rsidRPr="0017034E">
        <w:rPr>
          <w:rFonts w:cs="Arial"/>
          <w:sz w:val="22"/>
          <w:szCs w:val="22"/>
        </w:rPr>
        <w:t>Group</w:t>
      </w:r>
      <w:r w:rsidR="00773DA1" w:rsidRPr="0017034E">
        <w:rPr>
          <w:rFonts w:cs="Arial"/>
          <w:sz w:val="22"/>
          <w:szCs w:val="22"/>
        </w:rPr>
        <w:t xml:space="preserve"> as its treasury advisor and part of their service is to assist the Council to formulate a view on interest rates.  </w:t>
      </w:r>
    </w:p>
    <w:p w14:paraId="28B1A905" w14:textId="77777777" w:rsidR="00400EE6" w:rsidRDefault="00400EE6" w:rsidP="00400EE6">
      <w:pPr>
        <w:ind w:left="567"/>
        <w:rPr>
          <w:noProof/>
          <w:sz w:val="22"/>
          <w:szCs w:val="22"/>
        </w:rPr>
      </w:pPr>
    </w:p>
    <w:p w14:paraId="6CC69360" w14:textId="77777777" w:rsidR="002B4C6C" w:rsidRDefault="00FD1E40" w:rsidP="00400EE6">
      <w:pPr>
        <w:ind w:left="567"/>
        <w:rPr>
          <w:rFonts w:eastAsia="Calibri" w:cs="Arial"/>
          <w:spacing w:val="0"/>
          <w:sz w:val="22"/>
          <w:szCs w:val="22"/>
          <w:lang w:val="en-AU"/>
        </w:rPr>
      </w:pPr>
      <w:r w:rsidRPr="00400EE6">
        <w:rPr>
          <w:rFonts w:eastAsia="Calibri" w:cs="Arial"/>
          <w:spacing w:val="0"/>
          <w:sz w:val="22"/>
          <w:szCs w:val="22"/>
          <w:lang w:val="en-AU"/>
        </w:rPr>
        <w:t>Link provi</w:t>
      </w:r>
      <w:r w:rsidR="00681C02" w:rsidRPr="00400EE6">
        <w:rPr>
          <w:rFonts w:eastAsia="Calibri" w:cs="Arial"/>
          <w:spacing w:val="0"/>
          <w:sz w:val="22"/>
          <w:szCs w:val="22"/>
          <w:lang w:val="en-AU"/>
        </w:rPr>
        <w:t>d</w:t>
      </w:r>
      <w:r w:rsidR="004B50B8" w:rsidRPr="00400EE6">
        <w:rPr>
          <w:rFonts w:eastAsia="Calibri" w:cs="Arial"/>
          <w:spacing w:val="0"/>
          <w:sz w:val="22"/>
          <w:szCs w:val="22"/>
          <w:lang w:val="en-AU"/>
        </w:rPr>
        <w:t xml:space="preserve">ed the following forecasts </w:t>
      </w:r>
      <w:r w:rsidR="00400EE6">
        <w:rPr>
          <w:rFonts w:eastAsia="Calibri" w:cs="Arial"/>
          <w:spacing w:val="0"/>
          <w:sz w:val="22"/>
          <w:szCs w:val="22"/>
          <w:lang w:val="en-AU"/>
        </w:rPr>
        <w:t xml:space="preserve">and associated commentary </w:t>
      </w:r>
      <w:r w:rsidR="004B50B8" w:rsidRPr="00400EE6">
        <w:rPr>
          <w:rFonts w:eastAsia="Calibri" w:cs="Arial"/>
          <w:spacing w:val="0"/>
          <w:sz w:val="22"/>
          <w:szCs w:val="22"/>
          <w:lang w:val="en-AU"/>
        </w:rPr>
        <w:t xml:space="preserve">on </w:t>
      </w:r>
      <w:r w:rsidR="00821701" w:rsidRPr="00400EE6">
        <w:rPr>
          <w:rFonts w:eastAsia="Calibri" w:cs="Arial"/>
          <w:spacing w:val="0"/>
          <w:sz w:val="22"/>
          <w:szCs w:val="22"/>
          <w:lang w:val="en-AU"/>
        </w:rPr>
        <w:t>8</w:t>
      </w:r>
      <w:r w:rsidR="00821701" w:rsidRPr="00400EE6">
        <w:rPr>
          <w:rFonts w:eastAsia="Calibri" w:cs="Arial"/>
          <w:spacing w:val="0"/>
          <w:sz w:val="22"/>
          <w:szCs w:val="22"/>
          <w:vertAlign w:val="superscript"/>
          <w:lang w:val="en-AU"/>
        </w:rPr>
        <w:t>th</w:t>
      </w:r>
      <w:r w:rsidR="00821701" w:rsidRPr="00400EE6">
        <w:rPr>
          <w:rFonts w:eastAsia="Calibri" w:cs="Arial"/>
          <w:spacing w:val="0"/>
          <w:sz w:val="22"/>
          <w:szCs w:val="22"/>
          <w:lang w:val="en-AU"/>
        </w:rPr>
        <w:t xml:space="preserve"> January 2024</w:t>
      </w:r>
      <w:r w:rsidR="00681C02" w:rsidRPr="00400EE6">
        <w:rPr>
          <w:rFonts w:eastAsia="Calibri" w:cs="Arial"/>
          <w:spacing w:val="0"/>
          <w:sz w:val="22"/>
          <w:szCs w:val="22"/>
          <w:lang w:val="en-AU"/>
        </w:rPr>
        <w:t xml:space="preserve">. </w:t>
      </w:r>
    </w:p>
    <w:p w14:paraId="3028C0D9" w14:textId="77777777" w:rsidR="002B4C6C" w:rsidRDefault="002B4C6C" w:rsidP="00400EE6">
      <w:pPr>
        <w:ind w:left="567"/>
        <w:rPr>
          <w:rFonts w:eastAsia="Calibri" w:cs="Arial"/>
          <w:spacing w:val="0"/>
          <w:sz w:val="22"/>
          <w:szCs w:val="22"/>
          <w:lang w:val="en-AU"/>
        </w:rPr>
      </w:pPr>
    </w:p>
    <w:p w14:paraId="674C5D14" w14:textId="1910AF7B" w:rsidR="00B76C02" w:rsidRPr="00400EE6" w:rsidRDefault="00681C02" w:rsidP="00400EE6">
      <w:pPr>
        <w:ind w:left="567"/>
        <w:rPr>
          <w:noProof/>
          <w:sz w:val="22"/>
          <w:szCs w:val="22"/>
        </w:rPr>
      </w:pPr>
      <w:r w:rsidRPr="00400EE6">
        <w:rPr>
          <w:rFonts w:eastAsia="Calibri" w:cs="Arial"/>
          <w:spacing w:val="0"/>
          <w:sz w:val="22"/>
          <w:szCs w:val="22"/>
          <w:lang w:val="en-AU"/>
        </w:rPr>
        <w:t>T</w:t>
      </w:r>
      <w:r w:rsidR="00FD1E40" w:rsidRPr="00400EE6">
        <w:rPr>
          <w:rFonts w:eastAsia="Calibri" w:cs="Arial"/>
          <w:spacing w:val="0"/>
          <w:sz w:val="22"/>
          <w:szCs w:val="22"/>
          <w:lang w:val="en-AU"/>
        </w:rPr>
        <w:t xml:space="preserve">hese are forecasts for certainty rates </w:t>
      </w:r>
      <w:r w:rsidR="00400EE6" w:rsidRPr="00400EE6">
        <w:rPr>
          <w:rFonts w:eastAsia="Calibri" w:cs="Arial"/>
          <w:spacing w:val="0"/>
          <w:sz w:val="22"/>
          <w:szCs w:val="22"/>
          <w:lang w:val="en-AU"/>
        </w:rPr>
        <w:t>(</w:t>
      </w:r>
      <w:r w:rsidR="00FD1E40" w:rsidRPr="00400EE6">
        <w:rPr>
          <w:rFonts w:eastAsia="Calibri" w:cs="Arial"/>
          <w:spacing w:val="0"/>
          <w:sz w:val="22"/>
          <w:szCs w:val="22"/>
          <w:lang w:val="en-AU"/>
        </w:rPr>
        <w:t>gilt yields plus 80bps</w:t>
      </w:r>
      <w:r w:rsidR="00400EE6" w:rsidRPr="00400EE6">
        <w:rPr>
          <w:rFonts w:eastAsia="Calibri" w:cs="Arial"/>
          <w:spacing w:val="0"/>
          <w:sz w:val="22"/>
          <w:szCs w:val="22"/>
          <w:lang w:val="en-AU"/>
        </w:rPr>
        <w:t>)</w:t>
      </w:r>
      <w:r w:rsidR="00FD1E40" w:rsidRPr="00400EE6">
        <w:rPr>
          <w:rFonts w:eastAsia="Calibri" w:cs="Arial"/>
          <w:spacing w:val="0"/>
          <w:sz w:val="22"/>
          <w:szCs w:val="22"/>
          <w:lang w:val="en-AU"/>
        </w:rPr>
        <w:t>:</w:t>
      </w:r>
      <w:r w:rsidR="00801A69" w:rsidRPr="00400EE6">
        <w:rPr>
          <w:rFonts w:eastAsia="Calibri" w:cs="Arial"/>
          <w:spacing w:val="0"/>
          <w:sz w:val="22"/>
          <w:szCs w:val="22"/>
          <w:lang w:val="en-AU"/>
        </w:rPr>
        <w:t xml:space="preserve"> </w:t>
      </w:r>
    </w:p>
    <w:p w14:paraId="779BAD6A" w14:textId="77777777" w:rsidR="00FD1E40" w:rsidRPr="00D26131" w:rsidRDefault="00FD1E40" w:rsidP="00FD1E40">
      <w:pPr>
        <w:ind w:left="567"/>
        <w:rPr>
          <w:noProof/>
          <w:sz w:val="22"/>
          <w:szCs w:val="22"/>
          <w:highlight w:val="yellow"/>
        </w:rPr>
      </w:pPr>
    </w:p>
    <w:p w14:paraId="2A58C3F4" w14:textId="53EBC9C0" w:rsidR="003B4765" w:rsidRPr="00D26131" w:rsidRDefault="00821701" w:rsidP="00B76C02">
      <w:pPr>
        <w:ind w:left="567"/>
        <w:rPr>
          <w:rFonts w:cs="Arial"/>
          <w:b/>
          <w:bCs/>
          <w:noProof/>
          <w:color w:val="993366"/>
          <w:sz w:val="22"/>
          <w:szCs w:val="22"/>
          <w:highlight w:val="yellow"/>
        </w:rPr>
      </w:pPr>
      <w:r w:rsidRPr="00742605">
        <w:rPr>
          <w:noProof/>
        </w:rPr>
        <w:drawing>
          <wp:inline distT="0" distB="0" distL="0" distR="0" wp14:anchorId="320875B7" wp14:editId="35FB227D">
            <wp:extent cx="6048375" cy="11036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595" cy="1104035"/>
                    </a:xfrm>
                    <a:prstGeom prst="rect">
                      <a:avLst/>
                    </a:prstGeom>
                    <a:noFill/>
                    <a:ln>
                      <a:noFill/>
                    </a:ln>
                  </pic:spPr>
                </pic:pic>
              </a:graphicData>
            </a:graphic>
          </wp:inline>
        </w:drawing>
      </w:r>
    </w:p>
    <w:p w14:paraId="14A1F65A" w14:textId="77777777" w:rsidR="00801A69" w:rsidRDefault="00801A69" w:rsidP="00681C02">
      <w:pPr>
        <w:ind w:left="567"/>
        <w:jc w:val="both"/>
        <w:rPr>
          <w:rFonts w:eastAsia="Calibri" w:cs="Arial"/>
          <w:i/>
          <w:spacing w:val="0"/>
          <w:sz w:val="22"/>
          <w:szCs w:val="22"/>
          <w:highlight w:val="yellow"/>
          <w:lang w:val="en-AU" w:eastAsia="en-GB"/>
        </w:rPr>
      </w:pPr>
    </w:p>
    <w:p w14:paraId="23F1AA2F" w14:textId="77777777" w:rsidR="00821701" w:rsidRDefault="00801A69" w:rsidP="00821701">
      <w:pPr>
        <w:ind w:firstLine="567"/>
        <w:jc w:val="both"/>
        <w:rPr>
          <w:rFonts w:eastAsia="Calibri" w:cs="Arial"/>
          <w:i/>
          <w:spacing w:val="0"/>
          <w:sz w:val="22"/>
          <w:szCs w:val="22"/>
          <w:lang w:eastAsia="en-GB"/>
        </w:rPr>
      </w:pPr>
      <w:r w:rsidRPr="00D07ABD">
        <w:rPr>
          <w:rFonts w:eastAsia="Calibri" w:cs="Arial"/>
          <w:i/>
          <w:spacing w:val="0"/>
          <w:sz w:val="22"/>
          <w:szCs w:val="22"/>
          <w:lang w:val="en-AU" w:eastAsia="en-GB"/>
        </w:rPr>
        <w:t>Additional notes by Link on this forecast table: -</w:t>
      </w:r>
    </w:p>
    <w:p w14:paraId="64D07060" w14:textId="77777777" w:rsidR="00821701" w:rsidRDefault="00821701" w:rsidP="00821701">
      <w:pPr>
        <w:ind w:firstLine="567"/>
        <w:jc w:val="both"/>
        <w:rPr>
          <w:rFonts w:eastAsia="Calibri" w:cs="Arial"/>
          <w:i/>
          <w:spacing w:val="0"/>
          <w:sz w:val="22"/>
          <w:szCs w:val="22"/>
          <w:lang w:eastAsia="en-GB"/>
        </w:rPr>
      </w:pPr>
    </w:p>
    <w:p w14:paraId="29A0FB93" w14:textId="4F630971" w:rsidR="00801A69" w:rsidRPr="00821701" w:rsidRDefault="00821701" w:rsidP="00821701">
      <w:pPr>
        <w:ind w:left="567"/>
        <w:rPr>
          <w:rFonts w:eastAsia="Calibri" w:cs="Arial"/>
          <w:i/>
          <w:spacing w:val="0"/>
          <w:sz w:val="22"/>
          <w:szCs w:val="22"/>
          <w:lang w:eastAsia="en-GB"/>
        </w:rPr>
      </w:pPr>
      <w:r w:rsidRPr="00821701">
        <w:rPr>
          <w:rFonts w:cs="Arial"/>
          <w:color w:val="000000"/>
          <w:spacing w:val="0"/>
          <w:sz w:val="22"/>
          <w:szCs w:val="22"/>
          <w:lang w:val="en-AU"/>
        </w:rPr>
        <w:t xml:space="preserve">Our central forecast for interest rates was previously updated on 7 November and reflected a view that the </w:t>
      </w:r>
      <w:r w:rsidR="00400EE6">
        <w:rPr>
          <w:rFonts w:cs="Arial"/>
          <w:color w:val="000000"/>
          <w:spacing w:val="0"/>
          <w:sz w:val="22"/>
          <w:szCs w:val="22"/>
          <w:lang w:val="en-AU"/>
        </w:rPr>
        <w:t>Monetary Policy Committee (</w:t>
      </w:r>
      <w:r w:rsidRPr="00821701">
        <w:rPr>
          <w:rFonts w:cs="Arial"/>
          <w:color w:val="000000"/>
          <w:spacing w:val="0"/>
          <w:sz w:val="22"/>
          <w:szCs w:val="22"/>
          <w:lang w:val="en-AU"/>
        </w:rPr>
        <w:t>MPC</w:t>
      </w:r>
      <w:r w:rsidR="00400EE6">
        <w:rPr>
          <w:rFonts w:cs="Arial"/>
          <w:color w:val="000000"/>
          <w:spacing w:val="0"/>
          <w:sz w:val="22"/>
          <w:szCs w:val="22"/>
          <w:lang w:val="en-AU"/>
        </w:rPr>
        <w:t>)</w:t>
      </w:r>
      <w:r w:rsidRPr="00821701">
        <w:rPr>
          <w:rFonts w:cs="Arial"/>
          <w:color w:val="000000"/>
          <w:spacing w:val="0"/>
          <w:sz w:val="22"/>
          <w:szCs w:val="22"/>
          <w:lang w:val="en-AU"/>
        </w:rPr>
        <w:t xml:space="preserve"> would be keen to further demonstrate its anti-inflation credentials by keeping Bank Rate at 5.25% until at least H2 2024.  We expect rate cuts to start when both the CPI inflation and wage/employment data are supportive of such a move, and when there is a likelihood of the overall economy enduring at least a slowdown or mild recession over the coming months (although most recent GDP releases have surprised with their on-going robustness). </w:t>
      </w:r>
    </w:p>
    <w:p w14:paraId="196A6E90" w14:textId="77777777" w:rsidR="00821701" w:rsidRPr="00B011D0" w:rsidRDefault="00821701" w:rsidP="00821701">
      <w:pPr>
        <w:spacing w:before="120" w:after="120"/>
        <w:ind w:left="567"/>
        <w:rPr>
          <w:color w:val="000000"/>
          <w:spacing w:val="0"/>
          <w:sz w:val="22"/>
          <w:szCs w:val="22"/>
          <w:lang w:val="en-AU"/>
        </w:rPr>
      </w:pPr>
      <w:r w:rsidRPr="00B011D0">
        <w:rPr>
          <w:color w:val="000000"/>
          <w:spacing w:val="0"/>
          <w:sz w:val="22"/>
          <w:szCs w:val="22"/>
          <w:lang w:val="en-AU"/>
        </w:rPr>
        <w:t xml:space="preserve">Naturally, timing on this matter will remain one of fine judgment: cut too soon, and inflationary pressures may well build up further; cut too late and any downturn or recession may be prolonged.  </w:t>
      </w:r>
    </w:p>
    <w:p w14:paraId="170D030D" w14:textId="77777777" w:rsidR="000F05C2" w:rsidRPr="00B011D0" w:rsidRDefault="000F05C2" w:rsidP="000F05C2">
      <w:pPr>
        <w:spacing w:before="120" w:after="120"/>
        <w:ind w:left="567"/>
        <w:rPr>
          <w:color w:val="000000"/>
          <w:spacing w:val="0"/>
          <w:sz w:val="22"/>
          <w:szCs w:val="22"/>
          <w:lang w:val="en-AU"/>
        </w:rPr>
      </w:pPr>
      <w:r w:rsidRPr="00B011D0">
        <w:rPr>
          <w:color w:val="000000"/>
          <w:spacing w:val="0"/>
          <w:sz w:val="22"/>
          <w:szCs w:val="22"/>
          <w:lang w:val="en-AU"/>
        </w:rPr>
        <w:t xml:space="preserve">In the upcoming months, our forecasts will be guided not only by economic data releases and clarifications from the MPC over its monetary policies and the Government over its fiscal policies, but also international factors such as policy development in the US and Europe, the provision of fresh support packages to support the faltering recovery in China as well as the on-going conflict between Russia and Ukraine, and Gaza and Israel. </w:t>
      </w:r>
    </w:p>
    <w:p w14:paraId="1C04944A" w14:textId="0C00D58C" w:rsidR="00801A69" w:rsidRDefault="00801A69" w:rsidP="00801A69">
      <w:pPr>
        <w:spacing w:before="120" w:after="120"/>
        <w:ind w:left="359"/>
        <w:jc w:val="both"/>
        <w:rPr>
          <w:rFonts w:eastAsia="Arial" w:cs="Arial"/>
          <w:b/>
          <w:bCs/>
          <w:color w:val="4E4E50"/>
          <w:spacing w:val="0"/>
          <w:sz w:val="22"/>
          <w:szCs w:val="22"/>
          <w:lang w:val="en-AU"/>
        </w:rPr>
      </w:pPr>
    </w:p>
    <w:p w14:paraId="76B9A9EE" w14:textId="77777777" w:rsidR="00801A69" w:rsidRPr="00801A69" w:rsidRDefault="00801A69" w:rsidP="00801A69">
      <w:pPr>
        <w:spacing w:before="120" w:after="120"/>
        <w:ind w:firstLine="567"/>
        <w:jc w:val="both"/>
        <w:rPr>
          <w:b/>
          <w:bCs/>
          <w:noProof/>
          <w:color w:val="993366"/>
          <w:sz w:val="24"/>
          <w:szCs w:val="24"/>
        </w:rPr>
      </w:pPr>
      <w:r w:rsidRPr="00801A69">
        <w:rPr>
          <w:b/>
          <w:bCs/>
          <w:noProof/>
          <w:color w:val="993366"/>
          <w:sz w:val="24"/>
          <w:szCs w:val="24"/>
        </w:rPr>
        <w:t>PWLB RATES</w:t>
      </w:r>
    </w:p>
    <w:p w14:paraId="53D44378" w14:textId="77777777" w:rsidR="000F05C2" w:rsidRPr="00B011D0" w:rsidRDefault="000F05C2" w:rsidP="000F05C2">
      <w:pPr>
        <w:spacing w:before="120" w:after="120"/>
        <w:ind w:left="567"/>
        <w:rPr>
          <w:color w:val="000000"/>
          <w:spacing w:val="0"/>
          <w:sz w:val="22"/>
          <w:szCs w:val="22"/>
          <w:lang w:val="en-AU"/>
        </w:rPr>
      </w:pPr>
      <w:r w:rsidRPr="00B011D0">
        <w:rPr>
          <w:color w:val="000000"/>
          <w:spacing w:val="0"/>
          <w:sz w:val="22"/>
          <w:szCs w:val="22"/>
          <w:lang w:val="en-AU"/>
        </w:rPr>
        <w:t xml:space="preserve">The short and medium part of the gilt curve has rallied since the start of November as markets price in a quicker reduction in Bank Rate through 2024 and 2025 than held sway back then.  This reflects market confidence in inflation falling back in a similar manner to that already seen in the US and the Euro-zone.  At the time of writing there is c70 basis points difference between the </w:t>
      </w:r>
      <w:proofErr w:type="gramStart"/>
      <w:r w:rsidRPr="00B011D0">
        <w:rPr>
          <w:color w:val="000000"/>
          <w:spacing w:val="0"/>
          <w:sz w:val="22"/>
          <w:szCs w:val="22"/>
          <w:lang w:val="en-AU"/>
        </w:rPr>
        <w:t>5 and 50 year</w:t>
      </w:r>
      <w:proofErr w:type="gramEnd"/>
      <w:r w:rsidRPr="00B011D0">
        <w:rPr>
          <w:color w:val="000000"/>
          <w:spacing w:val="0"/>
          <w:sz w:val="22"/>
          <w:szCs w:val="22"/>
          <w:lang w:val="en-AU"/>
        </w:rPr>
        <w:t xml:space="preserve"> parts of the curve. </w:t>
      </w:r>
    </w:p>
    <w:p w14:paraId="0291EDC3" w14:textId="77777777" w:rsidR="00801A69" w:rsidRPr="009D66AF" w:rsidRDefault="00801A69" w:rsidP="00801A69">
      <w:pPr>
        <w:jc w:val="both"/>
        <w:rPr>
          <w:rFonts w:eastAsia="Arial" w:cs="Arial"/>
          <w:b/>
          <w:color w:val="000000"/>
          <w:spacing w:val="0"/>
          <w:sz w:val="22"/>
          <w:szCs w:val="22"/>
          <w:lang w:val="en-AU"/>
        </w:rPr>
      </w:pPr>
    </w:p>
    <w:p w14:paraId="335AF761" w14:textId="77777777" w:rsidR="00801A69" w:rsidRPr="00801A69" w:rsidRDefault="00801A69" w:rsidP="000F05C2">
      <w:pPr>
        <w:ind w:firstLine="567"/>
        <w:rPr>
          <w:b/>
          <w:bCs/>
          <w:noProof/>
          <w:color w:val="993366"/>
          <w:sz w:val="22"/>
          <w:szCs w:val="22"/>
        </w:rPr>
      </w:pPr>
      <w:bookmarkStart w:id="24" w:name="_Hlk83822764"/>
      <w:r w:rsidRPr="00801A69">
        <w:rPr>
          <w:b/>
          <w:bCs/>
          <w:noProof/>
          <w:color w:val="993366"/>
          <w:sz w:val="22"/>
          <w:szCs w:val="22"/>
        </w:rPr>
        <w:t>The balance of risks to the UK economy: -</w:t>
      </w:r>
    </w:p>
    <w:bookmarkEnd w:id="24"/>
    <w:p w14:paraId="43D11E28" w14:textId="1EC5F791" w:rsidR="00801A69" w:rsidRPr="000F05C2" w:rsidRDefault="00801A69" w:rsidP="000F05C2">
      <w:pPr>
        <w:spacing w:before="120" w:after="120"/>
        <w:ind w:firstLine="567"/>
        <w:contextualSpacing/>
        <w:rPr>
          <w:rFonts w:eastAsia="Calibri" w:cs="Arial"/>
          <w:color w:val="000000"/>
          <w:sz w:val="22"/>
          <w:szCs w:val="22"/>
          <w:lang w:val="en-AU"/>
        </w:rPr>
      </w:pPr>
      <w:r w:rsidRPr="000F05C2">
        <w:rPr>
          <w:rFonts w:eastAsia="Calibri" w:cs="Arial"/>
          <w:color w:val="000000"/>
          <w:sz w:val="22"/>
          <w:szCs w:val="22"/>
          <w:lang w:val="en-AU"/>
        </w:rPr>
        <w:t xml:space="preserve">The overall balance of risks to economic growth in the UK is </w:t>
      </w:r>
      <w:r w:rsidR="000F05C2">
        <w:rPr>
          <w:rFonts w:eastAsia="Calibri" w:cs="Arial"/>
          <w:color w:val="000000"/>
          <w:sz w:val="22"/>
          <w:szCs w:val="22"/>
          <w:lang w:val="en-AU"/>
        </w:rPr>
        <w:t>even</w:t>
      </w:r>
      <w:r w:rsidRPr="000F05C2">
        <w:rPr>
          <w:rFonts w:eastAsia="Calibri" w:cs="Arial"/>
          <w:color w:val="000000"/>
          <w:sz w:val="22"/>
          <w:szCs w:val="22"/>
          <w:lang w:val="en-AU"/>
        </w:rPr>
        <w:t>.</w:t>
      </w:r>
    </w:p>
    <w:p w14:paraId="487EADD0" w14:textId="77777777" w:rsidR="00801A69" w:rsidRPr="009D66AF" w:rsidRDefault="00801A69" w:rsidP="00801A69">
      <w:pPr>
        <w:spacing w:before="120"/>
        <w:ind w:left="714" w:hanging="357"/>
        <w:contextualSpacing/>
        <w:jc w:val="both"/>
        <w:rPr>
          <w:rFonts w:eastAsia="Calibri" w:cs="Arial"/>
          <w:color w:val="000000"/>
          <w:sz w:val="22"/>
          <w:szCs w:val="22"/>
          <w:lang w:val="en-AU"/>
        </w:rPr>
      </w:pPr>
    </w:p>
    <w:p w14:paraId="3EDED0C4" w14:textId="77777777" w:rsidR="00801A69" w:rsidRPr="00801A69" w:rsidRDefault="00801A69" w:rsidP="000F05C2">
      <w:pPr>
        <w:ind w:firstLine="567"/>
        <w:rPr>
          <w:b/>
          <w:bCs/>
          <w:noProof/>
          <w:color w:val="993366"/>
          <w:sz w:val="22"/>
          <w:szCs w:val="22"/>
        </w:rPr>
      </w:pPr>
      <w:r w:rsidRPr="00801A69">
        <w:rPr>
          <w:b/>
          <w:bCs/>
          <w:noProof/>
          <w:color w:val="993366"/>
          <w:sz w:val="22"/>
          <w:szCs w:val="22"/>
        </w:rPr>
        <w:t>Downside risks to current forecasts for UK gilt yields and PWLB rates include: -</w:t>
      </w:r>
    </w:p>
    <w:p w14:paraId="78EC06B5" w14:textId="796B554F" w:rsidR="00801A69" w:rsidRDefault="00801A69" w:rsidP="00493D08">
      <w:pPr>
        <w:pStyle w:val="ListParagraph"/>
        <w:numPr>
          <w:ilvl w:val="0"/>
          <w:numId w:val="56"/>
        </w:numPr>
        <w:spacing w:before="120" w:after="120"/>
        <w:contextualSpacing/>
        <w:rPr>
          <w:rFonts w:eastAsia="Calibri" w:cs="Arial"/>
          <w:bCs/>
          <w:color w:val="000000"/>
          <w:sz w:val="22"/>
          <w:szCs w:val="22"/>
          <w:lang w:val="en-AU"/>
        </w:rPr>
      </w:pPr>
      <w:r w:rsidRPr="00801A69">
        <w:rPr>
          <w:b/>
          <w:bCs/>
          <w:noProof/>
          <w:color w:val="993366"/>
          <w:sz w:val="22"/>
          <w:szCs w:val="22"/>
        </w:rPr>
        <w:t>Labour and supply shortages</w:t>
      </w:r>
      <w:r w:rsidRPr="00801A69">
        <w:rPr>
          <w:rFonts w:eastAsia="Calibri" w:cs="Arial"/>
          <w:b/>
          <w:color w:val="000000"/>
          <w:sz w:val="22"/>
          <w:szCs w:val="22"/>
          <w:lang w:val="en-AU"/>
        </w:rPr>
        <w:t xml:space="preserve"> </w:t>
      </w:r>
      <w:r w:rsidR="000F05C2" w:rsidRPr="00B011D0">
        <w:rPr>
          <w:rFonts w:eastAsia="Calibri" w:cs="Arial"/>
          <w:bCs/>
          <w:color w:val="000000"/>
          <w:sz w:val="22"/>
          <w:szCs w:val="22"/>
          <w:lang w:val="en-AU"/>
        </w:rPr>
        <w:t>prove more enduring and disruptive and depress economic activity (accepting that in the near-term this is also an upside risk to inflation and, thus, could keep gilt yields high for longer).</w:t>
      </w:r>
    </w:p>
    <w:p w14:paraId="33871ECC" w14:textId="77777777" w:rsidR="000F05C2" w:rsidRPr="000F05C2" w:rsidRDefault="000F05C2" w:rsidP="000F05C2">
      <w:pPr>
        <w:pStyle w:val="ListParagraph"/>
        <w:spacing w:before="120" w:after="120"/>
        <w:ind w:left="1074"/>
        <w:contextualSpacing/>
        <w:jc w:val="both"/>
        <w:rPr>
          <w:rFonts w:eastAsia="Calibri" w:cs="Arial"/>
          <w:bCs/>
          <w:color w:val="000000"/>
          <w:sz w:val="22"/>
          <w:szCs w:val="22"/>
          <w:lang w:val="en-AU"/>
        </w:rPr>
      </w:pPr>
    </w:p>
    <w:p w14:paraId="7F07736A" w14:textId="55190987" w:rsidR="000F05C2" w:rsidRPr="000F05C2" w:rsidRDefault="00801A69" w:rsidP="00493D08">
      <w:pPr>
        <w:pStyle w:val="ListParagraph"/>
        <w:numPr>
          <w:ilvl w:val="0"/>
          <w:numId w:val="56"/>
        </w:numPr>
        <w:spacing w:before="120" w:after="120"/>
        <w:contextualSpacing/>
        <w:rPr>
          <w:rFonts w:eastAsia="Calibri" w:cs="Arial"/>
          <w:b/>
          <w:color w:val="000000"/>
          <w:sz w:val="22"/>
          <w:szCs w:val="22"/>
          <w:lang w:val="en-AU"/>
        </w:rPr>
      </w:pPr>
      <w:r w:rsidRPr="000F05C2">
        <w:rPr>
          <w:b/>
          <w:bCs/>
          <w:noProof/>
          <w:color w:val="993366"/>
          <w:sz w:val="22"/>
          <w:szCs w:val="22"/>
        </w:rPr>
        <w:t>The Bank of England</w:t>
      </w:r>
      <w:r w:rsidRPr="000F05C2">
        <w:rPr>
          <w:rFonts w:eastAsia="Calibri" w:cs="Arial"/>
          <w:b/>
          <w:color w:val="000000"/>
          <w:sz w:val="22"/>
          <w:szCs w:val="22"/>
          <w:lang w:val="en-AU"/>
        </w:rPr>
        <w:t xml:space="preserve"> </w:t>
      </w:r>
      <w:r w:rsidR="000F05C2" w:rsidRPr="00B011D0">
        <w:rPr>
          <w:rFonts w:eastAsia="Calibri" w:cs="Arial"/>
          <w:bCs/>
          <w:color w:val="000000"/>
          <w:sz w:val="22"/>
          <w:szCs w:val="22"/>
          <w:lang w:val="en-AU"/>
        </w:rPr>
        <w:t>has</w:t>
      </w:r>
      <w:r w:rsidR="000F05C2" w:rsidRPr="00B011D0">
        <w:rPr>
          <w:rFonts w:eastAsia="Calibri" w:cs="Arial"/>
          <w:b/>
          <w:color w:val="000000"/>
          <w:sz w:val="22"/>
          <w:szCs w:val="22"/>
          <w:lang w:val="en-AU"/>
        </w:rPr>
        <w:t xml:space="preserve"> </w:t>
      </w:r>
      <w:r w:rsidR="000F05C2" w:rsidRPr="00B011D0">
        <w:rPr>
          <w:rFonts w:eastAsia="Calibri" w:cs="Arial"/>
          <w:color w:val="000000"/>
          <w:sz w:val="22"/>
          <w:szCs w:val="22"/>
          <w:lang w:val="en-AU"/>
        </w:rPr>
        <w:t>increased Bank Rate too fast and too far over recent months, and subsequently brings about a deeper and longer UK recession than we currently anticipate.</w:t>
      </w:r>
    </w:p>
    <w:p w14:paraId="5A423B7F" w14:textId="77777777" w:rsidR="005D32D9" w:rsidRPr="005D32D9" w:rsidRDefault="005D32D9" w:rsidP="005D32D9">
      <w:pPr>
        <w:pStyle w:val="ListParagraph"/>
        <w:spacing w:before="120" w:after="120"/>
        <w:ind w:left="1074"/>
        <w:contextualSpacing/>
        <w:jc w:val="both"/>
        <w:rPr>
          <w:rFonts w:eastAsia="Calibri" w:cs="Arial"/>
          <w:b/>
          <w:color w:val="000000"/>
          <w:sz w:val="22"/>
          <w:szCs w:val="22"/>
          <w:lang w:val="en-AU"/>
        </w:rPr>
      </w:pPr>
    </w:p>
    <w:p w14:paraId="7FEB7C33" w14:textId="2A0F6BAA" w:rsidR="00801A69" w:rsidRPr="000F05C2" w:rsidRDefault="00801A69" w:rsidP="00493D08">
      <w:pPr>
        <w:pStyle w:val="ListParagraph"/>
        <w:numPr>
          <w:ilvl w:val="0"/>
          <w:numId w:val="56"/>
        </w:numPr>
        <w:spacing w:before="120" w:after="120"/>
        <w:contextualSpacing/>
        <w:jc w:val="both"/>
        <w:rPr>
          <w:rFonts w:eastAsia="Calibri" w:cs="Arial"/>
          <w:b/>
          <w:color w:val="000000"/>
          <w:sz w:val="22"/>
          <w:szCs w:val="22"/>
          <w:lang w:val="en-AU"/>
        </w:rPr>
      </w:pPr>
      <w:r w:rsidRPr="00801A69">
        <w:rPr>
          <w:b/>
          <w:bCs/>
          <w:noProof/>
          <w:color w:val="993366"/>
          <w:sz w:val="22"/>
          <w:szCs w:val="22"/>
        </w:rPr>
        <w:t>Geopolitical risks</w:t>
      </w:r>
      <w:r w:rsidRPr="00801A69">
        <w:rPr>
          <w:rFonts w:eastAsia="Calibri" w:cs="Arial"/>
          <w:b/>
          <w:color w:val="000000"/>
          <w:sz w:val="22"/>
          <w:szCs w:val="22"/>
          <w:lang w:val="en-AU"/>
        </w:rPr>
        <w:t>,</w:t>
      </w:r>
      <w:r w:rsidRPr="00801A69">
        <w:rPr>
          <w:rFonts w:eastAsia="Calibri" w:cs="Arial"/>
          <w:color w:val="000000"/>
          <w:sz w:val="22"/>
          <w:szCs w:val="22"/>
          <w:lang w:val="en-AU"/>
        </w:rPr>
        <w:t xml:space="preserve"> </w:t>
      </w:r>
      <w:r w:rsidR="000F05C2" w:rsidRPr="00B011D0">
        <w:rPr>
          <w:rFonts w:eastAsia="Calibri" w:cs="Arial"/>
          <w:color w:val="000000"/>
          <w:sz w:val="22"/>
          <w:szCs w:val="22"/>
          <w:lang w:val="en-AU"/>
        </w:rPr>
        <w:t xml:space="preserve">for example in Ukraine/Russia, the Middle East, China/Taiwan/US, Iran and North Korea, which could lead to increasing safe-haven flows. </w:t>
      </w:r>
    </w:p>
    <w:p w14:paraId="17849236" w14:textId="77777777" w:rsidR="000F05C2" w:rsidRPr="000F05C2" w:rsidRDefault="000F05C2" w:rsidP="000F05C2">
      <w:pPr>
        <w:pStyle w:val="ListParagraph"/>
        <w:rPr>
          <w:rFonts w:eastAsia="Calibri" w:cs="Arial"/>
          <w:b/>
          <w:color w:val="000000"/>
          <w:sz w:val="22"/>
          <w:szCs w:val="22"/>
          <w:lang w:val="en-AU"/>
        </w:rPr>
      </w:pPr>
    </w:p>
    <w:p w14:paraId="0808A4CF" w14:textId="77777777" w:rsidR="00801A69" w:rsidRPr="009D66AF" w:rsidRDefault="00801A69" w:rsidP="00801A69">
      <w:pPr>
        <w:ind w:left="720"/>
        <w:jc w:val="both"/>
        <w:rPr>
          <w:rFonts w:eastAsia="Calibri" w:cs="Arial"/>
          <w:color w:val="000000"/>
          <w:sz w:val="22"/>
          <w:szCs w:val="22"/>
          <w:lang w:val="en-AU"/>
        </w:rPr>
      </w:pPr>
    </w:p>
    <w:p w14:paraId="4EA7604E" w14:textId="77777777" w:rsidR="00801A69" w:rsidRPr="00801A69" w:rsidRDefault="00801A69" w:rsidP="00801A69">
      <w:pPr>
        <w:ind w:firstLine="357"/>
        <w:jc w:val="both"/>
        <w:rPr>
          <w:b/>
          <w:bCs/>
          <w:noProof/>
          <w:color w:val="993366"/>
          <w:sz w:val="22"/>
          <w:szCs w:val="22"/>
        </w:rPr>
      </w:pPr>
      <w:r w:rsidRPr="00801A69">
        <w:rPr>
          <w:b/>
          <w:bCs/>
          <w:noProof/>
          <w:color w:val="993366"/>
          <w:sz w:val="22"/>
          <w:szCs w:val="22"/>
        </w:rPr>
        <w:t>Upside risks to current forecasts for UK gilt yields and PWLB rates: -</w:t>
      </w:r>
    </w:p>
    <w:p w14:paraId="062678A4" w14:textId="77777777" w:rsidR="00801A69" w:rsidRPr="009D66AF" w:rsidRDefault="00801A69" w:rsidP="00104F9B">
      <w:pPr>
        <w:rPr>
          <w:rFonts w:eastAsia="Calibri" w:cs="Arial"/>
          <w:b/>
          <w:color w:val="000000"/>
          <w:sz w:val="22"/>
          <w:szCs w:val="22"/>
          <w:lang w:val="en-AU"/>
        </w:rPr>
      </w:pPr>
    </w:p>
    <w:p w14:paraId="4209F81B" w14:textId="70956087" w:rsidR="00801A69" w:rsidRPr="00104F9B" w:rsidRDefault="00EF5633" w:rsidP="00493D08">
      <w:pPr>
        <w:pStyle w:val="ListParagraph"/>
        <w:numPr>
          <w:ilvl w:val="0"/>
          <w:numId w:val="57"/>
        </w:numPr>
        <w:spacing w:before="120" w:after="120"/>
        <w:contextualSpacing/>
        <w:rPr>
          <w:rFonts w:eastAsia="Calibri" w:cs="Arial"/>
          <w:b/>
          <w:color w:val="000000"/>
          <w:sz w:val="22"/>
          <w:szCs w:val="22"/>
          <w:lang w:val="en-AU"/>
        </w:rPr>
      </w:pPr>
      <w:r w:rsidRPr="00104F9B">
        <w:rPr>
          <w:rFonts w:eastAsia="Calibri" w:cs="Arial"/>
          <w:color w:val="000000"/>
          <w:sz w:val="22"/>
          <w:szCs w:val="22"/>
          <w:lang w:val="en-AU"/>
        </w:rPr>
        <w:t xml:space="preserve">Despite the tightening in bank rate to 5.25%, the </w:t>
      </w:r>
      <w:r w:rsidR="00801A69" w:rsidRPr="00104F9B">
        <w:rPr>
          <w:b/>
          <w:bCs/>
          <w:noProof/>
          <w:color w:val="993366"/>
          <w:sz w:val="22"/>
          <w:szCs w:val="22"/>
        </w:rPr>
        <w:t xml:space="preserve">Bank of England </w:t>
      </w:r>
      <w:r w:rsidR="00104F9B" w:rsidRPr="00104F9B">
        <w:rPr>
          <w:b/>
          <w:bCs/>
          <w:noProof/>
          <w:color w:val="993366"/>
          <w:sz w:val="22"/>
          <w:szCs w:val="22"/>
        </w:rPr>
        <w:t>allows inflationary pressures to remain elevated</w:t>
      </w:r>
      <w:r w:rsidR="00104F9B" w:rsidRPr="00B011D0">
        <w:rPr>
          <w:rFonts w:eastAsia="Calibri" w:cs="Arial"/>
          <w:color w:val="000000"/>
          <w:sz w:val="22"/>
          <w:szCs w:val="22"/>
          <w:lang w:val="en-AU"/>
        </w:rPr>
        <w:t xml:space="preserve"> for a long period within the UK economy, which then necessitates Bank Rate staying higher for longer than we currently project.</w:t>
      </w:r>
    </w:p>
    <w:p w14:paraId="6C6F54EA" w14:textId="77777777" w:rsidR="00104F9B" w:rsidRPr="00104F9B" w:rsidRDefault="00104F9B" w:rsidP="00104F9B">
      <w:pPr>
        <w:pStyle w:val="ListParagraph"/>
        <w:spacing w:before="120" w:after="120"/>
        <w:ind w:left="1074"/>
        <w:contextualSpacing/>
        <w:jc w:val="both"/>
        <w:rPr>
          <w:rFonts w:eastAsia="Calibri" w:cs="Arial"/>
          <w:b/>
          <w:color w:val="000000"/>
          <w:sz w:val="22"/>
          <w:szCs w:val="22"/>
          <w:lang w:val="en-AU"/>
        </w:rPr>
      </w:pPr>
    </w:p>
    <w:p w14:paraId="182C2469" w14:textId="1AD065D0" w:rsidR="00801A69" w:rsidRPr="000F05C2" w:rsidRDefault="00801A69" w:rsidP="00493D08">
      <w:pPr>
        <w:pStyle w:val="ListParagraph"/>
        <w:numPr>
          <w:ilvl w:val="0"/>
          <w:numId w:val="57"/>
        </w:numPr>
        <w:spacing w:before="120" w:after="120"/>
        <w:contextualSpacing/>
        <w:jc w:val="both"/>
        <w:rPr>
          <w:rFonts w:eastAsia="Calibri" w:cs="Arial"/>
          <w:bCs/>
          <w:color w:val="000000"/>
          <w:sz w:val="22"/>
          <w:szCs w:val="22"/>
          <w:lang w:val="en-AU"/>
        </w:rPr>
      </w:pPr>
      <w:r w:rsidRPr="003622F5">
        <w:rPr>
          <w:b/>
          <w:bCs/>
          <w:noProof/>
          <w:color w:val="993366"/>
          <w:sz w:val="22"/>
          <w:szCs w:val="22"/>
        </w:rPr>
        <w:t>The pound weakens</w:t>
      </w:r>
      <w:r w:rsidRPr="00801A69">
        <w:rPr>
          <w:rFonts w:eastAsia="Calibri" w:cs="Arial"/>
          <w:b/>
          <w:color w:val="000000"/>
          <w:sz w:val="22"/>
          <w:szCs w:val="22"/>
          <w:lang w:val="en-AU"/>
        </w:rPr>
        <w:t xml:space="preserve"> </w:t>
      </w:r>
      <w:r w:rsidR="00104F9B" w:rsidRPr="00B011D0">
        <w:rPr>
          <w:rFonts w:eastAsia="Calibri" w:cs="Arial"/>
          <w:bCs/>
          <w:color w:val="000000"/>
          <w:sz w:val="22"/>
          <w:szCs w:val="22"/>
          <w:lang w:val="en-AU"/>
        </w:rPr>
        <w:t>because of a lack of confidence in the UK Government’s pre-election fiscal policies, which may prove inflationary, resulting in investors pricing in a risk premium for holding UK sovereign debt</w:t>
      </w:r>
      <w:r w:rsidR="00104F9B">
        <w:rPr>
          <w:rFonts w:eastAsia="Calibri" w:cs="Arial"/>
          <w:bCs/>
          <w:color w:val="000000"/>
          <w:sz w:val="22"/>
          <w:szCs w:val="22"/>
          <w:lang w:val="en-AU"/>
        </w:rPr>
        <w:t>.</w:t>
      </w:r>
    </w:p>
    <w:p w14:paraId="624D2123" w14:textId="77777777" w:rsidR="005D32D9" w:rsidRDefault="005D32D9" w:rsidP="005D32D9">
      <w:pPr>
        <w:pStyle w:val="ListParagraph"/>
        <w:spacing w:before="120" w:after="120"/>
        <w:ind w:left="1074"/>
        <w:contextualSpacing/>
        <w:jc w:val="both"/>
        <w:rPr>
          <w:rFonts w:eastAsia="Calibri" w:cs="Arial"/>
          <w:color w:val="000000"/>
          <w:sz w:val="22"/>
          <w:szCs w:val="22"/>
        </w:rPr>
      </w:pPr>
    </w:p>
    <w:p w14:paraId="707D8172" w14:textId="6640E2E4" w:rsidR="00801A69" w:rsidRPr="003622F5" w:rsidRDefault="00801A69" w:rsidP="00493D08">
      <w:pPr>
        <w:pStyle w:val="ListParagraph"/>
        <w:numPr>
          <w:ilvl w:val="0"/>
          <w:numId w:val="57"/>
        </w:numPr>
        <w:spacing w:before="120" w:after="120"/>
        <w:contextualSpacing/>
        <w:jc w:val="both"/>
        <w:rPr>
          <w:rFonts w:eastAsia="Calibri" w:cs="Arial"/>
          <w:color w:val="000000"/>
          <w:sz w:val="22"/>
          <w:szCs w:val="22"/>
        </w:rPr>
      </w:pPr>
      <w:r w:rsidRPr="003622F5">
        <w:rPr>
          <w:rFonts w:eastAsia="Calibri" w:cs="Arial"/>
          <w:color w:val="000000"/>
          <w:sz w:val="22"/>
          <w:szCs w:val="22"/>
        </w:rPr>
        <w:t xml:space="preserve">Projected </w:t>
      </w:r>
      <w:r w:rsidRPr="003622F5">
        <w:rPr>
          <w:b/>
          <w:bCs/>
          <w:noProof/>
          <w:color w:val="993366"/>
          <w:sz w:val="22"/>
          <w:szCs w:val="22"/>
        </w:rPr>
        <w:t>gilt issuance, inclusive of natural maturities and QT</w:t>
      </w:r>
      <w:r w:rsidRPr="003622F5">
        <w:rPr>
          <w:rFonts w:eastAsia="Calibri" w:cs="Arial"/>
          <w:b/>
          <w:bCs/>
          <w:color w:val="000000"/>
          <w:sz w:val="22"/>
          <w:szCs w:val="22"/>
        </w:rPr>
        <w:t xml:space="preserve">, </w:t>
      </w:r>
      <w:r w:rsidRPr="003622F5">
        <w:rPr>
          <w:rFonts w:eastAsia="Calibri" w:cs="Arial"/>
          <w:color w:val="000000"/>
          <w:sz w:val="22"/>
          <w:szCs w:val="22"/>
        </w:rPr>
        <w:t>could be too much for the markets to comfortably digest without higher yields consequently.</w:t>
      </w:r>
    </w:p>
    <w:p w14:paraId="2C71E5CD" w14:textId="77777777" w:rsidR="00104F9B" w:rsidRDefault="00104F9B" w:rsidP="00104F9B">
      <w:pPr>
        <w:spacing w:before="120" w:after="120"/>
        <w:ind w:left="714"/>
        <w:rPr>
          <w:rFonts w:eastAsia="Arial" w:cs="Arial"/>
          <w:color w:val="000000"/>
          <w:spacing w:val="0"/>
          <w:sz w:val="22"/>
          <w:szCs w:val="22"/>
          <w:lang w:val="en-AU"/>
        </w:rPr>
      </w:pPr>
    </w:p>
    <w:p w14:paraId="5D004B47" w14:textId="002228C6" w:rsidR="00104F9B" w:rsidRPr="00801A69" w:rsidRDefault="00104F9B" w:rsidP="00104F9B">
      <w:pPr>
        <w:spacing w:before="120" w:after="120"/>
        <w:ind w:firstLine="714"/>
        <w:jc w:val="both"/>
        <w:rPr>
          <w:b/>
          <w:bCs/>
          <w:noProof/>
          <w:color w:val="993366"/>
          <w:sz w:val="24"/>
          <w:szCs w:val="24"/>
        </w:rPr>
      </w:pPr>
      <w:r>
        <w:rPr>
          <w:b/>
          <w:bCs/>
          <w:noProof/>
          <w:color w:val="993366"/>
          <w:sz w:val="24"/>
          <w:szCs w:val="24"/>
        </w:rPr>
        <w:t>LINK GROUP FORECASTS</w:t>
      </w:r>
    </w:p>
    <w:p w14:paraId="593FFBDC" w14:textId="6490A98D" w:rsidR="00104F9B" w:rsidRPr="00B011D0" w:rsidRDefault="00104F9B" w:rsidP="00104F9B">
      <w:pPr>
        <w:spacing w:before="120" w:after="120"/>
        <w:ind w:left="714"/>
        <w:rPr>
          <w:rFonts w:eastAsia="Arial" w:cs="Arial"/>
          <w:color w:val="000000"/>
          <w:spacing w:val="0"/>
          <w:sz w:val="22"/>
          <w:szCs w:val="22"/>
          <w:lang w:val="en-AU"/>
        </w:rPr>
      </w:pPr>
      <w:r w:rsidRPr="00B011D0">
        <w:rPr>
          <w:rFonts w:eastAsia="Arial" w:cs="Arial"/>
          <w:color w:val="000000"/>
          <w:spacing w:val="0"/>
          <w:sz w:val="22"/>
          <w:szCs w:val="22"/>
          <w:lang w:val="en-AU"/>
        </w:rPr>
        <w:t xml:space="preserve">We expect the </w:t>
      </w:r>
      <w:r w:rsidR="002B4C6C">
        <w:rPr>
          <w:rFonts w:eastAsia="Arial" w:cs="Arial"/>
          <w:color w:val="000000"/>
          <w:spacing w:val="0"/>
          <w:sz w:val="22"/>
          <w:szCs w:val="22"/>
          <w:lang w:val="en-AU"/>
        </w:rPr>
        <w:t>Monetary Policy Committee (</w:t>
      </w:r>
      <w:r w:rsidRPr="00B011D0">
        <w:rPr>
          <w:rFonts w:eastAsia="Arial" w:cs="Arial"/>
          <w:color w:val="000000"/>
          <w:spacing w:val="0"/>
          <w:sz w:val="22"/>
          <w:szCs w:val="22"/>
          <w:lang w:val="en-AU"/>
        </w:rPr>
        <w:t>MPC</w:t>
      </w:r>
      <w:r w:rsidR="002B4C6C">
        <w:rPr>
          <w:rFonts w:eastAsia="Arial" w:cs="Arial"/>
          <w:color w:val="000000"/>
          <w:spacing w:val="0"/>
          <w:sz w:val="22"/>
          <w:szCs w:val="22"/>
          <w:lang w:val="en-AU"/>
        </w:rPr>
        <w:t>)</w:t>
      </w:r>
      <w:r w:rsidRPr="00B011D0">
        <w:rPr>
          <w:rFonts w:eastAsia="Arial" w:cs="Arial"/>
          <w:color w:val="000000"/>
          <w:spacing w:val="0"/>
          <w:sz w:val="22"/>
          <w:szCs w:val="22"/>
          <w:lang w:val="en-AU"/>
        </w:rPr>
        <w:t xml:space="preserve"> will keep Bank Rate at 5.25% until the second half of 2024, to combat on-going inflationary and wage pressures, even if they have dampened somewhat of late.  We do not think that the MPC will increase Bank Rate above 5.25%.</w:t>
      </w:r>
    </w:p>
    <w:p w14:paraId="06AE04A9" w14:textId="77777777" w:rsidR="00104F9B" w:rsidRPr="00B011D0" w:rsidRDefault="00104F9B" w:rsidP="00104F9B">
      <w:pPr>
        <w:spacing w:before="240" w:after="120"/>
        <w:ind w:firstLine="714"/>
        <w:rPr>
          <w:rFonts w:eastAsia="Calibri" w:cs="Arial"/>
          <w:b/>
          <w:color w:val="000000"/>
          <w:spacing w:val="0"/>
          <w:sz w:val="22"/>
        </w:rPr>
      </w:pPr>
      <w:r w:rsidRPr="00B011D0">
        <w:rPr>
          <w:rFonts w:eastAsia="Calibri" w:cs="Arial"/>
          <w:b/>
          <w:color w:val="000000"/>
          <w:spacing w:val="0"/>
          <w:sz w:val="22"/>
        </w:rPr>
        <w:t>Gilt yields and PWLB rates</w:t>
      </w:r>
    </w:p>
    <w:p w14:paraId="5CF583C9" w14:textId="77777777" w:rsidR="00104F9B" w:rsidRPr="00B011D0" w:rsidRDefault="00104F9B" w:rsidP="00104F9B">
      <w:pPr>
        <w:spacing w:before="120" w:after="120"/>
        <w:ind w:left="714"/>
        <w:rPr>
          <w:rFonts w:eastAsia="Arial" w:cs="Arial"/>
          <w:color w:val="000000"/>
          <w:spacing w:val="0"/>
          <w:sz w:val="22"/>
          <w:szCs w:val="22"/>
          <w:lang w:val="en-AU"/>
        </w:rPr>
      </w:pPr>
      <w:r w:rsidRPr="00B011D0">
        <w:rPr>
          <w:rFonts w:eastAsia="Arial" w:cs="Arial"/>
          <w:color w:val="000000"/>
          <w:spacing w:val="0"/>
          <w:sz w:val="22"/>
          <w:szCs w:val="22"/>
          <w:lang w:val="en-AU"/>
        </w:rPr>
        <w:t xml:space="preserve">The overall longer-run trend is for gilt yields and PWLB rates to fall back over the timeline of our forecasts, as inflation continues to fall through 2024.  </w:t>
      </w:r>
    </w:p>
    <w:p w14:paraId="51CD9F4B" w14:textId="77777777" w:rsidR="00104F9B" w:rsidRDefault="00104F9B" w:rsidP="00104F9B">
      <w:pPr>
        <w:spacing w:before="120" w:after="120"/>
        <w:ind w:left="714"/>
        <w:rPr>
          <w:rFonts w:eastAsia="Arial" w:cs="Arial"/>
          <w:color w:val="000000"/>
          <w:spacing w:val="0"/>
          <w:sz w:val="22"/>
          <w:szCs w:val="22"/>
          <w:lang w:val="en-AU"/>
        </w:rPr>
      </w:pPr>
      <w:r w:rsidRPr="00B011D0">
        <w:rPr>
          <w:rFonts w:eastAsia="Arial" w:cs="Arial"/>
          <w:color w:val="000000"/>
          <w:spacing w:val="0"/>
          <w:sz w:val="22"/>
          <w:szCs w:val="22"/>
          <w:lang w:val="en-AU"/>
        </w:rPr>
        <w:t xml:space="preserve">Our target borrowing rates are set </w:t>
      </w:r>
      <w:r w:rsidRPr="00B011D0">
        <w:rPr>
          <w:rFonts w:eastAsia="Arial" w:cs="Arial"/>
          <w:b/>
          <w:bCs/>
          <w:color w:val="000000"/>
          <w:spacing w:val="0"/>
          <w:sz w:val="22"/>
          <w:szCs w:val="22"/>
          <w:lang w:val="en-AU"/>
        </w:rPr>
        <w:t>two years forward</w:t>
      </w:r>
      <w:r w:rsidRPr="00B011D0">
        <w:rPr>
          <w:rFonts w:eastAsia="Arial" w:cs="Arial"/>
          <w:color w:val="000000"/>
          <w:spacing w:val="0"/>
          <w:sz w:val="22"/>
          <w:szCs w:val="22"/>
          <w:lang w:val="en-AU"/>
        </w:rPr>
        <w:t xml:space="preserve"> (as we expect rates to fall back) and the current PWLB (certainty) borrowing rates are set out below: -</w:t>
      </w:r>
    </w:p>
    <w:p w14:paraId="1DA7620F" w14:textId="77777777" w:rsidR="00104F9B" w:rsidRDefault="00104F9B" w:rsidP="00104F9B">
      <w:pPr>
        <w:spacing w:before="120" w:after="120"/>
        <w:ind w:left="714"/>
        <w:rPr>
          <w:rFonts w:eastAsia="Arial" w:cs="Arial"/>
          <w:color w:val="000000"/>
          <w:spacing w:val="0"/>
          <w:sz w:val="22"/>
          <w:szCs w:val="22"/>
          <w:lang w:val="en-AU"/>
        </w:rPr>
      </w:pPr>
    </w:p>
    <w:tbl>
      <w:tblPr>
        <w:tblStyle w:val="DefaultTable"/>
        <w:tblW w:w="9191" w:type="dxa"/>
        <w:tblInd w:w="1004" w:type="dxa"/>
        <w:tblLook w:val="04A0" w:firstRow="1" w:lastRow="0" w:firstColumn="1" w:lastColumn="0" w:noHBand="0" w:noVBand="1"/>
      </w:tblPr>
      <w:tblGrid>
        <w:gridCol w:w="1522"/>
        <w:gridCol w:w="2381"/>
        <w:gridCol w:w="2618"/>
        <w:gridCol w:w="2670"/>
      </w:tblGrid>
      <w:tr w:rsidR="00104F9B" w:rsidRPr="00B011D0" w14:paraId="67AECD8F" w14:textId="77777777" w:rsidTr="001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tcPr>
          <w:p w14:paraId="25F66567" w14:textId="77777777" w:rsidR="00104F9B" w:rsidRPr="00B011D0" w:rsidRDefault="00104F9B" w:rsidP="006B508A">
            <w:pPr>
              <w:spacing w:before="120" w:after="120"/>
              <w:jc w:val="both"/>
              <w:rPr>
                <w:rFonts w:cs="Arial"/>
                <w:spacing w:val="0"/>
                <w:sz w:val="22"/>
                <w:szCs w:val="22"/>
              </w:rPr>
            </w:pPr>
            <w:r w:rsidRPr="00B011D0">
              <w:rPr>
                <w:rFonts w:cs="Arial"/>
                <w:spacing w:val="0"/>
                <w:sz w:val="22"/>
                <w:szCs w:val="22"/>
              </w:rPr>
              <w:t>PWLB debt</w:t>
            </w:r>
          </w:p>
        </w:tc>
        <w:tc>
          <w:tcPr>
            <w:tcW w:w="2381" w:type="dxa"/>
          </w:tcPr>
          <w:p w14:paraId="789CD6D0"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Current borrowing rate as at 08.01.24 p.m.</w:t>
            </w:r>
          </w:p>
        </w:tc>
        <w:tc>
          <w:tcPr>
            <w:tcW w:w="2618" w:type="dxa"/>
          </w:tcPr>
          <w:p w14:paraId="33E9E4D2"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 xml:space="preserve">Target borrowing rate </w:t>
            </w:r>
            <w:proofErr w:type="gramStart"/>
            <w:r w:rsidRPr="00B011D0">
              <w:rPr>
                <w:rFonts w:cs="Arial"/>
                <w:spacing w:val="0"/>
                <w:sz w:val="22"/>
                <w:szCs w:val="22"/>
              </w:rPr>
              <w:t>now</w:t>
            </w:r>
            <w:proofErr w:type="gramEnd"/>
          </w:p>
          <w:p w14:paraId="2EFC1E7D"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(end of Q4 2025)</w:t>
            </w:r>
          </w:p>
        </w:tc>
        <w:tc>
          <w:tcPr>
            <w:tcW w:w="2670" w:type="dxa"/>
          </w:tcPr>
          <w:p w14:paraId="192A5EDB"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 xml:space="preserve">Target borrowing rate </w:t>
            </w:r>
            <w:proofErr w:type="gramStart"/>
            <w:r w:rsidRPr="00B011D0">
              <w:rPr>
                <w:rFonts w:cs="Arial"/>
                <w:spacing w:val="0"/>
                <w:sz w:val="22"/>
                <w:szCs w:val="22"/>
              </w:rPr>
              <w:t>previous</w:t>
            </w:r>
            <w:proofErr w:type="gramEnd"/>
          </w:p>
          <w:p w14:paraId="0985A8F1"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(end of Q3 2025)</w:t>
            </w:r>
          </w:p>
        </w:tc>
      </w:tr>
      <w:tr w:rsidR="00104F9B" w:rsidRPr="00B011D0" w14:paraId="4642E7AC" w14:textId="77777777" w:rsidTr="00104F9B">
        <w:tc>
          <w:tcPr>
            <w:cnfStyle w:val="001000000000" w:firstRow="0" w:lastRow="0" w:firstColumn="1" w:lastColumn="0" w:oddVBand="0" w:evenVBand="0" w:oddHBand="0" w:evenHBand="0" w:firstRowFirstColumn="0" w:firstRowLastColumn="0" w:lastRowFirstColumn="0" w:lastRowLastColumn="0"/>
            <w:tcW w:w="1522" w:type="dxa"/>
          </w:tcPr>
          <w:p w14:paraId="3810E701" w14:textId="77777777" w:rsidR="00104F9B" w:rsidRPr="00B011D0" w:rsidRDefault="00104F9B" w:rsidP="006B508A">
            <w:pPr>
              <w:spacing w:before="120" w:after="120"/>
              <w:jc w:val="both"/>
              <w:rPr>
                <w:rFonts w:cs="Arial"/>
                <w:color w:val="0D0D0D"/>
                <w:spacing w:val="0"/>
                <w:sz w:val="22"/>
                <w:szCs w:val="22"/>
              </w:rPr>
            </w:pPr>
            <w:r w:rsidRPr="00B011D0">
              <w:rPr>
                <w:rFonts w:cs="Arial"/>
                <w:color w:val="0D0D0D"/>
                <w:spacing w:val="0"/>
                <w:sz w:val="22"/>
                <w:szCs w:val="22"/>
              </w:rPr>
              <w:t>5 years</w:t>
            </w:r>
          </w:p>
        </w:tc>
        <w:tc>
          <w:tcPr>
            <w:tcW w:w="2381" w:type="dxa"/>
          </w:tcPr>
          <w:p w14:paraId="7B7AD518"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4.53%</w:t>
            </w:r>
          </w:p>
        </w:tc>
        <w:tc>
          <w:tcPr>
            <w:tcW w:w="2618" w:type="dxa"/>
          </w:tcPr>
          <w:p w14:paraId="324E01B7"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3.70%</w:t>
            </w:r>
          </w:p>
        </w:tc>
        <w:tc>
          <w:tcPr>
            <w:tcW w:w="2670" w:type="dxa"/>
          </w:tcPr>
          <w:p w14:paraId="75A49707"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3.80%</w:t>
            </w:r>
          </w:p>
        </w:tc>
      </w:tr>
      <w:tr w:rsidR="00104F9B" w:rsidRPr="00B011D0" w14:paraId="532A30A9" w14:textId="77777777" w:rsidTr="00104F9B">
        <w:tc>
          <w:tcPr>
            <w:cnfStyle w:val="001000000000" w:firstRow="0" w:lastRow="0" w:firstColumn="1" w:lastColumn="0" w:oddVBand="0" w:evenVBand="0" w:oddHBand="0" w:evenHBand="0" w:firstRowFirstColumn="0" w:firstRowLastColumn="0" w:lastRowFirstColumn="0" w:lastRowLastColumn="0"/>
            <w:tcW w:w="1522" w:type="dxa"/>
          </w:tcPr>
          <w:p w14:paraId="0FBE7C57" w14:textId="77777777" w:rsidR="00104F9B" w:rsidRPr="00B011D0" w:rsidRDefault="00104F9B" w:rsidP="006B508A">
            <w:pPr>
              <w:spacing w:before="120" w:after="120"/>
              <w:jc w:val="both"/>
              <w:rPr>
                <w:rFonts w:cs="Arial"/>
                <w:color w:val="0D0D0D"/>
                <w:spacing w:val="0"/>
                <w:sz w:val="22"/>
                <w:szCs w:val="22"/>
              </w:rPr>
            </w:pPr>
            <w:r w:rsidRPr="00B011D0">
              <w:rPr>
                <w:rFonts w:cs="Arial"/>
                <w:color w:val="0D0D0D"/>
                <w:spacing w:val="0"/>
                <w:sz w:val="22"/>
                <w:szCs w:val="22"/>
              </w:rPr>
              <w:t>10 years</w:t>
            </w:r>
          </w:p>
        </w:tc>
        <w:tc>
          <w:tcPr>
            <w:tcW w:w="2381" w:type="dxa"/>
          </w:tcPr>
          <w:p w14:paraId="19B4DAB1"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4.67%</w:t>
            </w:r>
          </w:p>
        </w:tc>
        <w:tc>
          <w:tcPr>
            <w:tcW w:w="2618" w:type="dxa"/>
          </w:tcPr>
          <w:p w14:paraId="4A367DE9"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3.90%</w:t>
            </w:r>
          </w:p>
        </w:tc>
        <w:tc>
          <w:tcPr>
            <w:tcW w:w="2670" w:type="dxa"/>
          </w:tcPr>
          <w:p w14:paraId="278923AB"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3.80%</w:t>
            </w:r>
          </w:p>
        </w:tc>
      </w:tr>
      <w:tr w:rsidR="00104F9B" w:rsidRPr="00B011D0" w14:paraId="72FAE51E" w14:textId="77777777" w:rsidTr="00104F9B">
        <w:tc>
          <w:tcPr>
            <w:cnfStyle w:val="001000000000" w:firstRow="0" w:lastRow="0" w:firstColumn="1" w:lastColumn="0" w:oddVBand="0" w:evenVBand="0" w:oddHBand="0" w:evenHBand="0" w:firstRowFirstColumn="0" w:firstRowLastColumn="0" w:lastRowFirstColumn="0" w:lastRowLastColumn="0"/>
            <w:tcW w:w="1522" w:type="dxa"/>
          </w:tcPr>
          <w:p w14:paraId="14999F8F" w14:textId="77777777" w:rsidR="00104F9B" w:rsidRPr="00B011D0" w:rsidRDefault="00104F9B" w:rsidP="006B508A">
            <w:pPr>
              <w:spacing w:before="120" w:after="120"/>
              <w:jc w:val="both"/>
              <w:rPr>
                <w:rFonts w:cs="Arial"/>
                <w:color w:val="0D0D0D"/>
                <w:spacing w:val="0"/>
                <w:sz w:val="22"/>
                <w:szCs w:val="22"/>
              </w:rPr>
            </w:pPr>
            <w:r w:rsidRPr="00B011D0">
              <w:rPr>
                <w:rFonts w:cs="Arial"/>
                <w:color w:val="0D0D0D"/>
                <w:spacing w:val="0"/>
                <w:sz w:val="22"/>
                <w:szCs w:val="22"/>
              </w:rPr>
              <w:t>25 years</w:t>
            </w:r>
          </w:p>
        </w:tc>
        <w:tc>
          <w:tcPr>
            <w:tcW w:w="2381" w:type="dxa"/>
          </w:tcPr>
          <w:p w14:paraId="648AF475"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5.19%</w:t>
            </w:r>
          </w:p>
        </w:tc>
        <w:tc>
          <w:tcPr>
            <w:tcW w:w="2618" w:type="dxa"/>
          </w:tcPr>
          <w:p w14:paraId="41D11F98"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4.20%</w:t>
            </w:r>
          </w:p>
        </w:tc>
        <w:tc>
          <w:tcPr>
            <w:tcW w:w="2670" w:type="dxa"/>
          </w:tcPr>
          <w:p w14:paraId="0EB5E410"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4.20%</w:t>
            </w:r>
          </w:p>
        </w:tc>
      </w:tr>
      <w:tr w:rsidR="00104F9B" w:rsidRPr="00B011D0" w14:paraId="57F9CDE9" w14:textId="77777777" w:rsidTr="00104F9B">
        <w:tc>
          <w:tcPr>
            <w:cnfStyle w:val="001000000000" w:firstRow="0" w:lastRow="0" w:firstColumn="1" w:lastColumn="0" w:oddVBand="0" w:evenVBand="0" w:oddHBand="0" w:evenHBand="0" w:firstRowFirstColumn="0" w:firstRowLastColumn="0" w:lastRowFirstColumn="0" w:lastRowLastColumn="0"/>
            <w:tcW w:w="1522" w:type="dxa"/>
          </w:tcPr>
          <w:p w14:paraId="1E34AFA7" w14:textId="77777777" w:rsidR="00104F9B" w:rsidRPr="00B011D0" w:rsidRDefault="00104F9B" w:rsidP="006B508A">
            <w:pPr>
              <w:spacing w:before="120" w:after="120"/>
              <w:jc w:val="both"/>
              <w:rPr>
                <w:rFonts w:cs="Arial"/>
                <w:color w:val="0D0D0D"/>
                <w:spacing w:val="0"/>
                <w:sz w:val="22"/>
                <w:szCs w:val="22"/>
              </w:rPr>
            </w:pPr>
            <w:r w:rsidRPr="00B011D0">
              <w:rPr>
                <w:rFonts w:cs="Arial"/>
                <w:color w:val="0D0D0D"/>
                <w:spacing w:val="0"/>
                <w:sz w:val="22"/>
                <w:szCs w:val="22"/>
              </w:rPr>
              <w:t>50 years</w:t>
            </w:r>
          </w:p>
        </w:tc>
        <w:tc>
          <w:tcPr>
            <w:tcW w:w="2381" w:type="dxa"/>
          </w:tcPr>
          <w:p w14:paraId="664367F7"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4.97%</w:t>
            </w:r>
          </w:p>
        </w:tc>
        <w:tc>
          <w:tcPr>
            <w:tcW w:w="2618" w:type="dxa"/>
          </w:tcPr>
          <w:p w14:paraId="42F867D1"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4.00%</w:t>
            </w:r>
          </w:p>
        </w:tc>
        <w:tc>
          <w:tcPr>
            <w:tcW w:w="2670" w:type="dxa"/>
          </w:tcPr>
          <w:p w14:paraId="4EB384C8"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4.00%</w:t>
            </w:r>
          </w:p>
        </w:tc>
      </w:tr>
    </w:tbl>
    <w:p w14:paraId="69E9BB40" w14:textId="77777777" w:rsidR="00104F9B" w:rsidRDefault="00104F9B" w:rsidP="00104F9B">
      <w:pPr>
        <w:spacing w:before="120" w:after="120"/>
        <w:ind w:left="714"/>
        <w:rPr>
          <w:rFonts w:eastAsia="Arial" w:cs="Arial"/>
          <w:color w:val="000000"/>
          <w:spacing w:val="0"/>
          <w:sz w:val="22"/>
          <w:szCs w:val="22"/>
          <w:lang w:val="en-AU"/>
        </w:rPr>
      </w:pPr>
    </w:p>
    <w:p w14:paraId="08AF61D6" w14:textId="77777777" w:rsidR="00104F9B" w:rsidRDefault="00104F9B" w:rsidP="00104F9B">
      <w:pPr>
        <w:spacing w:before="120" w:after="120"/>
        <w:ind w:left="720"/>
        <w:rPr>
          <w:rFonts w:eastAsia="Arial" w:cs="Arial"/>
          <w:b/>
          <w:color w:val="0D0D0D"/>
          <w:spacing w:val="0"/>
          <w:sz w:val="22"/>
          <w:szCs w:val="22"/>
          <w:lang w:val="en-AU"/>
        </w:rPr>
      </w:pPr>
      <w:r w:rsidRPr="00B011D0">
        <w:rPr>
          <w:rFonts w:eastAsia="Arial" w:cs="Arial"/>
          <w:b/>
          <w:color w:val="0D0D0D"/>
          <w:spacing w:val="0"/>
          <w:sz w:val="22"/>
          <w:szCs w:val="22"/>
          <w:lang w:val="en-AU"/>
        </w:rPr>
        <w:t>Borrowing advice</w:t>
      </w:r>
    </w:p>
    <w:p w14:paraId="4743911C" w14:textId="6226E1C0" w:rsidR="00104F9B" w:rsidRDefault="00104F9B" w:rsidP="00104F9B">
      <w:pPr>
        <w:spacing w:before="120" w:after="120"/>
        <w:ind w:left="720"/>
        <w:rPr>
          <w:rFonts w:eastAsia="Arial" w:cs="Arial"/>
          <w:color w:val="0D0D0D"/>
          <w:spacing w:val="0"/>
          <w:sz w:val="22"/>
          <w:szCs w:val="22"/>
          <w:lang w:val="en-AU"/>
        </w:rPr>
      </w:pPr>
      <w:r w:rsidRPr="00B011D0">
        <w:rPr>
          <w:rFonts w:eastAsia="Arial" w:cs="Arial"/>
          <w:color w:val="0D0D0D"/>
          <w:spacing w:val="0"/>
          <w:sz w:val="22"/>
          <w:szCs w:val="22"/>
          <w:lang w:val="en-AU"/>
        </w:rPr>
        <w:t>Our long-term (beyond 10 years) forecast for Bank Rate remains at 3% and reflects Capital Economics’ research that suggests AI and general improvements in productivity will be supportive of a higher neutral interest rate.  As all PWLB certainty rates are currently significantly above this level, borrowing strategies will need to be reviewed in that context.  Overall, better value can be obtained at the shorter end of the curve and short-dated fixed LA to LA monies should be considered. Temporary borrowing rates will remain elevated for some time to come but may prove the best option whilst the market continues to factor in Bank Rate reductions for 2024 and later.</w:t>
      </w:r>
    </w:p>
    <w:p w14:paraId="339D7A2A" w14:textId="77777777" w:rsidR="00104F9B" w:rsidRDefault="00104F9B" w:rsidP="00104F9B">
      <w:pPr>
        <w:spacing w:before="120" w:after="120"/>
        <w:ind w:left="720"/>
        <w:rPr>
          <w:rFonts w:eastAsia="Arial" w:cs="Arial"/>
          <w:color w:val="0D0D0D"/>
          <w:spacing w:val="0"/>
          <w:sz w:val="22"/>
          <w:szCs w:val="22"/>
          <w:lang w:val="en-AU"/>
        </w:rPr>
      </w:pPr>
    </w:p>
    <w:p w14:paraId="1642C264" w14:textId="77777777" w:rsidR="00104F9B" w:rsidRDefault="00104F9B" w:rsidP="00104F9B">
      <w:pPr>
        <w:spacing w:before="120" w:after="120"/>
        <w:ind w:left="720"/>
        <w:rPr>
          <w:rFonts w:eastAsia="Arial" w:cs="Arial"/>
          <w:color w:val="0D0D0D"/>
          <w:spacing w:val="0"/>
          <w:sz w:val="22"/>
          <w:szCs w:val="22"/>
          <w:lang w:val="en-AU"/>
        </w:rPr>
      </w:pPr>
    </w:p>
    <w:p w14:paraId="13EC19D6" w14:textId="77777777" w:rsidR="00104F9B" w:rsidRDefault="00104F9B" w:rsidP="00104F9B">
      <w:pPr>
        <w:spacing w:before="120" w:after="120"/>
        <w:ind w:left="720"/>
        <w:rPr>
          <w:rFonts w:eastAsia="Arial" w:cs="Arial"/>
          <w:color w:val="0D0D0D"/>
          <w:spacing w:val="0"/>
          <w:sz w:val="22"/>
          <w:szCs w:val="22"/>
          <w:lang w:val="en-AU"/>
        </w:rPr>
      </w:pPr>
    </w:p>
    <w:p w14:paraId="3B11F501" w14:textId="77777777" w:rsidR="00104F9B" w:rsidRDefault="00104F9B" w:rsidP="00104F9B">
      <w:pPr>
        <w:spacing w:before="120" w:after="120"/>
        <w:ind w:left="720"/>
        <w:rPr>
          <w:rFonts w:eastAsia="Arial" w:cs="Arial"/>
          <w:color w:val="0D0D0D"/>
          <w:spacing w:val="0"/>
          <w:sz w:val="22"/>
          <w:szCs w:val="22"/>
          <w:lang w:val="en-AU"/>
        </w:rPr>
      </w:pPr>
    </w:p>
    <w:p w14:paraId="0622B891" w14:textId="77777777" w:rsidR="00104F9B" w:rsidRDefault="00104F9B" w:rsidP="00104F9B">
      <w:pPr>
        <w:spacing w:before="120" w:after="120"/>
        <w:ind w:left="720"/>
        <w:rPr>
          <w:rFonts w:eastAsia="Arial" w:cs="Arial"/>
          <w:color w:val="0D0D0D"/>
          <w:spacing w:val="0"/>
          <w:sz w:val="22"/>
          <w:szCs w:val="22"/>
          <w:lang w:val="en-AU"/>
        </w:rPr>
      </w:pPr>
      <w:r w:rsidRPr="00B011D0">
        <w:rPr>
          <w:rFonts w:eastAsia="Arial" w:cs="Arial"/>
          <w:color w:val="0D0D0D"/>
          <w:spacing w:val="0"/>
          <w:sz w:val="22"/>
          <w:szCs w:val="22"/>
          <w:lang w:val="en-AU"/>
        </w:rPr>
        <w:t xml:space="preserve">Our suggested budgeted earnings rates for investments up to about three months’ duration in each financial year are set out below.  </w:t>
      </w:r>
    </w:p>
    <w:p w14:paraId="0D24BC67" w14:textId="77777777" w:rsidR="00104F9B" w:rsidRDefault="00104F9B" w:rsidP="00104F9B">
      <w:pPr>
        <w:spacing w:before="120" w:after="120"/>
        <w:ind w:left="720"/>
        <w:rPr>
          <w:rFonts w:eastAsia="Arial" w:cs="Arial"/>
          <w:color w:val="0D0D0D"/>
          <w:spacing w:val="0"/>
          <w:sz w:val="22"/>
          <w:szCs w:val="22"/>
          <w:lang w:val="en-AU"/>
        </w:rPr>
      </w:pPr>
    </w:p>
    <w:tbl>
      <w:tblPr>
        <w:tblStyle w:val="DefaultTable"/>
        <w:tblW w:w="7797" w:type="dxa"/>
        <w:tblInd w:w="1197" w:type="dxa"/>
        <w:tblLook w:val="04A0" w:firstRow="1" w:lastRow="0" w:firstColumn="1" w:lastColumn="0" w:noHBand="0" w:noVBand="1"/>
      </w:tblPr>
      <w:tblGrid>
        <w:gridCol w:w="3418"/>
        <w:gridCol w:w="2252"/>
        <w:gridCol w:w="2127"/>
      </w:tblGrid>
      <w:tr w:rsidR="00104F9B" w:rsidRPr="00B011D0" w14:paraId="41695FC1" w14:textId="77777777" w:rsidTr="00104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371CF027" w14:textId="77777777" w:rsidR="00104F9B" w:rsidRPr="00B011D0" w:rsidRDefault="00104F9B" w:rsidP="006B508A">
            <w:pPr>
              <w:spacing w:before="120" w:after="120"/>
              <w:jc w:val="center"/>
              <w:rPr>
                <w:rFonts w:cs="Arial"/>
                <w:spacing w:val="0"/>
                <w:sz w:val="22"/>
                <w:szCs w:val="22"/>
              </w:rPr>
            </w:pPr>
            <w:r w:rsidRPr="00B011D0">
              <w:rPr>
                <w:rFonts w:cs="Arial"/>
                <w:spacing w:val="0"/>
                <w:sz w:val="22"/>
                <w:szCs w:val="22"/>
              </w:rPr>
              <w:t>Average earnings in each year</w:t>
            </w:r>
          </w:p>
        </w:tc>
        <w:tc>
          <w:tcPr>
            <w:tcW w:w="2252" w:type="dxa"/>
          </w:tcPr>
          <w:p w14:paraId="6C35E287"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Now</w:t>
            </w:r>
          </w:p>
        </w:tc>
        <w:tc>
          <w:tcPr>
            <w:tcW w:w="2127" w:type="dxa"/>
          </w:tcPr>
          <w:p w14:paraId="6A40577E" w14:textId="77777777" w:rsidR="00104F9B" w:rsidRPr="00B011D0" w:rsidRDefault="00104F9B"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sz w:val="22"/>
                <w:szCs w:val="22"/>
              </w:rPr>
            </w:pPr>
            <w:r w:rsidRPr="00B011D0">
              <w:rPr>
                <w:rFonts w:cs="Arial"/>
                <w:spacing w:val="0"/>
                <w:sz w:val="22"/>
                <w:szCs w:val="22"/>
              </w:rPr>
              <w:t>Previously</w:t>
            </w:r>
          </w:p>
        </w:tc>
      </w:tr>
      <w:tr w:rsidR="00104F9B" w:rsidRPr="00B011D0" w14:paraId="6BF3E9E4"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028B46EF"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2023/24 (residual)</w:t>
            </w:r>
          </w:p>
        </w:tc>
        <w:tc>
          <w:tcPr>
            <w:tcW w:w="2252" w:type="dxa"/>
          </w:tcPr>
          <w:p w14:paraId="342CEDCE"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highlight w:val="yellow"/>
              </w:rPr>
            </w:pPr>
            <w:r w:rsidRPr="00B011D0">
              <w:rPr>
                <w:rFonts w:cs="Arial"/>
                <w:color w:val="0D0D0D"/>
                <w:spacing w:val="0"/>
                <w:sz w:val="22"/>
                <w:szCs w:val="22"/>
              </w:rPr>
              <w:t>5.30%</w:t>
            </w:r>
          </w:p>
        </w:tc>
        <w:tc>
          <w:tcPr>
            <w:tcW w:w="2127" w:type="dxa"/>
          </w:tcPr>
          <w:p w14:paraId="3AABCD68"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5.30%</w:t>
            </w:r>
          </w:p>
        </w:tc>
      </w:tr>
      <w:tr w:rsidR="00104F9B" w:rsidRPr="00B011D0" w14:paraId="0F61E8AC"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0760CB3D"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2024/25</w:t>
            </w:r>
          </w:p>
        </w:tc>
        <w:tc>
          <w:tcPr>
            <w:tcW w:w="2252" w:type="dxa"/>
          </w:tcPr>
          <w:p w14:paraId="27619CEF"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highlight w:val="yellow"/>
              </w:rPr>
            </w:pPr>
            <w:r w:rsidRPr="00B011D0">
              <w:rPr>
                <w:rFonts w:cs="Arial"/>
                <w:color w:val="0D0D0D"/>
                <w:spacing w:val="0"/>
                <w:sz w:val="22"/>
                <w:szCs w:val="22"/>
              </w:rPr>
              <w:t>4.55%</w:t>
            </w:r>
          </w:p>
        </w:tc>
        <w:tc>
          <w:tcPr>
            <w:tcW w:w="2127" w:type="dxa"/>
          </w:tcPr>
          <w:p w14:paraId="66CE3205"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4.70%</w:t>
            </w:r>
          </w:p>
        </w:tc>
      </w:tr>
      <w:tr w:rsidR="00104F9B" w:rsidRPr="00B011D0" w14:paraId="583D3B23"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3A27D5D1"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2025/26</w:t>
            </w:r>
          </w:p>
        </w:tc>
        <w:tc>
          <w:tcPr>
            <w:tcW w:w="2252" w:type="dxa"/>
          </w:tcPr>
          <w:p w14:paraId="254289C5" w14:textId="77777777" w:rsidR="00104F9B" w:rsidRPr="00B011D0" w:rsidRDefault="00104F9B" w:rsidP="006B508A">
            <w:pPr>
              <w:spacing w:before="120" w:after="120"/>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highlight w:val="yellow"/>
              </w:rPr>
            </w:pPr>
            <w:r w:rsidRPr="00B011D0">
              <w:rPr>
                <w:rFonts w:cs="Arial"/>
                <w:color w:val="0D0D0D"/>
                <w:spacing w:val="0"/>
                <w:sz w:val="22"/>
                <w:szCs w:val="22"/>
              </w:rPr>
              <w:t xml:space="preserve">           3.10%</w:t>
            </w:r>
          </w:p>
        </w:tc>
        <w:tc>
          <w:tcPr>
            <w:tcW w:w="2127" w:type="dxa"/>
          </w:tcPr>
          <w:p w14:paraId="04AC120D"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3.20%</w:t>
            </w:r>
          </w:p>
        </w:tc>
      </w:tr>
      <w:tr w:rsidR="00104F9B" w:rsidRPr="00B011D0" w14:paraId="78480134"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40129351"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2026/27</w:t>
            </w:r>
          </w:p>
        </w:tc>
        <w:tc>
          <w:tcPr>
            <w:tcW w:w="2252" w:type="dxa"/>
          </w:tcPr>
          <w:p w14:paraId="23AA6FF5"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highlight w:val="yellow"/>
              </w:rPr>
            </w:pPr>
            <w:r w:rsidRPr="00B011D0">
              <w:rPr>
                <w:rFonts w:cs="Arial"/>
                <w:color w:val="0D0D0D"/>
                <w:spacing w:val="0"/>
                <w:sz w:val="22"/>
                <w:szCs w:val="22"/>
              </w:rPr>
              <w:t>3.00%</w:t>
            </w:r>
          </w:p>
        </w:tc>
        <w:tc>
          <w:tcPr>
            <w:tcW w:w="2127" w:type="dxa"/>
          </w:tcPr>
          <w:p w14:paraId="5C95C233"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3.00%</w:t>
            </w:r>
          </w:p>
        </w:tc>
      </w:tr>
      <w:tr w:rsidR="00104F9B" w:rsidRPr="00B011D0" w14:paraId="60EA0ADA"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7D63308E"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2027/28</w:t>
            </w:r>
          </w:p>
        </w:tc>
        <w:tc>
          <w:tcPr>
            <w:tcW w:w="2252" w:type="dxa"/>
          </w:tcPr>
          <w:p w14:paraId="614AC3C6"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c>
          <w:tcPr>
            <w:tcW w:w="2127" w:type="dxa"/>
          </w:tcPr>
          <w:p w14:paraId="0C457D71"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r>
      <w:tr w:rsidR="00104F9B" w:rsidRPr="00B011D0" w14:paraId="0AC37698"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0DAF2CE2"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2028/29</w:t>
            </w:r>
          </w:p>
        </w:tc>
        <w:tc>
          <w:tcPr>
            <w:tcW w:w="2252" w:type="dxa"/>
          </w:tcPr>
          <w:p w14:paraId="14598BDB"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c>
          <w:tcPr>
            <w:tcW w:w="2127" w:type="dxa"/>
          </w:tcPr>
          <w:p w14:paraId="4A571B69"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r>
      <w:tr w:rsidR="00104F9B" w:rsidRPr="00B011D0" w14:paraId="5AA0D825"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07A96AD5"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Years 6 to 10</w:t>
            </w:r>
          </w:p>
        </w:tc>
        <w:tc>
          <w:tcPr>
            <w:tcW w:w="2252" w:type="dxa"/>
          </w:tcPr>
          <w:p w14:paraId="0974170B"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c>
          <w:tcPr>
            <w:tcW w:w="2127" w:type="dxa"/>
          </w:tcPr>
          <w:p w14:paraId="45A4B42C"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r>
      <w:tr w:rsidR="00104F9B" w:rsidRPr="00B011D0" w14:paraId="0D04D967" w14:textId="77777777" w:rsidTr="00104F9B">
        <w:tc>
          <w:tcPr>
            <w:cnfStyle w:val="001000000000" w:firstRow="0" w:lastRow="0" w:firstColumn="1" w:lastColumn="0" w:oddVBand="0" w:evenVBand="0" w:oddHBand="0" w:evenHBand="0" w:firstRowFirstColumn="0" w:firstRowLastColumn="0" w:lastRowFirstColumn="0" w:lastRowLastColumn="0"/>
            <w:tcW w:w="3418" w:type="dxa"/>
          </w:tcPr>
          <w:p w14:paraId="6790ED50" w14:textId="77777777" w:rsidR="00104F9B" w:rsidRPr="00B011D0" w:rsidRDefault="00104F9B" w:rsidP="006B508A">
            <w:pPr>
              <w:spacing w:before="120" w:after="120"/>
              <w:jc w:val="center"/>
              <w:rPr>
                <w:rFonts w:cs="Arial"/>
                <w:color w:val="0D0D0D"/>
                <w:spacing w:val="0"/>
                <w:sz w:val="22"/>
                <w:szCs w:val="22"/>
              </w:rPr>
            </w:pPr>
            <w:r w:rsidRPr="00B011D0">
              <w:rPr>
                <w:rFonts w:cs="Arial"/>
                <w:color w:val="0D0D0D"/>
                <w:spacing w:val="0"/>
                <w:sz w:val="22"/>
                <w:szCs w:val="22"/>
              </w:rPr>
              <w:t>Years 10+</w:t>
            </w:r>
          </w:p>
        </w:tc>
        <w:tc>
          <w:tcPr>
            <w:tcW w:w="2252" w:type="dxa"/>
          </w:tcPr>
          <w:p w14:paraId="3DED0927"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c>
          <w:tcPr>
            <w:tcW w:w="2127" w:type="dxa"/>
          </w:tcPr>
          <w:p w14:paraId="4984F702" w14:textId="77777777" w:rsidR="00104F9B" w:rsidRPr="00B011D0" w:rsidRDefault="00104F9B"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sz w:val="22"/>
                <w:szCs w:val="22"/>
              </w:rPr>
            </w:pPr>
            <w:r w:rsidRPr="00B011D0">
              <w:rPr>
                <w:rFonts w:cs="Arial"/>
                <w:color w:val="0D0D0D"/>
                <w:spacing w:val="0"/>
                <w:sz w:val="22"/>
                <w:szCs w:val="22"/>
              </w:rPr>
              <w:t>3.25%</w:t>
            </w:r>
          </w:p>
        </w:tc>
      </w:tr>
    </w:tbl>
    <w:p w14:paraId="22DEC51F" w14:textId="77777777" w:rsidR="00104F9B" w:rsidRPr="00B011D0" w:rsidRDefault="00104F9B" w:rsidP="00104F9B">
      <w:pPr>
        <w:spacing w:before="120" w:after="120"/>
        <w:ind w:left="720"/>
        <w:rPr>
          <w:rFonts w:eastAsia="Arial" w:cs="Arial"/>
          <w:color w:val="0D0D0D"/>
          <w:spacing w:val="0"/>
          <w:sz w:val="22"/>
          <w:szCs w:val="22"/>
          <w:lang w:val="en-AU"/>
        </w:rPr>
      </w:pPr>
    </w:p>
    <w:p w14:paraId="662B87D0" w14:textId="77777777" w:rsidR="00104F9B" w:rsidRPr="009D66AF" w:rsidRDefault="00104F9B" w:rsidP="00104F9B">
      <w:pPr>
        <w:spacing w:before="120" w:after="120"/>
        <w:ind w:left="714"/>
        <w:rPr>
          <w:rFonts w:eastAsia="Arial" w:cs="Arial"/>
          <w:color w:val="0D0D0D"/>
          <w:spacing w:val="0"/>
          <w:sz w:val="22"/>
          <w:szCs w:val="22"/>
          <w:lang w:val="en-AU"/>
        </w:rPr>
      </w:pPr>
    </w:p>
    <w:p w14:paraId="02678DF1" w14:textId="77777777" w:rsidR="00104F9B" w:rsidRPr="00B011D0" w:rsidRDefault="00104F9B" w:rsidP="00104F9B">
      <w:pPr>
        <w:spacing w:before="120" w:after="120"/>
        <w:ind w:left="720"/>
        <w:jc w:val="both"/>
        <w:rPr>
          <w:rFonts w:eastAsia="Arial" w:cs="Arial"/>
          <w:color w:val="0D0D0D"/>
          <w:spacing w:val="0"/>
          <w:sz w:val="22"/>
          <w:szCs w:val="22"/>
          <w:lang w:val="en-AU"/>
        </w:rPr>
      </w:pPr>
      <w:r w:rsidRPr="00B011D0">
        <w:rPr>
          <w:rFonts w:eastAsia="Arial" w:cs="Arial"/>
          <w:color w:val="0D0D0D"/>
          <w:spacing w:val="0"/>
          <w:sz w:val="22"/>
          <w:szCs w:val="22"/>
          <w:lang w:val="en-AU"/>
        </w:rPr>
        <w:t xml:space="preserve">As there are so many variables at this time, caution must be exercised in respect of all interest rate forecasts.  </w:t>
      </w:r>
    </w:p>
    <w:p w14:paraId="59BD162A" w14:textId="77777777" w:rsidR="00104F9B" w:rsidRPr="00B011D0" w:rsidRDefault="00104F9B" w:rsidP="00104F9B">
      <w:pPr>
        <w:spacing w:before="120" w:after="120"/>
        <w:ind w:left="720"/>
        <w:jc w:val="both"/>
        <w:rPr>
          <w:rFonts w:eastAsia="Arial" w:cs="Arial"/>
          <w:color w:val="0D0D0D"/>
          <w:spacing w:val="0"/>
          <w:sz w:val="22"/>
          <w:szCs w:val="22"/>
          <w:lang w:val="en-AU"/>
        </w:rPr>
      </w:pPr>
      <w:r w:rsidRPr="00B011D0">
        <w:rPr>
          <w:rFonts w:eastAsia="Arial" w:cs="Arial"/>
          <w:color w:val="0D0D0D"/>
          <w:spacing w:val="0"/>
          <w:sz w:val="22"/>
          <w:szCs w:val="22"/>
          <w:lang w:val="en-AU"/>
        </w:rPr>
        <w:t>Our interest rate forecast for Bank Rate is in steps of 25 bps, whereas PWLB forecasts have been rounded to the nearest 10 bps and are central forecasts within bands of + / - 25 bps. Naturally, we continue to monitor events and will update our forecasts as and when appropriate.</w:t>
      </w:r>
    </w:p>
    <w:p w14:paraId="73F6381E" w14:textId="77777777" w:rsidR="0047280A" w:rsidRDefault="0047280A">
      <w:pPr>
        <w:rPr>
          <w:rFonts w:cs="Arial"/>
          <w:b/>
          <w:noProof/>
          <w:color w:val="993366"/>
          <w:sz w:val="24"/>
          <w:szCs w:val="24"/>
        </w:rPr>
      </w:pPr>
      <w:r>
        <w:rPr>
          <w:rFonts w:cs="Arial"/>
          <w:b/>
          <w:noProof/>
          <w:color w:val="993366"/>
          <w:sz w:val="24"/>
          <w:szCs w:val="24"/>
        </w:rPr>
        <w:br w:type="page"/>
      </w:r>
    </w:p>
    <w:p w14:paraId="1B1C201F" w14:textId="77777777" w:rsidR="000F05C2" w:rsidRDefault="000F05C2">
      <w:pPr>
        <w:rPr>
          <w:rFonts w:cs="Arial"/>
          <w:b/>
          <w:noProof/>
          <w:color w:val="993366"/>
          <w:sz w:val="24"/>
          <w:szCs w:val="24"/>
        </w:rPr>
      </w:pPr>
    </w:p>
    <w:p w14:paraId="4790C6C7" w14:textId="134D5A0D" w:rsidR="00062BC5" w:rsidRPr="000F05C2" w:rsidRDefault="00062BC5" w:rsidP="000F05C2">
      <w:pPr>
        <w:numPr>
          <w:ilvl w:val="1"/>
          <w:numId w:val="20"/>
        </w:numPr>
        <w:tabs>
          <w:tab w:val="clear" w:pos="1080"/>
        </w:tabs>
        <w:ind w:left="540" w:hanging="540"/>
        <w:rPr>
          <w:rFonts w:cs="Arial"/>
          <w:b/>
          <w:bCs/>
          <w:noProof/>
          <w:color w:val="993366"/>
          <w:sz w:val="24"/>
          <w:szCs w:val="24"/>
        </w:rPr>
      </w:pPr>
      <w:r w:rsidRPr="000F05C2">
        <w:rPr>
          <w:rFonts w:cs="Arial"/>
          <w:b/>
          <w:noProof/>
          <w:color w:val="993366"/>
          <w:sz w:val="24"/>
          <w:szCs w:val="24"/>
        </w:rPr>
        <w:t>Borrowing Strategy</w:t>
      </w:r>
    </w:p>
    <w:p w14:paraId="18268BD3" w14:textId="77777777" w:rsidR="00062BC5" w:rsidRPr="003622F5" w:rsidRDefault="00062BC5" w:rsidP="00FF4112">
      <w:pPr>
        <w:ind w:left="540"/>
        <w:rPr>
          <w:rFonts w:cs="Arial"/>
          <w:b/>
          <w:bCs/>
          <w:noProof/>
          <w:color w:val="993366"/>
          <w:sz w:val="24"/>
          <w:szCs w:val="24"/>
        </w:rPr>
      </w:pPr>
    </w:p>
    <w:p w14:paraId="19CED4BA" w14:textId="516F885D" w:rsidR="00062BC5" w:rsidRPr="003622F5" w:rsidRDefault="003622F5" w:rsidP="005B34C4">
      <w:pPr>
        <w:numPr>
          <w:ilvl w:val="2"/>
          <w:numId w:val="20"/>
        </w:numPr>
        <w:rPr>
          <w:rFonts w:cs="Arial"/>
          <w:b/>
          <w:bCs/>
          <w:noProof/>
          <w:color w:val="993366"/>
          <w:sz w:val="22"/>
          <w:szCs w:val="22"/>
        </w:rPr>
      </w:pPr>
      <w:r w:rsidRPr="003622F5">
        <w:rPr>
          <w:rFonts w:cs="Arial"/>
          <w:sz w:val="22"/>
          <w:szCs w:val="22"/>
        </w:rPr>
        <w:t xml:space="preserve">The </w:t>
      </w:r>
      <w:r w:rsidR="00104F9B">
        <w:rPr>
          <w:rFonts w:cs="Arial"/>
          <w:sz w:val="22"/>
          <w:szCs w:val="22"/>
        </w:rPr>
        <w:t>Council</w:t>
      </w:r>
      <w:r w:rsidRPr="003622F5">
        <w:rPr>
          <w:rFonts w:cs="Arial"/>
          <w:sz w:val="22"/>
          <w:szCs w:val="22"/>
        </w:rPr>
        <w:t xml:space="preserve"> is currently maintaining an under-borrowed position.  This means that the capital borrowing need, (the Capital Financing Requirement), has not been fully funded with loan debt as cash supporting the </w:t>
      </w:r>
      <w:r w:rsidR="00104F9B">
        <w:rPr>
          <w:rFonts w:cs="Arial"/>
          <w:sz w:val="22"/>
          <w:szCs w:val="22"/>
        </w:rPr>
        <w:t>Council</w:t>
      </w:r>
      <w:r w:rsidRPr="003622F5">
        <w:rPr>
          <w:rFonts w:cs="Arial"/>
          <w:sz w:val="22"/>
          <w:szCs w:val="22"/>
        </w:rPr>
        <w:t xml:space="preserve">’s reserves, balances and cash flow has been used as a temporary measure. This strategy is prudent as medium and longer dated borrowing rates are expected to fall from their current levels once prevailing inflation concerns are addressed by tighter near-term monetary policy.  That is, Bank Rate </w:t>
      </w:r>
      <w:r w:rsidR="00104F9B">
        <w:rPr>
          <w:rFonts w:cs="Arial"/>
          <w:sz w:val="22"/>
          <w:szCs w:val="22"/>
        </w:rPr>
        <w:t>remains elevated through to the second half of 2024</w:t>
      </w:r>
      <w:r w:rsidRPr="003622F5">
        <w:rPr>
          <w:rFonts w:cs="Arial"/>
          <w:sz w:val="22"/>
          <w:szCs w:val="22"/>
        </w:rPr>
        <w:t>.</w:t>
      </w:r>
      <w:r w:rsidR="00062BC5" w:rsidRPr="003622F5">
        <w:rPr>
          <w:rFonts w:cs="Arial"/>
          <w:noProof/>
          <w:sz w:val="22"/>
          <w:szCs w:val="22"/>
        </w:rPr>
        <w:t xml:space="preserve"> </w:t>
      </w:r>
      <w:r w:rsidR="00062BC5" w:rsidRPr="003622F5">
        <w:rPr>
          <w:rFonts w:cs="Arial"/>
          <w:noProof/>
          <w:sz w:val="22"/>
          <w:szCs w:val="22"/>
        </w:rPr>
        <w:br/>
      </w:r>
    </w:p>
    <w:p w14:paraId="2EC3AA74" w14:textId="195A0A34" w:rsidR="00CC5568" w:rsidRPr="008F654D" w:rsidRDefault="003622F5" w:rsidP="005B34C4">
      <w:pPr>
        <w:numPr>
          <w:ilvl w:val="2"/>
          <w:numId w:val="20"/>
        </w:numPr>
        <w:rPr>
          <w:rFonts w:cs="Arial"/>
          <w:noProof/>
          <w:sz w:val="22"/>
          <w:szCs w:val="22"/>
        </w:rPr>
      </w:pPr>
      <w:r w:rsidRPr="00D07ABD">
        <w:rPr>
          <w:rFonts w:cs="Arial"/>
          <w:sz w:val="22"/>
          <w:szCs w:val="22"/>
        </w:rPr>
        <w:t>Against this background and the risks within the economic forecast, caution will be adopted with the 202</w:t>
      </w:r>
      <w:r w:rsidR="00104F9B">
        <w:rPr>
          <w:rFonts w:cs="Arial"/>
          <w:sz w:val="22"/>
          <w:szCs w:val="22"/>
        </w:rPr>
        <w:t>4</w:t>
      </w:r>
      <w:r w:rsidRPr="00D07ABD">
        <w:rPr>
          <w:rFonts w:cs="Arial"/>
          <w:sz w:val="22"/>
          <w:szCs w:val="22"/>
        </w:rPr>
        <w:t>/2</w:t>
      </w:r>
      <w:r w:rsidR="00104F9B">
        <w:rPr>
          <w:rFonts w:cs="Arial"/>
          <w:sz w:val="22"/>
          <w:szCs w:val="22"/>
        </w:rPr>
        <w:t>5</w:t>
      </w:r>
      <w:r w:rsidRPr="00D07ABD">
        <w:rPr>
          <w:rFonts w:cs="Arial"/>
          <w:sz w:val="22"/>
          <w:szCs w:val="22"/>
        </w:rPr>
        <w:t xml:space="preserve"> treasury operations. The </w:t>
      </w:r>
      <w:r w:rsidR="00104F9B">
        <w:rPr>
          <w:rFonts w:cs="Arial"/>
          <w:sz w:val="22"/>
          <w:szCs w:val="22"/>
        </w:rPr>
        <w:t>Director of</w:t>
      </w:r>
      <w:r w:rsidR="0070041D">
        <w:rPr>
          <w:rFonts w:cs="Arial"/>
          <w:sz w:val="22"/>
          <w:szCs w:val="22"/>
        </w:rPr>
        <w:t xml:space="preserve"> Financ</w:t>
      </w:r>
      <w:r w:rsidR="00104F9B">
        <w:rPr>
          <w:rFonts w:cs="Arial"/>
          <w:sz w:val="22"/>
          <w:szCs w:val="22"/>
        </w:rPr>
        <w:t>e and Procurement</w:t>
      </w:r>
      <w:r w:rsidRPr="00D07ABD">
        <w:rPr>
          <w:rFonts w:cs="Arial"/>
          <w:sz w:val="22"/>
          <w:szCs w:val="22"/>
        </w:rPr>
        <w:t xml:space="preserve"> will monitor interest rates in financial markets and adopt a pragmatic approach to changing circumstances</w:t>
      </w:r>
      <w:r w:rsidR="00062BC5" w:rsidRPr="008F654D">
        <w:rPr>
          <w:rFonts w:cs="Arial"/>
          <w:noProof/>
          <w:sz w:val="22"/>
          <w:szCs w:val="22"/>
        </w:rPr>
        <w:t>:</w:t>
      </w:r>
      <w:r>
        <w:rPr>
          <w:rFonts w:cs="Arial"/>
          <w:noProof/>
          <w:sz w:val="22"/>
          <w:szCs w:val="22"/>
        </w:rPr>
        <w:t xml:space="preserve"> </w:t>
      </w:r>
    </w:p>
    <w:p w14:paraId="236EF78A" w14:textId="77777777" w:rsidR="00CC5568" w:rsidRPr="008F654D" w:rsidRDefault="00062BC5" w:rsidP="00CC5568">
      <w:pPr>
        <w:ind w:left="567"/>
        <w:rPr>
          <w:rFonts w:cs="Arial"/>
          <w:noProof/>
          <w:sz w:val="22"/>
          <w:szCs w:val="22"/>
        </w:rPr>
      </w:pPr>
      <w:r w:rsidRPr="00D26131">
        <w:rPr>
          <w:rFonts w:cs="Arial"/>
          <w:noProof/>
          <w:sz w:val="22"/>
          <w:szCs w:val="22"/>
          <w:highlight w:val="yellow"/>
        </w:rPr>
        <w:br/>
      </w:r>
      <w:r w:rsidR="00CC5568" w:rsidRPr="008F654D">
        <w:rPr>
          <w:rFonts w:cs="Arial"/>
          <w:noProof/>
          <w:sz w:val="22"/>
          <w:szCs w:val="22"/>
        </w:rPr>
        <w:t>•</w:t>
      </w:r>
      <w:r w:rsidR="00CC5568" w:rsidRPr="008F654D">
        <w:rPr>
          <w:rFonts w:cs="Arial"/>
          <w:noProof/>
          <w:sz w:val="22"/>
          <w:szCs w:val="22"/>
        </w:rPr>
        <w:tab/>
      </w:r>
      <w:r w:rsidR="003622F5" w:rsidRPr="00D07ABD">
        <w:rPr>
          <w:rFonts w:cs="Arial"/>
          <w:i/>
          <w:sz w:val="22"/>
          <w:szCs w:val="22"/>
        </w:rPr>
        <w:t>if it was felt that there was a significant risk of a sharp FALL in borrowing rates,</w:t>
      </w:r>
      <w:r w:rsidR="003622F5" w:rsidRPr="00D07ABD">
        <w:rPr>
          <w:rFonts w:cs="Arial"/>
          <w:sz w:val="22"/>
          <w:szCs w:val="22"/>
        </w:rPr>
        <w:t xml:space="preserve"> then borrowing will be postponed</w:t>
      </w:r>
      <w:r w:rsidR="00C55B92" w:rsidRPr="008F654D">
        <w:rPr>
          <w:rFonts w:cs="Arial"/>
          <w:noProof/>
          <w:sz w:val="22"/>
          <w:szCs w:val="22"/>
        </w:rPr>
        <w:t>.</w:t>
      </w:r>
    </w:p>
    <w:p w14:paraId="731B22FA" w14:textId="77777777" w:rsidR="00CC5568" w:rsidRPr="008F654D" w:rsidRDefault="00CC5568" w:rsidP="00CC5568">
      <w:pPr>
        <w:ind w:left="567"/>
        <w:rPr>
          <w:rFonts w:cs="Arial"/>
          <w:noProof/>
          <w:sz w:val="22"/>
          <w:szCs w:val="22"/>
        </w:rPr>
      </w:pPr>
    </w:p>
    <w:p w14:paraId="7319B359" w14:textId="77777777" w:rsidR="00062BC5" w:rsidRPr="008F654D" w:rsidRDefault="00CC5568" w:rsidP="00CC5568">
      <w:pPr>
        <w:ind w:left="567"/>
        <w:rPr>
          <w:rFonts w:cs="Arial"/>
          <w:noProof/>
          <w:sz w:val="22"/>
          <w:szCs w:val="22"/>
        </w:rPr>
      </w:pPr>
      <w:r w:rsidRPr="008F654D">
        <w:rPr>
          <w:rFonts w:cs="Arial"/>
          <w:noProof/>
          <w:sz w:val="22"/>
          <w:szCs w:val="22"/>
        </w:rPr>
        <w:t>•</w:t>
      </w:r>
      <w:r w:rsidRPr="008F654D">
        <w:rPr>
          <w:rFonts w:cs="Arial"/>
          <w:noProof/>
          <w:sz w:val="22"/>
          <w:szCs w:val="22"/>
        </w:rPr>
        <w:tab/>
      </w:r>
      <w:r w:rsidR="003622F5" w:rsidRPr="00D07ABD">
        <w:rPr>
          <w:rFonts w:cs="Arial"/>
          <w:i/>
          <w:sz w:val="22"/>
          <w:szCs w:val="22"/>
        </w:rPr>
        <w:t xml:space="preserve">if it was felt that there was a significant risk of a much sharper RISE in borrowing rates than that currently forecast, </w:t>
      </w:r>
      <w:r w:rsidR="003622F5" w:rsidRPr="00D07ABD">
        <w:rPr>
          <w:rFonts w:cs="Arial"/>
          <w:sz w:val="22"/>
          <w:szCs w:val="22"/>
        </w:rPr>
        <w:t>fixed rate funding will be drawn whilst interest rates are lower than they are projected to be in the next few years</w:t>
      </w:r>
      <w:r w:rsidRPr="008F654D">
        <w:rPr>
          <w:rFonts w:cs="Arial"/>
          <w:noProof/>
          <w:sz w:val="22"/>
          <w:szCs w:val="22"/>
        </w:rPr>
        <w:t>.</w:t>
      </w:r>
    </w:p>
    <w:p w14:paraId="3C025824" w14:textId="77777777" w:rsidR="00CC5568" w:rsidRPr="00D26131" w:rsidRDefault="00CC5568" w:rsidP="00CC5568">
      <w:pPr>
        <w:ind w:left="567"/>
        <w:rPr>
          <w:rFonts w:cs="Arial"/>
          <w:noProof/>
          <w:sz w:val="22"/>
          <w:szCs w:val="22"/>
          <w:highlight w:val="yellow"/>
        </w:rPr>
      </w:pPr>
    </w:p>
    <w:p w14:paraId="40FC2BD4" w14:textId="77777777" w:rsidR="00062BC5" w:rsidRPr="008F654D" w:rsidRDefault="003622F5" w:rsidP="005B34C4">
      <w:pPr>
        <w:numPr>
          <w:ilvl w:val="2"/>
          <w:numId w:val="20"/>
        </w:numPr>
        <w:tabs>
          <w:tab w:val="num" w:pos="900"/>
        </w:tabs>
        <w:ind w:left="900" w:hanging="900"/>
        <w:rPr>
          <w:rFonts w:cs="Arial"/>
          <w:noProof/>
          <w:sz w:val="22"/>
          <w:szCs w:val="22"/>
        </w:rPr>
      </w:pPr>
      <w:r w:rsidRPr="00D07ABD">
        <w:rPr>
          <w:rFonts w:cs="Arial"/>
          <w:sz w:val="22"/>
          <w:szCs w:val="22"/>
        </w:rPr>
        <w:t>Any decisions will be reported to the appropriate decision-making body</w:t>
      </w:r>
      <w:r w:rsidRPr="00D07ABD">
        <w:rPr>
          <w:rFonts w:cs="Arial"/>
          <w:b/>
          <w:i/>
          <w:sz w:val="22"/>
          <w:szCs w:val="22"/>
        </w:rPr>
        <w:t xml:space="preserve"> </w:t>
      </w:r>
      <w:r w:rsidRPr="00D07ABD">
        <w:rPr>
          <w:rFonts w:cs="Arial"/>
          <w:sz w:val="22"/>
          <w:szCs w:val="22"/>
        </w:rPr>
        <w:t>at the next available opportunity</w:t>
      </w:r>
      <w:r w:rsidR="00062BC5" w:rsidRPr="008F654D">
        <w:rPr>
          <w:noProof/>
          <w:sz w:val="22"/>
          <w:szCs w:val="22"/>
        </w:rPr>
        <w:t>.</w:t>
      </w:r>
    </w:p>
    <w:p w14:paraId="252A3A2F" w14:textId="77777777" w:rsidR="00E45A6F" w:rsidRPr="008F654D" w:rsidRDefault="00E45A6F" w:rsidP="00E45A6F">
      <w:pPr>
        <w:tabs>
          <w:tab w:val="num" w:pos="900"/>
        </w:tabs>
        <w:ind w:left="1080"/>
        <w:rPr>
          <w:rFonts w:cs="Arial"/>
          <w:noProof/>
          <w:sz w:val="22"/>
          <w:szCs w:val="22"/>
        </w:rPr>
      </w:pPr>
    </w:p>
    <w:p w14:paraId="6006F291" w14:textId="77777777" w:rsidR="00062BC5" w:rsidRPr="008F654D" w:rsidRDefault="00062BC5" w:rsidP="007D0377">
      <w:pPr>
        <w:ind w:left="567" w:hanging="567"/>
        <w:rPr>
          <w:rFonts w:cs="Arial"/>
          <w:b/>
          <w:color w:val="993366"/>
          <w:sz w:val="24"/>
          <w:szCs w:val="24"/>
        </w:rPr>
      </w:pPr>
      <w:r w:rsidRPr="008F654D">
        <w:rPr>
          <w:rFonts w:cs="Arial"/>
          <w:b/>
          <w:noProof/>
          <w:color w:val="993366"/>
          <w:sz w:val="24"/>
          <w:szCs w:val="24"/>
        </w:rPr>
        <w:t>4.5</w:t>
      </w:r>
      <w:r w:rsidRPr="008F654D">
        <w:rPr>
          <w:rFonts w:cs="Arial"/>
          <w:b/>
          <w:noProof/>
          <w:color w:val="993366"/>
          <w:sz w:val="24"/>
          <w:szCs w:val="24"/>
        </w:rPr>
        <w:tab/>
        <w:t xml:space="preserve">Policy on </w:t>
      </w:r>
      <w:r w:rsidR="0028743E" w:rsidRPr="008F654D">
        <w:rPr>
          <w:rFonts w:cs="Arial"/>
          <w:b/>
          <w:noProof/>
          <w:color w:val="993366"/>
          <w:sz w:val="24"/>
          <w:szCs w:val="24"/>
        </w:rPr>
        <w:t>borrowing in advance of n</w:t>
      </w:r>
      <w:r w:rsidRPr="008F654D">
        <w:rPr>
          <w:rFonts w:cs="Arial"/>
          <w:b/>
          <w:noProof/>
          <w:color w:val="993366"/>
          <w:sz w:val="24"/>
          <w:szCs w:val="24"/>
        </w:rPr>
        <w:t xml:space="preserve">eed </w:t>
      </w:r>
      <w:r w:rsidRPr="008F654D">
        <w:rPr>
          <w:rFonts w:cs="Arial"/>
          <w:b/>
          <w:noProof/>
          <w:color w:val="993366"/>
          <w:sz w:val="24"/>
          <w:szCs w:val="24"/>
        </w:rPr>
        <w:br/>
      </w:r>
    </w:p>
    <w:p w14:paraId="0594882F" w14:textId="77777777" w:rsidR="004031EC" w:rsidRPr="008F654D" w:rsidRDefault="004031EC" w:rsidP="005B34C4">
      <w:pPr>
        <w:pStyle w:val="BodyText"/>
        <w:numPr>
          <w:ilvl w:val="0"/>
          <w:numId w:val="18"/>
        </w:numPr>
        <w:spacing w:after="120"/>
        <w:ind w:left="567" w:hanging="567"/>
        <w:rPr>
          <w:rFonts w:ascii="Arial" w:hAnsi="Arial" w:cs="Arial"/>
          <w:bCs/>
          <w:sz w:val="22"/>
          <w:szCs w:val="22"/>
        </w:rPr>
      </w:pPr>
      <w:r w:rsidRPr="008F654D">
        <w:rPr>
          <w:rFonts w:ascii="Arial" w:hAnsi="Arial" w:cs="Arial"/>
          <w:sz w:val="22"/>
          <w:szCs w:val="22"/>
        </w:rPr>
        <w:t xml:space="preserve">Borrowing in advance </w:t>
      </w:r>
      <w:r w:rsidR="00CC5568" w:rsidRPr="008F654D">
        <w:rPr>
          <w:rFonts w:ascii="Arial" w:hAnsi="Arial" w:cs="Arial"/>
          <w:sz w:val="22"/>
          <w:szCs w:val="22"/>
        </w:rPr>
        <w:t xml:space="preserve">of need </w:t>
      </w:r>
      <w:r w:rsidRPr="008F654D">
        <w:rPr>
          <w:rFonts w:ascii="Arial" w:hAnsi="Arial" w:cs="Arial"/>
          <w:sz w:val="22"/>
          <w:szCs w:val="22"/>
        </w:rPr>
        <w:t xml:space="preserve">is defined as any borrowing undertaken by the local authority which will result in the </w:t>
      </w:r>
      <w:r w:rsidRPr="008F654D">
        <w:rPr>
          <w:rFonts w:ascii="Arial" w:hAnsi="Arial" w:cs="Arial"/>
          <w:sz w:val="22"/>
          <w:szCs w:val="22"/>
          <w:lang w:eastAsia="ko-KR"/>
        </w:rPr>
        <w:t xml:space="preserve">total external debt of the local authority exceeding the capital financing requirement (CFR) of </w:t>
      </w:r>
      <w:r w:rsidRPr="008F654D">
        <w:rPr>
          <w:rFonts w:ascii="Arial" w:hAnsi="Arial" w:cs="Arial"/>
          <w:sz w:val="22"/>
          <w:szCs w:val="22"/>
        </w:rPr>
        <w:t xml:space="preserve">the local authority for the following </w:t>
      </w:r>
      <w:proofErr w:type="gramStart"/>
      <w:r w:rsidRPr="008F654D">
        <w:rPr>
          <w:rFonts w:ascii="Arial" w:hAnsi="Arial" w:cs="Arial"/>
          <w:sz w:val="22"/>
          <w:szCs w:val="22"/>
        </w:rPr>
        <w:t>twelve month</w:t>
      </w:r>
      <w:proofErr w:type="gramEnd"/>
      <w:r w:rsidRPr="008F654D">
        <w:rPr>
          <w:rFonts w:ascii="Arial" w:hAnsi="Arial" w:cs="Arial"/>
          <w:sz w:val="22"/>
          <w:szCs w:val="22"/>
        </w:rPr>
        <w:t xml:space="preserve"> period.</w:t>
      </w:r>
      <w:r w:rsidRPr="008F654D">
        <w:rPr>
          <w:rFonts w:ascii="Arial" w:hAnsi="Arial" w:cs="Arial"/>
          <w:bCs/>
          <w:sz w:val="22"/>
          <w:szCs w:val="22"/>
        </w:rPr>
        <w:t xml:space="preserve"> This </w:t>
      </w:r>
      <w:proofErr w:type="gramStart"/>
      <w:r w:rsidRPr="008F654D">
        <w:rPr>
          <w:rFonts w:ascii="Arial" w:hAnsi="Arial" w:cs="Arial"/>
          <w:bCs/>
          <w:sz w:val="22"/>
          <w:szCs w:val="22"/>
        </w:rPr>
        <w:t>twelve month</w:t>
      </w:r>
      <w:proofErr w:type="gramEnd"/>
      <w:r w:rsidRPr="008F654D">
        <w:rPr>
          <w:rFonts w:ascii="Arial" w:hAnsi="Arial" w:cs="Arial"/>
          <w:bCs/>
          <w:sz w:val="22"/>
          <w:szCs w:val="22"/>
        </w:rPr>
        <w:t xml:space="preserve"> period is on a rolling twelve month basis.</w:t>
      </w:r>
    </w:p>
    <w:p w14:paraId="2E392EF1" w14:textId="77777777" w:rsidR="00062BC5" w:rsidRPr="008F654D" w:rsidRDefault="00062BC5" w:rsidP="005B34C4">
      <w:pPr>
        <w:pStyle w:val="BodyText"/>
        <w:numPr>
          <w:ilvl w:val="0"/>
          <w:numId w:val="18"/>
        </w:numPr>
        <w:spacing w:after="120"/>
        <w:ind w:left="567" w:hanging="567"/>
        <w:rPr>
          <w:rFonts w:ascii="Arial" w:hAnsi="Arial" w:cs="Arial"/>
          <w:bCs/>
          <w:sz w:val="22"/>
          <w:szCs w:val="22"/>
        </w:rPr>
      </w:pPr>
      <w:r w:rsidRPr="008F654D">
        <w:rPr>
          <w:rFonts w:ascii="Arial" w:hAnsi="Arial" w:cs="Arial"/>
          <w:noProof/>
          <w:sz w:val="22"/>
          <w:szCs w:val="22"/>
        </w:rPr>
        <w:t xml:space="preserve">The Council will not borrow </w:t>
      </w:r>
      <w:r w:rsidR="004031EC" w:rsidRPr="008F654D">
        <w:rPr>
          <w:rFonts w:ascii="Arial" w:hAnsi="Arial" w:cs="Arial"/>
          <w:noProof/>
          <w:sz w:val="22"/>
          <w:szCs w:val="22"/>
        </w:rPr>
        <w:t xml:space="preserve">more than or </w:t>
      </w:r>
      <w:r w:rsidRPr="008F654D">
        <w:rPr>
          <w:rFonts w:ascii="Arial" w:hAnsi="Arial" w:cs="Arial"/>
          <w:noProof/>
          <w:sz w:val="22"/>
          <w:szCs w:val="22"/>
        </w:rPr>
        <w:t xml:space="preserve">in advance of its needs purely in order to profit from the investment of the extra sums borrowed. </w:t>
      </w:r>
    </w:p>
    <w:p w14:paraId="62CAB268" w14:textId="262CA419" w:rsidR="00062BC5" w:rsidRPr="008F654D" w:rsidRDefault="00062BC5" w:rsidP="005B34C4">
      <w:pPr>
        <w:pStyle w:val="BodyText"/>
        <w:numPr>
          <w:ilvl w:val="0"/>
          <w:numId w:val="18"/>
        </w:numPr>
        <w:spacing w:after="120"/>
        <w:ind w:left="567" w:hanging="567"/>
        <w:rPr>
          <w:rFonts w:ascii="Arial" w:hAnsi="Arial" w:cs="Arial"/>
          <w:bCs/>
          <w:sz w:val="22"/>
          <w:szCs w:val="22"/>
        </w:rPr>
      </w:pPr>
      <w:r w:rsidRPr="008F654D">
        <w:rPr>
          <w:rFonts w:ascii="Arial" w:hAnsi="Arial" w:cs="Arial"/>
          <w:bCs/>
          <w:sz w:val="22"/>
          <w:szCs w:val="22"/>
        </w:rPr>
        <w:t xml:space="preserve">Any decision to borrow in advance will be within forward approved Capital Financing Requirement </w:t>
      </w:r>
      <w:r w:rsidR="00F129BE" w:rsidRPr="008F654D">
        <w:rPr>
          <w:rFonts w:ascii="Arial" w:hAnsi="Arial" w:cs="Arial"/>
          <w:bCs/>
          <w:sz w:val="22"/>
          <w:szCs w:val="22"/>
        </w:rPr>
        <w:t>estimates and</w:t>
      </w:r>
      <w:r w:rsidRPr="008F654D">
        <w:rPr>
          <w:rFonts w:ascii="Arial" w:hAnsi="Arial" w:cs="Arial"/>
          <w:bCs/>
          <w:sz w:val="22"/>
          <w:szCs w:val="22"/>
        </w:rPr>
        <w:t xml:space="preserve"> will be considered carefully to ensure that value for money can be demonstrated and that the Council can ensure the security of such funds</w:t>
      </w:r>
      <w:r w:rsidRPr="008F654D">
        <w:rPr>
          <w:rFonts w:ascii="Arial" w:hAnsi="Arial" w:cs="Arial"/>
          <w:sz w:val="22"/>
          <w:szCs w:val="22"/>
        </w:rPr>
        <w:t>.</w:t>
      </w:r>
    </w:p>
    <w:p w14:paraId="152B3E57" w14:textId="71BF02D3" w:rsidR="00062BC5" w:rsidRPr="008F654D" w:rsidRDefault="00062BC5" w:rsidP="005B34C4">
      <w:pPr>
        <w:pStyle w:val="BodyText"/>
        <w:numPr>
          <w:ilvl w:val="0"/>
          <w:numId w:val="18"/>
        </w:numPr>
        <w:ind w:left="567" w:hanging="567"/>
        <w:rPr>
          <w:rFonts w:ascii="Arial" w:hAnsi="Arial" w:cs="Arial"/>
          <w:bCs/>
          <w:sz w:val="22"/>
          <w:szCs w:val="22"/>
        </w:rPr>
      </w:pPr>
      <w:r w:rsidRPr="008F654D">
        <w:rPr>
          <w:rFonts w:ascii="Arial" w:hAnsi="Arial" w:cs="Arial"/>
          <w:bCs/>
          <w:sz w:val="22"/>
          <w:szCs w:val="22"/>
        </w:rPr>
        <w:t xml:space="preserve">The </w:t>
      </w:r>
      <w:r w:rsidR="00F129BE">
        <w:rPr>
          <w:rFonts w:ascii="Arial" w:hAnsi="Arial" w:cs="Arial"/>
          <w:noProof/>
          <w:sz w:val="22"/>
          <w:szCs w:val="22"/>
        </w:rPr>
        <w:t xml:space="preserve">Director of Finance and Procurement </w:t>
      </w:r>
      <w:r w:rsidRPr="008F654D">
        <w:rPr>
          <w:rFonts w:ascii="Arial" w:hAnsi="Arial" w:cs="Arial"/>
          <w:bCs/>
          <w:sz w:val="22"/>
          <w:szCs w:val="22"/>
        </w:rPr>
        <w:t xml:space="preserve">has the authority to borrow in advance of need under delegated power where, for instance, a sharp rise in interest rates is expected, and so borrowing early at fixed interest rates will be economically beneficial or meet budgetary constraints. The </w:t>
      </w:r>
      <w:r w:rsidR="00F129BE">
        <w:rPr>
          <w:rFonts w:ascii="Arial" w:hAnsi="Arial" w:cs="Arial"/>
          <w:noProof/>
          <w:sz w:val="22"/>
          <w:szCs w:val="22"/>
        </w:rPr>
        <w:t>Director of Finance and Procurement</w:t>
      </w:r>
      <w:r w:rsidRPr="008F654D">
        <w:rPr>
          <w:rFonts w:ascii="Arial" w:hAnsi="Arial" w:cs="Arial"/>
          <w:bCs/>
          <w:sz w:val="22"/>
          <w:szCs w:val="22"/>
        </w:rPr>
        <w:t xml:space="preserve"> will adopt a cautious approach to any such borrowing and a business case to support the </w:t>
      </w:r>
      <w:proofErr w:type="gramStart"/>
      <w:r w:rsidRPr="008F654D">
        <w:rPr>
          <w:rFonts w:ascii="Arial" w:hAnsi="Arial" w:cs="Arial"/>
          <w:bCs/>
          <w:sz w:val="22"/>
          <w:szCs w:val="22"/>
        </w:rPr>
        <w:t>decision making</w:t>
      </w:r>
      <w:proofErr w:type="gramEnd"/>
      <w:r w:rsidRPr="008F654D">
        <w:rPr>
          <w:rFonts w:ascii="Arial" w:hAnsi="Arial" w:cs="Arial"/>
          <w:bCs/>
          <w:sz w:val="22"/>
          <w:szCs w:val="22"/>
        </w:rPr>
        <w:t xml:space="preserve"> process must consider:</w:t>
      </w:r>
    </w:p>
    <w:p w14:paraId="37033B11" w14:textId="77777777" w:rsidR="00062BC5" w:rsidRPr="008F654D" w:rsidRDefault="00062BC5" w:rsidP="008E388D">
      <w:pPr>
        <w:pStyle w:val="BodyText"/>
        <w:tabs>
          <w:tab w:val="num" w:pos="1080"/>
        </w:tabs>
        <w:ind w:left="1080" w:hanging="1080"/>
        <w:rPr>
          <w:rFonts w:ascii="Arial" w:hAnsi="Arial" w:cs="Arial"/>
          <w:bCs/>
          <w:sz w:val="22"/>
          <w:szCs w:val="22"/>
        </w:rPr>
      </w:pPr>
    </w:p>
    <w:p w14:paraId="11FDBC24" w14:textId="77777777" w:rsidR="00062BC5" w:rsidRPr="008F654D" w:rsidRDefault="00062BC5" w:rsidP="00C55B92">
      <w:pPr>
        <w:pStyle w:val="BodyText"/>
        <w:numPr>
          <w:ilvl w:val="3"/>
          <w:numId w:val="13"/>
        </w:numPr>
        <w:tabs>
          <w:tab w:val="clear" w:pos="540"/>
          <w:tab w:val="left" w:pos="1620"/>
        </w:tabs>
        <w:ind w:left="1434" w:hanging="357"/>
        <w:rPr>
          <w:rFonts w:ascii="Arial" w:hAnsi="Arial" w:cs="Arial"/>
          <w:bCs/>
          <w:sz w:val="22"/>
          <w:szCs w:val="22"/>
        </w:rPr>
      </w:pPr>
      <w:r w:rsidRPr="008F654D">
        <w:rPr>
          <w:rFonts w:ascii="Arial" w:hAnsi="Arial" w:cs="Arial"/>
          <w:bCs/>
          <w:sz w:val="22"/>
          <w:szCs w:val="22"/>
        </w:rPr>
        <w:t>the benefits of borrowing in advance,</w:t>
      </w:r>
    </w:p>
    <w:p w14:paraId="4E277710" w14:textId="77777777" w:rsidR="00062BC5" w:rsidRPr="008F654D" w:rsidRDefault="00062BC5" w:rsidP="00C55B92">
      <w:pPr>
        <w:pStyle w:val="BodyText"/>
        <w:numPr>
          <w:ilvl w:val="3"/>
          <w:numId w:val="13"/>
        </w:numPr>
        <w:tabs>
          <w:tab w:val="clear" w:pos="540"/>
          <w:tab w:val="left" w:pos="1620"/>
        </w:tabs>
        <w:ind w:left="1434" w:hanging="357"/>
        <w:rPr>
          <w:rFonts w:ascii="Arial" w:hAnsi="Arial" w:cs="Arial"/>
          <w:bCs/>
          <w:sz w:val="22"/>
          <w:szCs w:val="22"/>
        </w:rPr>
      </w:pPr>
      <w:r w:rsidRPr="008F654D">
        <w:rPr>
          <w:rFonts w:ascii="Arial" w:hAnsi="Arial" w:cs="Arial"/>
          <w:bCs/>
          <w:sz w:val="22"/>
          <w:szCs w:val="22"/>
        </w:rPr>
        <w:t>the risks created by additional levels of borrowing and investment, and</w:t>
      </w:r>
    </w:p>
    <w:p w14:paraId="5B0F6D50" w14:textId="77777777" w:rsidR="00062BC5" w:rsidRPr="008F654D" w:rsidRDefault="00062BC5" w:rsidP="00C55B92">
      <w:pPr>
        <w:pStyle w:val="BodyText"/>
        <w:numPr>
          <w:ilvl w:val="3"/>
          <w:numId w:val="13"/>
        </w:numPr>
        <w:tabs>
          <w:tab w:val="clear" w:pos="540"/>
          <w:tab w:val="left" w:pos="1620"/>
        </w:tabs>
        <w:ind w:left="1434" w:hanging="357"/>
        <w:rPr>
          <w:rFonts w:ascii="Arial" w:hAnsi="Arial" w:cs="Arial"/>
          <w:bCs/>
          <w:sz w:val="22"/>
          <w:szCs w:val="22"/>
        </w:rPr>
      </w:pPr>
      <w:r w:rsidRPr="008F654D">
        <w:rPr>
          <w:rFonts w:ascii="Arial" w:hAnsi="Arial" w:cs="Arial"/>
          <w:bCs/>
          <w:sz w:val="22"/>
          <w:szCs w:val="22"/>
        </w:rPr>
        <w:t xml:space="preserve">how far in advance it is reasonable to borrow considering the risks </w:t>
      </w:r>
      <w:proofErr w:type="gramStart"/>
      <w:r w:rsidRPr="008F654D">
        <w:rPr>
          <w:rFonts w:ascii="Arial" w:hAnsi="Arial" w:cs="Arial"/>
          <w:bCs/>
          <w:sz w:val="22"/>
          <w:szCs w:val="22"/>
        </w:rPr>
        <w:t>identified</w:t>
      </w:r>
      <w:proofErr w:type="gramEnd"/>
    </w:p>
    <w:p w14:paraId="79E1815B" w14:textId="77777777" w:rsidR="00062BC5" w:rsidRPr="008F654D" w:rsidRDefault="00062BC5" w:rsidP="008E388D">
      <w:pPr>
        <w:pStyle w:val="BodyText"/>
        <w:tabs>
          <w:tab w:val="num" w:pos="1080"/>
        </w:tabs>
        <w:ind w:left="1080" w:hanging="1080"/>
        <w:rPr>
          <w:rFonts w:ascii="Arial" w:hAnsi="Arial" w:cs="Arial"/>
          <w:bCs/>
          <w:sz w:val="22"/>
          <w:szCs w:val="22"/>
        </w:rPr>
      </w:pPr>
    </w:p>
    <w:p w14:paraId="5B2C8475" w14:textId="77777777" w:rsidR="00062BC5" w:rsidRPr="008F654D" w:rsidRDefault="00062BC5" w:rsidP="005B34C4">
      <w:pPr>
        <w:numPr>
          <w:ilvl w:val="0"/>
          <w:numId w:val="18"/>
        </w:numPr>
        <w:ind w:left="567" w:hanging="567"/>
      </w:pPr>
      <w:r w:rsidRPr="008F654D">
        <w:rPr>
          <w:rFonts w:cs="Arial"/>
          <w:sz w:val="22"/>
          <w:szCs w:val="22"/>
        </w:rPr>
        <w:t xml:space="preserve">Any such advance borrowing should be reported </w:t>
      </w:r>
      <w:r w:rsidRPr="008F654D">
        <w:rPr>
          <w:rFonts w:cs="Arial"/>
          <w:bCs/>
          <w:sz w:val="22"/>
          <w:szCs w:val="22"/>
        </w:rPr>
        <w:t xml:space="preserve">through </w:t>
      </w:r>
      <w:r w:rsidRPr="0017034E">
        <w:rPr>
          <w:rFonts w:cs="Arial"/>
          <w:bCs/>
          <w:sz w:val="22"/>
          <w:szCs w:val="22"/>
        </w:rPr>
        <w:t>the mid-year or annual Treasury Management reporting mechanism</w:t>
      </w:r>
      <w:r w:rsidRPr="0017034E">
        <w:rPr>
          <w:rFonts w:cs="Arial"/>
          <w:sz w:val="22"/>
          <w:szCs w:val="22"/>
        </w:rPr>
        <w:t>.</w:t>
      </w:r>
      <w:r w:rsidRPr="008F654D">
        <w:t xml:space="preserve"> </w:t>
      </w:r>
      <w:r w:rsidRPr="008F654D">
        <w:br/>
      </w:r>
    </w:p>
    <w:p w14:paraId="55E254D8" w14:textId="77777777" w:rsidR="00062BC5" w:rsidRPr="008F654D" w:rsidRDefault="00062BC5" w:rsidP="00E81304">
      <w:pPr>
        <w:ind w:left="567" w:hanging="567"/>
      </w:pPr>
      <w:r w:rsidRPr="003622F5">
        <w:rPr>
          <w:rFonts w:cs="Arial"/>
          <w:b/>
          <w:bCs/>
          <w:noProof/>
          <w:color w:val="993366"/>
          <w:sz w:val="24"/>
          <w:szCs w:val="24"/>
        </w:rPr>
        <w:t>4.6</w:t>
      </w:r>
      <w:r w:rsidRPr="003622F5">
        <w:rPr>
          <w:rFonts w:cs="Arial"/>
          <w:b/>
          <w:bCs/>
          <w:noProof/>
          <w:color w:val="993366"/>
          <w:sz w:val="24"/>
          <w:szCs w:val="24"/>
        </w:rPr>
        <w:tab/>
        <w:t>Debt</w:t>
      </w:r>
      <w:r w:rsidRPr="008F654D">
        <w:rPr>
          <w:rFonts w:cs="Arial"/>
          <w:b/>
          <w:bCs/>
          <w:noProof/>
          <w:color w:val="993366"/>
          <w:sz w:val="24"/>
          <w:szCs w:val="24"/>
        </w:rPr>
        <w:t xml:space="preserve"> Rescheduling</w:t>
      </w:r>
      <w:r w:rsidRPr="008F654D">
        <w:rPr>
          <w:rFonts w:cs="Arial"/>
          <w:b/>
          <w:bCs/>
          <w:noProof/>
          <w:color w:val="993366"/>
          <w:sz w:val="24"/>
          <w:szCs w:val="24"/>
        </w:rPr>
        <w:br/>
      </w:r>
    </w:p>
    <w:p w14:paraId="66DDC23A" w14:textId="77777777" w:rsidR="00171711" w:rsidRPr="00F129BE" w:rsidRDefault="00171711" w:rsidP="00776C91">
      <w:pPr>
        <w:numPr>
          <w:ilvl w:val="1"/>
          <w:numId w:val="10"/>
        </w:numPr>
        <w:rPr>
          <w:rFonts w:cs="Arial"/>
          <w:b/>
          <w:strike/>
          <w:sz w:val="28"/>
          <w:szCs w:val="28"/>
        </w:rPr>
      </w:pPr>
      <w:r w:rsidRPr="008F654D">
        <w:rPr>
          <w:rFonts w:cs="Arial"/>
          <w:noProof/>
          <w:sz w:val="22"/>
          <w:szCs w:val="22"/>
        </w:rPr>
        <w:t xml:space="preserve">All rescheduling will be reported to the </w:t>
      </w:r>
      <w:r w:rsidRPr="008F654D">
        <w:rPr>
          <w:rFonts w:cs="Arial"/>
          <w:b/>
          <w:noProof/>
          <w:sz w:val="22"/>
          <w:szCs w:val="22"/>
        </w:rPr>
        <w:t>Executive</w:t>
      </w:r>
      <w:r w:rsidR="008F654D" w:rsidRPr="008F654D">
        <w:rPr>
          <w:rFonts w:cs="Arial"/>
          <w:b/>
          <w:noProof/>
          <w:sz w:val="22"/>
          <w:szCs w:val="22"/>
        </w:rPr>
        <w:t xml:space="preserve"> Committee</w:t>
      </w:r>
      <w:r w:rsidRPr="008F654D">
        <w:rPr>
          <w:rFonts w:cs="Arial"/>
          <w:b/>
          <w:noProof/>
          <w:sz w:val="22"/>
          <w:szCs w:val="22"/>
        </w:rPr>
        <w:t xml:space="preserve"> </w:t>
      </w:r>
      <w:r w:rsidRPr="008F654D">
        <w:rPr>
          <w:rFonts w:cs="Arial"/>
          <w:noProof/>
          <w:sz w:val="22"/>
          <w:szCs w:val="22"/>
        </w:rPr>
        <w:t>at the earliest meeting following its action.</w:t>
      </w:r>
    </w:p>
    <w:p w14:paraId="283CA5C9" w14:textId="77777777" w:rsidR="00F129BE" w:rsidRDefault="00F129BE" w:rsidP="00F129BE">
      <w:pPr>
        <w:rPr>
          <w:rFonts w:cs="Arial"/>
          <w:noProof/>
          <w:sz w:val="22"/>
          <w:szCs w:val="22"/>
        </w:rPr>
      </w:pPr>
    </w:p>
    <w:p w14:paraId="513103CD" w14:textId="77777777" w:rsidR="00F129BE" w:rsidRDefault="00F129BE" w:rsidP="00F129BE">
      <w:pPr>
        <w:rPr>
          <w:rFonts w:cs="Arial"/>
          <w:noProof/>
          <w:sz w:val="22"/>
          <w:szCs w:val="22"/>
        </w:rPr>
      </w:pPr>
    </w:p>
    <w:p w14:paraId="20C64BA5" w14:textId="77777777" w:rsidR="00F129BE" w:rsidRDefault="00F129BE" w:rsidP="00F129BE">
      <w:pPr>
        <w:rPr>
          <w:rFonts w:cs="Arial"/>
          <w:noProof/>
          <w:sz w:val="22"/>
          <w:szCs w:val="22"/>
        </w:rPr>
      </w:pPr>
    </w:p>
    <w:p w14:paraId="1FE72906" w14:textId="77777777" w:rsidR="00F129BE" w:rsidRDefault="00F129BE" w:rsidP="00F129BE">
      <w:pPr>
        <w:rPr>
          <w:rFonts w:cs="Arial"/>
          <w:noProof/>
          <w:sz w:val="22"/>
          <w:szCs w:val="22"/>
        </w:rPr>
      </w:pPr>
    </w:p>
    <w:p w14:paraId="419938CE" w14:textId="77777777" w:rsidR="00F129BE" w:rsidRDefault="00F129BE" w:rsidP="00F129BE">
      <w:pPr>
        <w:rPr>
          <w:rFonts w:cs="Arial"/>
          <w:noProof/>
          <w:sz w:val="22"/>
          <w:szCs w:val="22"/>
        </w:rPr>
      </w:pPr>
    </w:p>
    <w:p w14:paraId="5F98DE8A" w14:textId="77777777" w:rsidR="00F129BE" w:rsidRDefault="00F129BE" w:rsidP="00F129BE">
      <w:pPr>
        <w:rPr>
          <w:rFonts w:cs="Arial"/>
          <w:noProof/>
          <w:sz w:val="22"/>
          <w:szCs w:val="22"/>
        </w:rPr>
      </w:pPr>
    </w:p>
    <w:p w14:paraId="7D0E9E5C" w14:textId="77777777" w:rsidR="00F129BE" w:rsidRPr="008F654D" w:rsidRDefault="00F129BE" w:rsidP="00F129BE">
      <w:pPr>
        <w:rPr>
          <w:rFonts w:cs="Arial"/>
          <w:b/>
          <w:strike/>
          <w:sz w:val="28"/>
          <w:szCs w:val="28"/>
        </w:rPr>
      </w:pPr>
    </w:p>
    <w:p w14:paraId="64710A27" w14:textId="77777777" w:rsidR="00062BC5" w:rsidRPr="008F654D" w:rsidRDefault="00062BC5" w:rsidP="00171711">
      <w:pPr>
        <w:rPr>
          <w:rFonts w:cs="Arial"/>
          <w:noProof/>
          <w:sz w:val="22"/>
          <w:szCs w:val="22"/>
        </w:rPr>
      </w:pPr>
    </w:p>
    <w:p w14:paraId="5F9F6743" w14:textId="77777777" w:rsidR="002E6BB3" w:rsidRPr="008F654D" w:rsidRDefault="00981220" w:rsidP="002E6BB3">
      <w:pPr>
        <w:ind w:left="567" w:hanging="567"/>
      </w:pPr>
      <w:r w:rsidRPr="008F654D">
        <w:rPr>
          <w:rFonts w:cs="Arial"/>
          <w:b/>
          <w:bCs/>
          <w:noProof/>
          <w:color w:val="993366"/>
          <w:sz w:val="24"/>
          <w:szCs w:val="24"/>
        </w:rPr>
        <w:t>4.7</w:t>
      </w:r>
      <w:r w:rsidRPr="008F654D">
        <w:rPr>
          <w:rFonts w:cs="Arial"/>
          <w:b/>
          <w:bCs/>
          <w:noProof/>
          <w:color w:val="993366"/>
          <w:sz w:val="24"/>
          <w:szCs w:val="24"/>
        </w:rPr>
        <w:tab/>
        <w:t>New financial institut</w:t>
      </w:r>
      <w:r w:rsidR="002E6BB3" w:rsidRPr="008F654D">
        <w:rPr>
          <w:rFonts w:cs="Arial"/>
          <w:b/>
          <w:bCs/>
          <w:noProof/>
          <w:color w:val="993366"/>
          <w:sz w:val="24"/>
          <w:szCs w:val="24"/>
        </w:rPr>
        <w:t>ions as a source of borrowing and/or types of borrowing</w:t>
      </w:r>
      <w:r w:rsidR="002E6BB3" w:rsidRPr="008F654D">
        <w:rPr>
          <w:rFonts w:cs="Arial"/>
          <w:b/>
          <w:bCs/>
          <w:noProof/>
          <w:color w:val="993366"/>
          <w:sz w:val="24"/>
          <w:szCs w:val="24"/>
        </w:rPr>
        <w:br/>
      </w:r>
    </w:p>
    <w:p w14:paraId="0149612A" w14:textId="0FFEECB9" w:rsidR="0061193E" w:rsidRPr="008F654D" w:rsidRDefault="0061193E" w:rsidP="00493D08">
      <w:pPr>
        <w:pStyle w:val="ListParagraph"/>
        <w:numPr>
          <w:ilvl w:val="0"/>
          <w:numId w:val="50"/>
        </w:numPr>
        <w:ind w:left="567" w:hanging="567"/>
        <w:jc w:val="both"/>
        <w:rPr>
          <w:rFonts w:cs="Arial"/>
          <w:bCs/>
          <w:color w:val="000000"/>
          <w:spacing w:val="0"/>
          <w:sz w:val="22"/>
          <w:szCs w:val="22"/>
        </w:rPr>
      </w:pPr>
      <w:r w:rsidRPr="008F654D">
        <w:rPr>
          <w:rFonts w:cs="Arial"/>
          <w:bCs/>
          <w:color w:val="000000"/>
          <w:spacing w:val="0"/>
          <w:sz w:val="22"/>
          <w:szCs w:val="22"/>
        </w:rPr>
        <w:t>Currently the PWLB Certainty Rate is set at gilts + 80 basis points for non-</w:t>
      </w:r>
      <w:r w:rsidR="002B4C6C">
        <w:rPr>
          <w:rFonts w:cs="Arial"/>
          <w:bCs/>
          <w:color w:val="000000"/>
          <w:spacing w:val="0"/>
          <w:sz w:val="22"/>
          <w:szCs w:val="22"/>
        </w:rPr>
        <w:t>Housing Revenue Account</w:t>
      </w:r>
      <w:r w:rsidRPr="008F654D">
        <w:rPr>
          <w:rFonts w:cs="Arial"/>
          <w:bCs/>
          <w:color w:val="000000"/>
          <w:spacing w:val="0"/>
          <w:sz w:val="22"/>
          <w:szCs w:val="22"/>
        </w:rPr>
        <w:t xml:space="preserve"> borrowing.  However, consideration may still need to be given to sourcing funding from the following sources for the following reasons:</w:t>
      </w:r>
    </w:p>
    <w:p w14:paraId="77214A57" w14:textId="77777777" w:rsidR="0061193E" w:rsidRPr="008F654D" w:rsidRDefault="0061193E" w:rsidP="0061193E">
      <w:pPr>
        <w:pStyle w:val="ListParagraph"/>
        <w:ind w:left="567"/>
        <w:jc w:val="both"/>
        <w:rPr>
          <w:rFonts w:cs="Arial"/>
          <w:bCs/>
          <w:color w:val="000000"/>
          <w:spacing w:val="0"/>
          <w:sz w:val="22"/>
          <w:szCs w:val="22"/>
        </w:rPr>
      </w:pPr>
    </w:p>
    <w:p w14:paraId="532DF3C0" w14:textId="77777777" w:rsidR="0061193E" w:rsidRPr="008F654D" w:rsidRDefault="0061193E" w:rsidP="00493D08">
      <w:pPr>
        <w:pStyle w:val="BodyText"/>
        <w:numPr>
          <w:ilvl w:val="0"/>
          <w:numId w:val="51"/>
        </w:numPr>
        <w:spacing w:after="120"/>
        <w:jc w:val="both"/>
        <w:rPr>
          <w:rFonts w:ascii="Arial" w:hAnsi="Arial" w:cs="Arial"/>
          <w:bCs/>
          <w:color w:val="000000"/>
          <w:sz w:val="22"/>
          <w:szCs w:val="22"/>
          <w:lang w:val="en-GB"/>
        </w:rPr>
      </w:pPr>
      <w:r w:rsidRPr="008F654D">
        <w:rPr>
          <w:rFonts w:ascii="Arial" w:hAnsi="Arial" w:cs="Arial"/>
          <w:bCs/>
          <w:color w:val="000000"/>
          <w:sz w:val="22"/>
          <w:szCs w:val="22"/>
          <w:lang w:val="en-GB"/>
        </w:rPr>
        <w:t>Local authorities (primarily shorter dated maturities out to 3 years or so – still cheaper than the Certainty Rate).</w:t>
      </w:r>
    </w:p>
    <w:p w14:paraId="24ECF3C7" w14:textId="77777777" w:rsidR="0061193E" w:rsidRPr="008F654D" w:rsidRDefault="0061193E" w:rsidP="00493D08">
      <w:pPr>
        <w:pStyle w:val="BodyText"/>
        <w:numPr>
          <w:ilvl w:val="0"/>
          <w:numId w:val="51"/>
        </w:numPr>
        <w:spacing w:after="120"/>
        <w:jc w:val="both"/>
        <w:rPr>
          <w:rFonts w:ascii="Arial" w:hAnsi="Arial" w:cs="Arial"/>
          <w:bCs/>
          <w:color w:val="000000"/>
          <w:sz w:val="22"/>
          <w:szCs w:val="22"/>
          <w:lang w:val="en-GB"/>
        </w:rPr>
      </w:pPr>
      <w:r w:rsidRPr="008F654D">
        <w:rPr>
          <w:rFonts w:ascii="Arial" w:hAnsi="Arial" w:cs="Arial"/>
          <w:bCs/>
          <w:color w:val="000000"/>
          <w:sz w:val="22"/>
          <w:szCs w:val="22"/>
          <w:lang w:val="en-GB"/>
        </w:rPr>
        <w:t>Financial institutions (primarily insurance companies and pension funds but also some banks, out of forward dates where the objective is to avoid a “cost of carry” or to achieve refinancing certainty over the next few years).</w:t>
      </w:r>
    </w:p>
    <w:p w14:paraId="3150E9C4" w14:textId="77777777" w:rsidR="0061193E" w:rsidRPr="008F654D" w:rsidRDefault="0061193E" w:rsidP="00493D08">
      <w:pPr>
        <w:pStyle w:val="BodyText"/>
        <w:numPr>
          <w:ilvl w:val="0"/>
          <w:numId w:val="51"/>
        </w:numPr>
        <w:spacing w:after="120"/>
        <w:jc w:val="both"/>
        <w:rPr>
          <w:rFonts w:ascii="Arial" w:hAnsi="Arial" w:cs="Arial"/>
          <w:bCs/>
          <w:color w:val="000000"/>
          <w:sz w:val="22"/>
          <w:szCs w:val="22"/>
          <w:lang w:val="en-GB"/>
        </w:rPr>
      </w:pPr>
      <w:r w:rsidRPr="008F654D">
        <w:rPr>
          <w:rFonts w:ascii="Arial" w:hAnsi="Arial" w:cs="Arial"/>
          <w:bCs/>
          <w:color w:val="000000"/>
          <w:sz w:val="22"/>
          <w:szCs w:val="22"/>
          <w:lang w:val="en-GB"/>
        </w:rPr>
        <w:t>Municipal Bonds Agency (possibly still a viable alternative depending on market circumstances prevailing at the time).</w:t>
      </w:r>
    </w:p>
    <w:p w14:paraId="0824E131" w14:textId="77777777" w:rsidR="00483399" w:rsidRPr="008F654D" w:rsidRDefault="0061193E" w:rsidP="00493D08">
      <w:pPr>
        <w:pStyle w:val="ListParagraph"/>
        <w:numPr>
          <w:ilvl w:val="0"/>
          <w:numId w:val="50"/>
        </w:numPr>
        <w:ind w:left="567" w:hanging="567"/>
        <w:rPr>
          <w:rFonts w:ascii="Calibri" w:hAnsi="Calibri" w:cs="Arial"/>
          <w:bCs/>
          <w:noProof/>
          <w:color w:val="993366"/>
          <w:sz w:val="36"/>
          <w:szCs w:val="36"/>
        </w:rPr>
      </w:pPr>
      <w:r w:rsidRPr="008F654D">
        <w:rPr>
          <w:rFonts w:cs="Arial"/>
          <w:bCs/>
          <w:color w:val="000000"/>
          <w:spacing w:val="0"/>
          <w:sz w:val="22"/>
          <w:szCs w:val="22"/>
        </w:rPr>
        <w:t>Our advisors will keep us informed as to the relative merits of each of these alternative funding sources.</w:t>
      </w:r>
    </w:p>
    <w:p w14:paraId="72C1FF3B" w14:textId="77777777" w:rsidR="000F05C2" w:rsidRDefault="000F05C2">
      <w:pPr>
        <w:rPr>
          <w:rFonts w:cs="Arial"/>
          <w:bCs/>
          <w:color w:val="000000"/>
          <w:spacing w:val="0"/>
          <w:sz w:val="22"/>
          <w:szCs w:val="22"/>
        </w:rPr>
      </w:pPr>
    </w:p>
    <w:p w14:paraId="43873D10" w14:textId="77777777" w:rsidR="000F05C2" w:rsidRDefault="000F05C2">
      <w:pPr>
        <w:rPr>
          <w:rFonts w:cs="Arial"/>
          <w:bCs/>
          <w:color w:val="000000"/>
          <w:spacing w:val="0"/>
          <w:sz w:val="22"/>
          <w:szCs w:val="22"/>
        </w:rPr>
      </w:pPr>
    </w:p>
    <w:p w14:paraId="1538A9B6" w14:textId="77777777" w:rsidR="000F05C2" w:rsidRDefault="000F05C2">
      <w:pPr>
        <w:rPr>
          <w:rFonts w:cs="Arial"/>
          <w:bCs/>
          <w:color w:val="000000"/>
          <w:spacing w:val="0"/>
          <w:sz w:val="22"/>
          <w:szCs w:val="22"/>
        </w:rPr>
      </w:pPr>
    </w:p>
    <w:p w14:paraId="7DF79258" w14:textId="77777777" w:rsidR="000F05C2" w:rsidRDefault="000F05C2">
      <w:pPr>
        <w:rPr>
          <w:rFonts w:cs="Arial"/>
          <w:bCs/>
          <w:color w:val="000000"/>
          <w:spacing w:val="0"/>
          <w:sz w:val="22"/>
          <w:szCs w:val="22"/>
        </w:rPr>
      </w:pPr>
    </w:p>
    <w:p w14:paraId="70673862" w14:textId="77777777" w:rsidR="000F05C2" w:rsidRDefault="000F05C2">
      <w:pPr>
        <w:rPr>
          <w:rFonts w:cs="Arial"/>
          <w:bCs/>
          <w:color w:val="000000"/>
          <w:spacing w:val="0"/>
          <w:sz w:val="22"/>
          <w:szCs w:val="22"/>
        </w:rPr>
      </w:pPr>
    </w:p>
    <w:p w14:paraId="4E1E5594" w14:textId="77777777" w:rsidR="000F05C2" w:rsidRDefault="000F05C2">
      <w:pPr>
        <w:rPr>
          <w:rFonts w:cs="Arial"/>
          <w:bCs/>
          <w:color w:val="000000"/>
          <w:spacing w:val="0"/>
          <w:sz w:val="22"/>
          <w:szCs w:val="22"/>
        </w:rPr>
      </w:pPr>
    </w:p>
    <w:p w14:paraId="09DFD83D" w14:textId="42EB0B53" w:rsidR="002D20B4" w:rsidRDefault="002D20B4">
      <w:pPr>
        <w:rPr>
          <w:rFonts w:cs="Arial"/>
          <w:bCs/>
          <w:color w:val="000000"/>
          <w:spacing w:val="0"/>
          <w:sz w:val="22"/>
          <w:szCs w:val="22"/>
        </w:rPr>
      </w:pPr>
      <w:r w:rsidRPr="008F654D">
        <w:rPr>
          <w:rFonts w:cs="Arial"/>
          <w:bCs/>
          <w:color w:val="000000"/>
          <w:spacing w:val="0"/>
          <w:sz w:val="22"/>
          <w:szCs w:val="22"/>
        </w:rPr>
        <w:br w:type="page"/>
      </w:r>
    </w:p>
    <w:p w14:paraId="5136DFEF" w14:textId="77777777" w:rsidR="000F05C2" w:rsidRPr="008F654D" w:rsidRDefault="000F05C2">
      <w:pPr>
        <w:rPr>
          <w:rFonts w:cs="Arial"/>
          <w:bCs/>
          <w:color w:val="000000"/>
          <w:spacing w:val="0"/>
          <w:sz w:val="22"/>
          <w:szCs w:val="22"/>
        </w:rPr>
      </w:pPr>
    </w:p>
    <w:p w14:paraId="6B7761EB" w14:textId="77777777" w:rsidR="00062BC5" w:rsidRPr="008F654D" w:rsidRDefault="00062BC5" w:rsidP="005B34C4">
      <w:pPr>
        <w:numPr>
          <w:ilvl w:val="0"/>
          <w:numId w:val="20"/>
        </w:numPr>
        <w:tabs>
          <w:tab w:val="clear" w:pos="360"/>
        </w:tabs>
        <w:ind w:left="540" w:hanging="540"/>
        <w:rPr>
          <w:rFonts w:cs="Arial"/>
          <w:b/>
          <w:bCs/>
          <w:noProof/>
          <w:color w:val="993366"/>
          <w:sz w:val="28"/>
          <w:szCs w:val="28"/>
        </w:rPr>
      </w:pPr>
      <w:r w:rsidRPr="008F654D">
        <w:rPr>
          <w:rFonts w:cs="Arial"/>
          <w:b/>
          <w:bCs/>
          <w:noProof/>
          <w:color w:val="993366"/>
          <w:sz w:val="28"/>
          <w:szCs w:val="28"/>
        </w:rPr>
        <w:t>Investment Strategy</w:t>
      </w:r>
      <w:r w:rsidRPr="008F654D">
        <w:rPr>
          <w:rFonts w:cs="Arial"/>
          <w:b/>
          <w:bCs/>
          <w:noProof/>
          <w:color w:val="993366"/>
          <w:sz w:val="28"/>
          <w:szCs w:val="28"/>
        </w:rPr>
        <w:br/>
      </w:r>
    </w:p>
    <w:p w14:paraId="5DF45254" w14:textId="77777777" w:rsidR="00062BC5" w:rsidRPr="008F654D" w:rsidRDefault="00062BC5" w:rsidP="005B34C4">
      <w:pPr>
        <w:numPr>
          <w:ilvl w:val="1"/>
          <w:numId w:val="25"/>
        </w:numPr>
        <w:tabs>
          <w:tab w:val="clear" w:pos="1080"/>
        </w:tabs>
        <w:ind w:left="540" w:hanging="540"/>
        <w:rPr>
          <w:rFonts w:cs="Arial"/>
          <w:noProof/>
          <w:sz w:val="24"/>
          <w:szCs w:val="24"/>
        </w:rPr>
      </w:pPr>
      <w:r w:rsidRPr="008F654D">
        <w:rPr>
          <w:rFonts w:cs="Arial"/>
          <w:b/>
          <w:noProof/>
          <w:color w:val="993366"/>
          <w:sz w:val="24"/>
          <w:szCs w:val="24"/>
        </w:rPr>
        <w:t>Investment Objectives and Policy</w:t>
      </w:r>
      <w:r w:rsidRPr="008F654D">
        <w:rPr>
          <w:rFonts w:cs="Arial"/>
          <w:b/>
          <w:noProof/>
          <w:color w:val="993366"/>
          <w:sz w:val="24"/>
          <w:szCs w:val="24"/>
        </w:rPr>
        <w:br/>
      </w:r>
    </w:p>
    <w:p w14:paraId="01075855" w14:textId="77777777" w:rsidR="00C55B92" w:rsidRPr="008F654D" w:rsidRDefault="00741A83" w:rsidP="005B34C4">
      <w:pPr>
        <w:numPr>
          <w:ilvl w:val="2"/>
          <w:numId w:val="28"/>
        </w:numPr>
        <w:tabs>
          <w:tab w:val="clear" w:pos="1854"/>
          <w:tab w:val="left" w:pos="540"/>
        </w:tabs>
        <w:ind w:left="567" w:hanging="567"/>
        <w:rPr>
          <w:rFonts w:cs="Arial"/>
          <w:noProof/>
          <w:sz w:val="22"/>
          <w:szCs w:val="22"/>
        </w:rPr>
      </w:pPr>
      <w:r w:rsidRPr="008F654D">
        <w:rPr>
          <w:rFonts w:cs="Arial"/>
          <w:noProof/>
          <w:sz w:val="22"/>
          <w:szCs w:val="22"/>
        </w:rPr>
        <w:t>The Council’s investment policy implements</w:t>
      </w:r>
      <w:r w:rsidR="00D91C9F" w:rsidRPr="008F654D">
        <w:rPr>
          <w:rFonts w:cs="Arial"/>
          <w:noProof/>
          <w:sz w:val="22"/>
          <w:szCs w:val="22"/>
        </w:rPr>
        <w:t xml:space="preserve"> </w:t>
      </w:r>
      <w:r w:rsidRPr="008F654D">
        <w:rPr>
          <w:rFonts w:cs="Arial"/>
          <w:noProof/>
          <w:sz w:val="22"/>
          <w:szCs w:val="22"/>
        </w:rPr>
        <w:t xml:space="preserve">the requirements of the </w:t>
      </w:r>
      <w:r w:rsidR="00C55B92" w:rsidRPr="008F654D">
        <w:rPr>
          <w:rFonts w:cs="Arial"/>
          <w:noProof/>
          <w:sz w:val="22"/>
          <w:szCs w:val="22"/>
        </w:rPr>
        <w:t>following:-</w:t>
      </w:r>
    </w:p>
    <w:p w14:paraId="11D45301" w14:textId="77777777" w:rsidR="00AA6398" w:rsidRPr="008F654D" w:rsidRDefault="00741A83" w:rsidP="005B34C4">
      <w:pPr>
        <w:numPr>
          <w:ilvl w:val="3"/>
          <w:numId w:val="48"/>
        </w:numPr>
        <w:tabs>
          <w:tab w:val="left" w:pos="540"/>
        </w:tabs>
        <w:ind w:left="1434" w:hanging="357"/>
        <w:rPr>
          <w:rFonts w:cs="Arial"/>
          <w:noProof/>
          <w:sz w:val="22"/>
          <w:szCs w:val="22"/>
        </w:rPr>
      </w:pPr>
      <w:r w:rsidRPr="008F654D">
        <w:rPr>
          <w:rFonts w:cs="Arial"/>
          <w:noProof/>
          <w:sz w:val="22"/>
          <w:szCs w:val="22"/>
        </w:rPr>
        <w:t>Local Government Investments (Scotland) Regulations 2010, (and accompanying Finance Circular 5/2010)</w:t>
      </w:r>
      <w:r w:rsidR="00AA6398" w:rsidRPr="008F654D">
        <w:rPr>
          <w:rFonts w:cs="Arial"/>
          <w:noProof/>
          <w:sz w:val="22"/>
          <w:szCs w:val="22"/>
        </w:rPr>
        <w:t>;</w:t>
      </w:r>
    </w:p>
    <w:p w14:paraId="19810198" w14:textId="77777777" w:rsidR="00E7252D" w:rsidRPr="008F654D" w:rsidRDefault="00741A83" w:rsidP="005B34C4">
      <w:pPr>
        <w:numPr>
          <w:ilvl w:val="3"/>
          <w:numId w:val="48"/>
        </w:numPr>
        <w:tabs>
          <w:tab w:val="left" w:pos="540"/>
        </w:tabs>
        <w:ind w:left="1434" w:hanging="357"/>
        <w:rPr>
          <w:rFonts w:cs="Arial"/>
          <w:noProof/>
          <w:sz w:val="22"/>
          <w:szCs w:val="22"/>
        </w:rPr>
      </w:pPr>
      <w:r w:rsidRPr="008F654D">
        <w:rPr>
          <w:rFonts w:cs="Arial"/>
          <w:noProof/>
          <w:sz w:val="22"/>
          <w:szCs w:val="22"/>
        </w:rPr>
        <w:t>CIPFA Treasury Management in Public Services Code of Practice and Cr</w:t>
      </w:r>
      <w:r w:rsidR="0017034E">
        <w:rPr>
          <w:rFonts w:cs="Arial"/>
          <w:noProof/>
          <w:sz w:val="22"/>
          <w:szCs w:val="22"/>
        </w:rPr>
        <w:t>oss Sectoral Guidance Notes 2021</w:t>
      </w:r>
      <w:r w:rsidRPr="008F654D">
        <w:rPr>
          <w:rFonts w:cs="Arial"/>
          <w:noProof/>
          <w:sz w:val="22"/>
          <w:szCs w:val="22"/>
        </w:rPr>
        <w:t>, (“the Code</w:t>
      </w:r>
      <w:r w:rsidR="00AA6398" w:rsidRPr="008F654D">
        <w:rPr>
          <w:rFonts w:cs="Arial"/>
          <w:noProof/>
          <w:sz w:val="22"/>
          <w:szCs w:val="22"/>
        </w:rPr>
        <w:t>”);</w:t>
      </w:r>
    </w:p>
    <w:p w14:paraId="0526D3FD" w14:textId="77777777" w:rsidR="00AA6398" w:rsidRPr="008F654D" w:rsidRDefault="00AA6398" w:rsidP="005B34C4">
      <w:pPr>
        <w:numPr>
          <w:ilvl w:val="3"/>
          <w:numId w:val="48"/>
        </w:numPr>
        <w:tabs>
          <w:tab w:val="left" w:pos="540"/>
        </w:tabs>
        <w:ind w:left="1434" w:hanging="357"/>
        <w:rPr>
          <w:rFonts w:cs="Arial"/>
          <w:noProof/>
          <w:sz w:val="22"/>
          <w:szCs w:val="22"/>
        </w:rPr>
      </w:pPr>
      <w:r w:rsidRPr="008F654D">
        <w:rPr>
          <w:rFonts w:cs="Arial"/>
          <w:noProof/>
          <w:sz w:val="22"/>
          <w:szCs w:val="22"/>
        </w:rPr>
        <w:t>CIPFA Treasur</w:t>
      </w:r>
      <w:r w:rsidR="0017034E">
        <w:rPr>
          <w:rFonts w:cs="Arial"/>
          <w:noProof/>
          <w:sz w:val="22"/>
          <w:szCs w:val="22"/>
        </w:rPr>
        <w:t>y Management Guidance Notes 2021</w:t>
      </w:r>
      <w:r w:rsidRPr="008F654D">
        <w:rPr>
          <w:rFonts w:cs="Arial"/>
          <w:noProof/>
          <w:sz w:val="22"/>
          <w:szCs w:val="22"/>
        </w:rPr>
        <w:t>.</w:t>
      </w:r>
    </w:p>
    <w:p w14:paraId="3D9F4FBD" w14:textId="77777777" w:rsidR="00483399" w:rsidRPr="008F654D" w:rsidRDefault="00E7252D" w:rsidP="00E7252D">
      <w:pPr>
        <w:tabs>
          <w:tab w:val="left" w:pos="540"/>
        </w:tabs>
        <w:ind w:left="567"/>
        <w:rPr>
          <w:rFonts w:cs="Arial"/>
          <w:noProof/>
          <w:sz w:val="22"/>
          <w:szCs w:val="22"/>
        </w:rPr>
      </w:pPr>
      <w:r w:rsidRPr="008F654D">
        <w:rPr>
          <w:rFonts w:cs="Arial"/>
          <w:noProof/>
          <w:sz w:val="22"/>
          <w:szCs w:val="22"/>
        </w:rPr>
        <w:t xml:space="preserve"> </w:t>
      </w:r>
    </w:p>
    <w:p w14:paraId="23C2D80C" w14:textId="77777777" w:rsidR="00483399" w:rsidRPr="008F654D" w:rsidRDefault="00062BC5" w:rsidP="005B34C4">
      <w:pPr>
        <w:numPr>
          <w:ilvl w:val="2"/>
          <w:numId w:val="28"/>
        </w:numPr>
        <w:tabs>
          <w:tab w:val="clear" w:pos="1854"/>
          <w:tab w:val="left" w:pos="540"/>
        </w:tabs>
        <w:ind w:left="567" w:hanging="567"/>
        <w:rPr>
          <w:rFonts w:cs="Arial"/>
          <w:noProof/>
          <w:sz w:val="22"/>
          <w:szCs w:val="22"/>
        </w:rPr>
      </w:pPr>
      <w:r w:rsidRPr="008F654D">
        <w:rPr>
          <w:rFonts w:cs="Arial"/>
          <w:noProof/>
          <w:sz w:val="22"/>
          <w:szCs w:val="22"/>
        </w:rPr>
        <w:t xml:space="preserve">The Council’s </w:t>
      </w:r>
      <w:r w:rsidR="009A4581" w:rsidRPr="008F654D">
        <w:rPr>
          <w:rFonts w:cs="Arial"/>
          <w:noProof/>
          <w:sz w:val="22"/>
          <w:szCs w:val="22"/>
        </w:rPr>
        <w:t xml:space="preserve">primary </w:t>
      </w:r>
      <w:r w:rsidRPr="008F654D">
        <w:rPr>
          <w:rFonts w:cs="Arial"/>
          <w:noProof/>
          <w:sz w:val="22"/>
          <w:szCs w:val="22"/>
        </w:rPr>
        <w:t xml:space="preserve">investment </w:t>
      </w:r>
      <w:r w:rsidR="00E7252D" w:rsidRPr="008F654D">
        <w:rPr>
          <w:rFonts w:cs="Arial"/>
          <w:noProof/>
          <w:sz w:val="22"/>
          <w:szCs w:val="22"/>
        </w:rPr>
        <w:t>objectives are as follows, in order of importance:</w:t>
      </w:r>
    </w:p>
    <w:p w14:paraId="04E70002" w14:textId="77777777" w:rsidR="00483399" w:rsidRPr="008F654D" w:rsidRDefault="009A4581" w:rsidP="005B34C4">
      <w:pPr>
        <w:numPr>
          <w:ilvl w:val="3"/>
          <w:numId w:val="28"/>
        </w:numPr>
        <w:tabs>
          <w:tab w:val="left" w:pos="540"/>
        </w:tabs>
        <w:ind w:left="1434" w:hanging="357"/>
        <w:rPr>
          <w:rFonts w:cs="Arial"/>
          <w:noProof/>
          <w:sz w:val="22"/>
          <w:szCs w:val="22"/>
        </w:rPr>
      </w:pPr>
      <w:r w:rsidRPr="008F654D">
        <w:rPr>
          <w:rFonts w:cs="Arial"/>
          <w:noProof/>
          <w:sz w:val="22"/>
          <w:szCs w:val="22"/>
        </w:rPr>
        <w:t xml:space="preserve">The safeguarding or </w:t>
      </w:r>
      <w:r w:rsidRPr="008F654D">
        <w:rPr>
          <w:rFonts w:cs="Arial"/>
          <w:b/>
          <w:noProof/>
          <w:sz w:val="22"/>
          <w:szCs w:val="22"/>
        </w:rPr>
        <w:t xml:space="preserve">security </w:t>
      </w:r>
      <w:r w:rsidRPr="008F654D">
        <w:rPr>
          <w:rFonts w:cs="Arial"/>
          <w:noProof/>
          <w:sz w:val="22"/>
          <w:szCs w:val="22"/>
        </w:rPr>
        <w:t>of the re-payment of principal and interest of in</w:t>
      </w:r>
      <w:r w:rsidR="00D91C9F" w:rsidRPr="008F654D">
        <w:rPr>
          <w:rFonts w:cs="Arial"/>
          <w:noProof/>
          <w:sz w:val="22"/>
          <w:szCs w:val="22"/>
        </w:rPr>
        <w:t>vestments on a timely basis;</w:t>
      </w:r>
    </w:p>
    <w:p w14:paraId="2CF7F052" w14:textId="77777777" w:rsidR="00483399" w:rsidRPr="008F654D" w:rsidRDefault="009A4581" w:rsidP="005B34C4">
      <w:pPr>
        <w:numPr>
          <w:ilvl w:val="3"/>
          <w:numId w:val="28"/>
        </w:numPr>
        <w:tabs>
          <w:tab w:val="left" w:pos="540"/>
        </w:tabs>
        <w:ind w:left="1434" w:hanging="357"/>
        <w:rPr>
          <w:rFonts w:cs="Arial"/>
          <w:noProof/>
          <w:sz w:val="22"/>
          <w:szCs w:val="22"/>
        </w:rPr>
      </w:pPr>
      <w:r w:rsidRPr="008F654D">
        <w:rPr>
          <w:rFonts w:cs="Arial"/>
          <w:noProof/>
          <w:sz w:val="22"/>
          <w:szCs w:val="22"/>
        </w:rPr>
        <w:t xml:space="preserve">The </w:t>
      </w:r>
      <w:r w:rsidRPr="008F654D">
        <w:rPr>
          <w:rFonts w:cs="Arial"/>
          <w:b/>
          <w:noProof/>
          <w:sz w:val="22"/>
          <w:szCs w:val="22"/>
        </w:rPr>
        <w:t xml:space="preserve">liquidity </w:t>
      </w:r>
      <w:r w:rsidRPr="008F654D">
        <w:rPr>
          <w:rFonts w:cs="Arial"/>
          <w:noProof/>
          <w:sz w:val="22"/>
          <w:szCs w:val="22"/>
        </w:rPr>
        <w:t>of its investments</w:t>
      </w:r>
      <w:r w:rsidR="00D91C9F" w:rsidRPr="008F654D">
        <w:rPr>
          <w:rFonts w:cs="Arial"/>
          <w:noProof/>
          <w:sz w:val="22"/>
          <w:szCs w:val="22"/>
        </w:rPr>
        <w:t>;</w:t>
      </w:r>
    </w:p>
    <w:p w14:paraId="3ECB37FB" w14:textId="77777777" w:rsidR="00E7252D" w:rsidRPr="008F654D" w:rsidRDefault="00E7252D" w:rsidP="005B34C4">
      <w:pPr>
        <w:numPr>
          <w:ilvl w:val="3"/>
          <w:numId w:val="28"/>
        </w:numPr>
        <w:tabs>
          <w:tab w:val="left" w:pos="540"/>
        </w:tabs>
        <w:ind w:left="1434" w:hanging="357"/>
        <w:rPr>
          <w:rFonts w:cs="Arial"/>
          <w:noProof/>
          <w:sz w:val="22"/>
          <w:szCs w:val="22"/>
        </w:rPr>
      </w:pPr>
      <w:r w:rsidRPr="008F654D">
        <w:rPr>
          <w:rFonts w:cs="Arial"/>
          <w:noProof/>
          <w:sz w:val="22"/>
          <w:szCs w:val="22"/>
        </w:rPr>
        <w:t xml:space="preserve">The </w:t>
      </w:r>
      <w:r w:rsidRPr="008F654D">
        <w:rPr>
          <w:rFonts w:cs="Arial"/>
          <w:b/>
          <w:noProof/>
          <w:sz w:val="22"/>
          <w:szCs w:val="22"/>
        </w:rPr>
        <w:t xml:space="preserve">returns on investments </w:t>
      </w:r>
      <w:r w:rsidRPr="008F654D">
        <w:rPr>
          <w:rFonts w:cs="Arial"/>
          <w:noProof/>
          <w:sz w:val="22"/>
          <w:szCs w:val="22"/>
        </w:rPr>
        <w:t>that can be realised</w:t>
      </w:r>
      <w:r w:rsidR="00D91C9F" w:rsidRPr="008F654D">
        <w:rPr>
          <w:rFonts w:cs="Arial"/>
          <w:noProof/>
          <w:sz w:val="22"/>
          <w:szCs w:val="22"/>
        </w:rPr>
        <w:t>.</w:t>
      </w:r>
    </w:p>
    <w:p w14:paraId="152F68E2" w14:textId="77777777" w:rsidR="00483399" w:rsidRPr="00D26131" w:rsidRDefault="00062BC5">
      <w:pPr>
        <w:tabs>
          <w:tab w:val="left" w:pos="540"/>
        </w:tabs>
        <w:ind w:left="2421"/>
        <w:rPr>
          <w:rFonts w:cs="Arial"/>
          <w:noProof/>
          <w:sz w:val="22"/>
          <w:szCs w:val="22"/>
          <w:highlight w:val="yellow"/>
        </w:rPr>
      </w:pPr>
      <w:r w:rsidRPr="00D26131">
        <w:rPr>
          <w:rFonts w:cs="Arial"/>
          <w:noProof/>
          <w:sz w:val="22"/>
          <w:szCs w:val="22"/>
          <w:highlight w:val="yellow"/>
        </w:rPr>
        <w:t xml:space="preserve"> </w:t>
      </w:r>
    </w:p>
    <w:p w14:paraId="56D771A1" w14:textId="77777777" w:rsidR="00483399" w:rsidRPr="008F654D" w:rsidRDefault="009A4581" w:rsidP="00E7252D">
      <w:pPr>
        <w:tabs>
          <w:tab w:val="left" w:pos="540"/>
        </w:tabs>
        <w:ind w:left="540"/>
        <w:rPr>
          <w:rFonts w:cs="Arial"/>
          <w:noProof/>
          <w:sz w:val="22"/>
          <w:szCs w:val="22"/>
        </w:rPr>
      </w:pPr>
      <w:r w:rsidRPr="008F654D">
        <w:rPr>
          <w:rFonts w:cs="Arial"/>
          <w:noProof/>
          <w:sz w:val="22"/>
          <w:szCs w:val="22"/>
        </w:rPr>
        <w:t xml:space="preserve">The Council will </w:t>
      </w:r>
      <w:r w:rsidR="00E7252D" w:rsidRPr="008F654D">
        <w:rPr>
          <w:rFonts w:cs="Arial"/>
          <w:noProof/>
          <w:sz w:val="22"/>
          <w:szCs w:val="22"/>
        </w:rPr>
        <w:t>therefore aim to</w:t>
      </w:r>
      <w:r w:rsidRPr="008F654D">
        <w:rPr>
          <w:rFonts w:cs="Arial"/>
          <w:noProof/>
          <w:sz w:val="22"/>
          <w:szCs w:val="22"/>
        </w:rPr>
        <w:t xml:space="preserve"> achieve the optimum return on its investments corresponding with proper levels of security and liquidity.  The risk appetite of this Council is low in order to give priority to security of its investments.</w:t>
      </w:r>
      <w:r w:rsidR="00AA6398" w:rsidRPr="008F654D">
        <w:rPr>
          <w:rFonts w:cs="Arial"/>
          <w:noProof/>
          <w:sz w:val="22"/>
          <w:szCs w:val="22"/>
        </w:rPr>
        <w:t xml:space="preserve">  In the current economic climate it is considered appropriate to keep investments short term to cover cash flow needs, but also to seek out value available in periods up to 12 months with high credit rated financial institutions.</w:t>
      </w:r>
    </w:p>
    <w:p w14:paraId="222F0AED" w14:textId="77777777" w:rsidR="00483399" w:rsidRPr="008F654D" w:rsidRDefault="009A4581">
      <w:pPr>
        <w:tabs>
          <w:tab w:val="left" w:pos="540"/>
        </w:tabs>
        <w:ind w:left="540"/>
        <w:rPr>
          <w:rFonts w:cs="Arial"/>
          <w:noProof/>
          <w:sz w:val="22"/>
          <w:szCs w:val="22"/>
        </w:rPr>
      </w:pPr>
      <w:r w:rsidRPr="008F654D">
        <w:rPr>
          <w:rFonts w:cs="Arial"/>
          <w:noProof/>
          <w:sz w:val="22"/>
          <w:szCs w:val="22"/>
        </w:rPr>
        <w:t xml:space="preserve"> </w:t>
      </w:r>
    </w:p>
    <w:p w14:paraId="01C2ECFC" w14:textId="269BFBCC" w:rsidR="00483399" w:rsidRPr="008F654D" w:rsidRDefault="00100EA7" w:rsidP="005B34C4">
      <w:pPr>
        <w:numPr>
          <w:ilvl w:val="2"/>
          <w:numId w:val="28"/>
        </w:numPr>
        <w:tabs>
          <w:tab w:val="left" w:pos="540"/>
        </w:tabs>
        <w:ind w:left="540" w:hanging="540"/>
        <w:rPr>
          <w:rFonts w:cs="Arial"/>
          <w:noProof/>
          <w:sz w:val="22"/>
          <w:szCs w:val="22"/>
        </w:rPr>
      </w:pPr>
      <w:r w:rsidRPr="008F654D">
        <w:rPr>
          <w:rFonts w:cs="Arial"/>
          <w:sz w:val="22"/>
          <w:szCs w:val="22"/>
        </w:rPr>
        <w:t xml:space="preserve">Minimum acceptable </w:t>
      </w:r>
      <w:r w:rsidRPr="008F654D">
        <w:rPr>
          <w:rFonts w:cs="Arial"/>
          <w:b/>
          <w:sz w:val="22"/>
          <w:szCs w:val="22"/>
        </w:rPr>
        <w:t>credit criteria</w:t>
      </w:r>
      <w:r w:rsidRPr="008F654D">
        <w:rPr>
          <w:rFonts w:cs="Arial"/>
          <w:sz w:val="22"/>
          <w:szCs w:val="22"/>
        </w:rPr>
        <w:t xml:space="preserve"> are applied </w:t>
      </w:r>
      <w:r w:rsidR="00F129BE" w:rsidRPr="008F654D">
        <w:rPr>
          <w:rFonts w:cs="Arial"/>
          <w:sz w:val="22"/>
          <w:szCs w:val="22"/>
        </w:rPr>
        <w:t>to</w:t>
      </w:r>
      <w:r w:rsidRPr="008F654D">
        <w:rPr>
          <w:rFonts w:cs="Arial"/>
          <w:sz w:val="22"/>
          <w:szCs w:val="22"/>
        </w:rPr>
        <w:t xml:space="preserve"> generate a list of highly creditworthy counterparties.  This also enables diversification and thus avoidance of concentration risk. The key ratings used to monitor counterparties are the short term and long-term ratings</w:t>
      </w:r>
      <w:r w:rsidR="002B4C6C">
        <w:rPr>
          <w:rFonts w:cs="Arial"/>
          <w:sz w:val="22"/>
          <w:szCs w:val="22"/>
        </w:rPr>
        <w:t xml:space="preserve"> (</w:t>
      </w:r>
      <w:r w:rsidR="002B4C6C" w:rsidRPr="002B4C6C">
        <w:rPr>
          <w:rFonts w:cs="Arial"/>
          <w:b/>
          <w:bCs/>
          <w:sz w:val="22"/>
          <w:szCs w:val="22"/>
        </w:rPr>
        <w:t>Annex I</w:t>
      </w:r>
      <w:r w:rsidR="002B4C6C">
        <w:rPr>
          <w:rFonts w:cs="Arial"/>
          <w:sz w:val="22"/>
          <w:szCs w:val="22"/>
        </w:rPr>
        <w:t>)</w:t>
      </w:r>
      <w:r w:rsidR="002C46F8" w:rsidRPr="008F654D">
        <w:rPr>
          <w:rFonts w:cs="Arial"/>
          <w:noProof/>
          <w:sz w:val="22"/>
          <w:szCs w:val="22"/>
        </w:rPr>
        <w:t>.</w:t>
      </w:r>
    </w:p>
    <w:p w14:paraId="2E0A2C95" w14:textId="77777777" w:rsidR="00AC3E1A" w:rsidRPr="008F654D" w:rsidRDefault="00AC3E1A" w:rsidP="00AC3E1A">
      <w:pPr>
        <w:pStyle w:val="ListParagraph"/>
        <w:rPr>
          <w:rFonts w:cs="Arial"/>
          <w:noProof/>
          <w:sz w:val="22"/>
          <w:szCs w:val="22"/>
        </w:rPr>
      </w:pPr>
    </w:p>
    <w:p w14:paraId="575D09FA" w14:textId="77777777" w:rsidR="00483399" w:rsidRPr="008F654D" w:rsidRDefault="00100EA7" w:rsidP="005B34C4">
      <w:pPr>
        <w:numPr>
          <w:ilvl w:val="2"/>
          <w:numId w:val="28"/>
        </w:numPr>
        <w:ind w:left="540" w:hanging="540"/>
        <w:rPr>
          <w:rFonts w:cs="Arial"/>
          <w:iCs/>
          <w:sz w:val="22"/>
          <w:szCs w:val="22"/>
        </w:rPr>
      </w:pPr>
      <w:r w:rsidRPr="008F654D">
        <w:rPr>
          <w:rFonts w:cs="Arial"/>
          <w:b/>
          <w:sz w:val="22"/>
          <w:szCs w:val="22"/>
        </w:rPr>
        <w:t>Other information</w:t>
      </w:r>
      <w:r w:rsidRPr="008F654D">
        <w:rPr>
          <w:rFonts w:cs="Arial"/>
          <w:sz w:val="22"/>
          <w:szCs w:val="22"/>
        </w:rPr>
        <w:t>: ratings will not be the sole determinant of the quality of an institution; it is important to continually assess and monitor the financial sector on both a micro and macro basis and in relation to the economic and political environments in which institutions operate. The assessment will also take account of information that reflects the opinion of the markets. To achieve this consideration the Council will engage with its advisors to maintain a monitor on market pricing such as “</w:t>
      </w:r>
      <w:r w:rsidRPr="008F654D">
        <w:rPr>
          <w:rFonts w:cs="Arial"/>
          <w:b/>
          <w:sz w:val="22"/>
          <w:szCs w:val="22"/>
        </w:rPr>
        <w:t>credit default swaps</w:t>
      </w:r>
      <w:r w:rsidRPr="008F654D">
        <w:rPr>
          <w:rFonts w:cs="Arial"/>
          <w:sz w:val="22"/>
          <w:szCs w:val="22"/>
        </w:rPr>
        <w:t>” and overlay that information on top of the credit ratings</w:t>
      </w:r>
      <w:r w:rsidR="002C46F8" w:rsidRPr="008F654D">
        <w:rPr>
          <w:rFonts w:cs="Arial"/>
          <w:noProof/>
          <w:sz w:val="22"/>
          <w:szCs w:val="22"/>
        </w:rPr>
        <w:t>.</w:t>
      </w:r>
    </w:p>
    <w:p w14:paraId="27548EFE" w14:textId="77777777" w:rsidR="002C46F8" w:rsidRPr="008F654D" w:rsidRDefault="002C46F8" w:rsidP="002C46F8">
      <w:pPr>
        <w:pStyle w:val="ListParagraph"/>
        <w:rPr>
          <w:rFonts w:cs="Arial"/>
          <w:iCs/>
          <w:sz w:val="22"/>
          <w:szCs w:val="22"/>
        </w:rPr>
      </w:pPr>
    </w:p>
    <w:p w14:paraId="71FE7193" w14:textId="77777777" w:rsidR="002C46F8" w:rsidRPr="008F654D" w:rsidRDefault="002C46F8" w:rsidP="005B34C4">
      <w:pPr>
        <w:numPr>
          <w:ilvl w:val="2"/>
          <w:numId w:val="28"/>
        </w:numPr>
        <w:ind w:left="540" w:hanging="540"/>
        <w:rPr>
          <w:rFonts w:cs="Arial"/>
          <w:iCs/>
          <w:sz w:val="22"/>
          <w:szCs w:val="22"/>
        </w:rPr>
      </w:pPr>
      <w:r w:rsidRPr="008F654D">
        <w:rPr>
          <w:rFonts w:cs="Arial"/>
          <w:b/>
          <w:noProof/>
          <w:sz w:val="22"/>
          <w:szCs w:val="22"/>
        </w:rPr>
        <w:t>Other information sources</w:t>
      </w:r>
      <w:r w:rsidRPr="008F654D">
        <w:rPr>
          <w:rFonts w:cs="Arial"/>
          <w:noProof/>
          <w:sz w:val="22"/>
          <w:szCs w:val="22"/>
        </w:rPr>
        <w:t xml:space="preserve"> used will include the financial press, share price and other such information pertaining to the banking sector in order to establish the most robust scrutiny process on the suitability of potential investment counterparties.</w:t>
      </w:r>
    </w:p>
    <w:p w14:paraId="4958034C" w14:textId="77777777" w:rsidR="002C46F8" w:rsidRPr="008F654D" w:rsidRDefault="002C46F8" w:rsidP="002C46F8">
      <w:pPr>
        <w:rPr>
          <w:rFonts w:cs="Arial"/>
          <w:iCs/>
          <w:sz w:val="22"/>
          <w:szCs w:val="22"/>
        </w:rPr>
      </w:pPr>
    </w:p>
    <w:p w14:paraId="50834DDB" w14:textId="67882B06" w:rsidR="00525D04" w:rsidRPr="008F654D" w:rsidRDefault="008403A0" w:rsidP="005B34C4">
      <w:pPr>
        <w:numPr>
          <w:ilvl w:val="2"/>
          <w:numId w:val="28"/>
        </w:numPr>
        <w:ind w:left="540" w:hanging="540"/>
        <w:rPr>
          <w:rFonts w:cs="Arial"/>
          <w:sz w:val="22"/>
          <w:szCs w:val="22"/>
        </w:rPr>
      </w:pPr>
      <w:r w:rsidRPr="008F654D">
        <w:rPr>
          <w:rFonts w:cs="Arial"/>
          <w:sz w:val="22"/>
          <w:szCs w:val="22"/>
        </w:rPr>
        <w:t>Th</w:t>
      </w:r>
      <w:r w:rsidR="00F129BE">
        <w:rPr>
          <w:rFonts w:cs="Arial"/>
          <w:sz w:val="22"/>
          <w:szCs w:val="22"/>
        </w:rPr>
        <w:t>e Council</w:t>
      </w:r>
      <w:r w:rsidRPr="008F654D">
        <w:rPr>
          <w:rFonts w:cs="Arial"/>
          <w:sz w:val="22"/>
          <w:szCs w:val="22"/>
        </w:rPr>
        <w:t xml:space="preserve"> has defined the list of </w:t>
      </w:r>
      <w:r w:rsidRPr="008F654D">
        <w:rPr>
          <w:rFonts w:cs="Arial"/>
          <w:b/>
          <w:sz w:val="22"/>
          <w:szCs w:val="22"/>
        </w:rPr>
        <w:t>types of investment instruments</w:t>
      </w:r>
      <w:r w:rsidRPr="008F654D">
        <w:rPr>
          <w:rFonts w:cs="Arial"/>
          <w:sz w:val="22"/>
          <w:szCs w:val="22"/>
        </w:rPr>
        <w:t xml:space="preserve"> that are permitted investments authorised fo</w:t>
      </w:r>
      <w:r w:rsidR="0070041D">
        <w:rPr>
          <w:rFonts w:cs="Arial"/>
          <w:sz w:val="22"/>
          <w:szCs w:val="22"/>
        </w:rPr>
        <w:t xml:space="preserve">r use in </w:t>
      </w:r>
      <w:r w:rsidR="00916EA1" w:rsidRPr="00850EA6">
        <w:rPr>
          <w:rFonts w:cs="Arial"/>
          <w:b/>
          <w:bCs/>
          <w:sz w:val="22"/>
          <w:szCs w:val="22"/>
        </w:rPr>
        <w:t>Annex</w:t>
      </w:r>
      <w:r w:rsidR="0070041D" w:rsidRPr="00850EA6">
        <w:rPr>
          <w:rFonts w:cs="Arial"/>
          <w:b/>
          <w:bCs/>
          <w:sz w:val="22"/>
          <w:szCs w:val="22"/>
        </w:rPr>
        <w:t xml:space="preserve"> D</w:t>
      </w:r>
      <w:r w:rsidR="0070041D">
        <w:rPr>
          <w:rFonts w:cs="Arial"/>
          <w:sz w:val="22"/>
          <w:szCs w:val="22"/>
        </w:rPr>
        <w:t xml:space="preserve">.  </w:t>
      </w:r>
      <w:r w:rsidR="0070041D" w:rsidRPr="00512C68">
        <w:rPr>
          <w:rFonts w:cs="Arial"/>
          <w:b/>
          <w:bCs/>
          <w:sz w:val="22"/>
          <w:szCs w:val="22"/>
        </w:rPr>
        <w:t>A</w:t>
      </w:r>
      <w:r w:rsidR="00916EA1" w:rsidRPr="00512C68">
        <w:rPr>
          <w:rFonts w:cs="Arial"/>
          <w:b/>
          <w:bCs/>
          <w:sz w:val="22"/>
          <w:szCs w:val="22"/>
        </w:rPr>
        <w:t>nne</w:t>
      </w:r>
      <w:r w:rsidR="0070041D" w:rsidRPr="00512C68">
        <w:rPr>
          <w:rFonts w:cs="Arial"/>
          <w:b/>
          <w:bCs/>
          <w:sz w:val="22"/>
          <w:szCs w:val="22"/>
        </w:rPr>
        <w:t>x E</w:t>
      </w:r>
      <w:r w:rsidRPr="008F654D">
        <w:rPr>
          <w:rFonts w:cs="Arial"/>
          <w:sz w:val="22"/>
          <w:szCs w:val="22"/>
        </w:rPr>
        <w:t xml:space="preserve"> expands on the risks involved in each type of investment and the mitigating controls</w:t>
      </w:r>
      <w:r w:rsidR="00A624C8" w:rsidRPr="008F654D">
        <w:rPr>
          <w:rFonts w:cs="Arial"/>
          <w:noProof/>
          <w:sz w:val="22"/>
          <w:szCs w:val="22"/>
        </w:rPr>
        <w:t>.</w:t>
      </w:r>
    </w:p>
    <w:p w14:paraId="584E9CD4" w14:textId="77777777" w:rsidR="00525D04" w:rsidRPr="008F654D" w:rsidRDefault="00525D04" w:rsidP="00525D04">
      <w:pPr>
        <w:pStyle w:val="ListParagraph"/>
        <w:rPr>
          <w:rFonts w:cs="Arial"/>
          <w:sz w:val="22"/>
          <w:szCs w:val="22"/>
        </w:rPr>
      </w:pPr>
    </w:p>
    <w:p w14:paraId="5AE35BCA" w14:textId="77777777" w:rsidR="00483399" w:rsidRPr="008F654D" w:rsidRDefault="00525D04" w:rsidP="005B34C4">
      <w:pPr>
        <w:numPr>
          <w:ilvl w:val="2"/>
          <w:numId w:val="28"/>
        </w:numPr>
        <w:ind w:left="540" w:hanging="540"/>
        <w:rPr>
          <w:rFonts w:cs="Arial"/>
          <w:sz w:val="22"/>
          <w:szCs w:val="22"/>
        </w:rPr>
      </w:pPr>
      <w:r w:rsidRPr="008F654D">
        <w:rPr>
          <w:rFonts w:cs="Arial"/>
          <w:b/>
          <w:sz w:val="22"/>
          <w:szCs w:val="22"/>
        </w:rPr>
        <w:t>Lending limits</w:t>
      </w:r>
      <w:r w:rsidRPr="008F654D">
        <w:rPr>
          <w:rFonts w:cs="Arial"/>
          <w:sz w:val="22"/>
          <w:szCs w:val="22"/>
        </w:rPr>
        <w:t>, (amounts and maturity), for each counterparty will be set through applying the matrix table in paragraph 5.3.</w:t>
      </w:r>
    </w:p>
    <w:p w14:paraId="5F452800" w14:textId="77777777" w:rsidR="00970ACC" w:rsidRPr="00D26131" w:rsidRDefault="00970ACC" w:rsidP="00970ACC">
      <w:pPr>
        <w:pStyle w:val="ListParagraph"/>
        <w:rPr>
          <w:rFonts w:cs="Arial"/>
          <w:sz w:val="22"/>
          <w:szCs w:val="22"/>
          <w:highlight w:val="yellow"/>
        </w:rPr>
      </w:pPr>
    </w:p>
    <w:p w14:paraId="7B1C7D1C" w14:textId="1729939B" w:rsidR="00970ACC" w:rsidRPr="008F654D" w:rsidRDefault="00970ACC" w:rsidP="005B34C4">
      <w:pPr>
        <w:numPr>
          <w:ilvl w:val="2"/>
          <w:numId w:val="28"/>
        </w:numPr>
        <w:ind w:left="540" w:hanging="540"/>
        <w:rPr>
          <w:rFonts w:cs="Arial"/>
          <w:sz w:val="22"/>
          <w:szCs w:val="22"/>
        </w:rPr>
      </w:pPr>
      <w:r w:rsidRPr="008F654D">
        <w:rPr>
          <w:rFonts w:cs="Arial"/>
          <w:sz w:val="22"/>
          <w:szCs w:val="22"/>
        </w:rPr>
        <w:t xml:space="preserve">This authority has engaged </w:t>
      </w:r>
      <w:r w:rsidRPr="008F654D">
        <w:rPr>
          <w:rFonts w:cs="Arial"/>
          <w:b/>
          <w:sz w:val="22"/>
          <w:szCs w:val="22"/>
        </w:rPr>
        <w:t>external consultants</w:t>
      </w:r>
      <w:r w:rsidR="0070041D">
        <w:rPr>
          <w:rFonts w:cs="Arial"/>
          <w:sz w:val="22"/>
          <w:szCs w:val="22"/>
        </w:rPr>
        <w:t xml:space="preserve"> </w:t>
      </w:r>
      <w:r w:rsidRPr="008F654D">
        <w:rPr>
          <w:rFonts w:cs="Arial"/>
          <w:sz w:val="22"/>
          <w:szCs w:val="22"/>
        </w:rPr>
        <w:t>to provide expert advice on how to optimise an appropriate balance of security, liquidity and yield, given the risk appetite of this authority in the context of the expected level of cash balances and need for liquidity throughout the year</w:t>
      </w:r>
      <w:r w:rsidR="00850EA6">
        <w:rPr>
          <w:rFonts w:cs="Arial"/>
          <w:sz w:val="22"/>
          <w:szCs w:val="22"/>
        </w:rPr>
        <w:t>.</w:t>
      </w:r>
    </w:p>
    <w:p w14:paraId="0EF897B5" w14:textId="77777777" w:rsidR="002B0034" w:rsidRPr="008F654D" w:rsidRDefault="002B0034" w:rsidP="002B0034">
      <w:pPr>
        <w:rPr>
          <w:rFonts w:cs="Arial"/>
          <w:sz w:val="22"/>
          <w:szCs w:val="22"/>
        </w:rPr>
      </w:pPr>
    </w:p>
    <w:p w14:paraId="71E0AA08" w14:textId="77777777" w:rsidR="00C9719A" w:rsidRPr="008F654D" w:rsidRDefault="00C9719A" w:rsidP="005B34C4">
      <w:pPr>
        <w:numPr>
          <w:ilvl w:val="2"/>
          <w:numId w:val="28"/>
        </w:numPr>
        <w:ind w:left="540" w:hanging="540"/>
        <w:rPr>
          <w:rFonts w:cs="Arial"/>
          <w:sz w:val="22"/>
          <w:szCs w:val="22"/>
        </w:rPr>
      </w:pPr>
      <w:r w:rsidRPr="008F654D">
        <w:rPr>
          <w:rFonts w:cs="Arial"/>
          <w:sz w:val="22"/>
          <w:szCs w:val="22"/>
        </w:rPr>
        <w:t xml:space="preserve">All investments will be denominated in </w:t>
      </w:r>
      <w:r w:rsidRPr="008F654D">
        <w:rPr>
          <w:rFonts w:cs="Arial"/>
          <w:b/>
          <w:sz w:val="22"/>
          <w:szCs w:val="22"/>
        </w:rPr>
        <w:t>sterling.</w:t>
      </w:r>
    </w:p>
    <w:p w14:paraId="52E7E659" w14:textId="77777777" w:rsidR="00C9719A" w:rsidRPr="00D26131" w:rsidRDefault="00C9719A" w:rsidP="00C9719A">
      <w:pPr>
        <w:pStyle w:val="ListParagraph"/>
        <w:rPr>
          <w:rFonts w:cs="Arial"/>
          <w:sz w:val="22"/>
          <w:szCs w:val="22"/>
          <w:highlight w:val="yellow"/>
        </w:rPr>
      </w:pPr>
    </w:p>
    <w:p w14:paraId="3DA3EF24" w14:textId="35345000" w:rsidR="00C9719A" w:rsidRPr="00F129BE" w:rsidRDefault="00C9719A" w:rsidP="00235904">
      <w:pPr>
        <w:numPr>
          <w:ilvl w:val="2"/>
          <w:numId w:val="28"/>
        </w:numPr>
        <w:ind w:left="540" w:hanging="540"/>
        <w:rPr>
          <w:rFonts w:cs="Arial"/>
          <w:sz w:val="22"/>
          <w:szCs w:val="22"/>
        </w:rPr>
      </w:pPr>
      <w:r w:rsidRPr="005453F2">
        <w:rPr>
          <w:rFonts w:cs="Arial"/>
          <w:sz w:val="22"/>
          <w:szCs w:val="22"/>
        </w:rPr>
        <w:t>As a result of the change in accounting standards for 20</w:t>
      </w:r>
      <w:r w:rsidR="00970ACC" w:rsidRPr="005453F2">
        <w:rPr>
          <w:rFonts w:cs="Arial"/>
          <w:sz w:val="22"/>
          <w:szCs w:val="22"/>
        </w:rPr>
        <w:t>2</w:t>
      </w:r>
      <w:r w:rsidR="005453F2" w:rsidRPr="005453F2">
        <w:rPr>
          <w:rFonts w:cs="Arial"/>
          <w:sz w:val="22"/>
          <w:szCs w:val="22"/>
        </w:rPr>
        <w:t>3</w:t>
      </w:r>
      <w:r w:rsidR="00970ACC" w:rsidRPr="005453F2">
        <w:rPr>
          <w:rFonts w:cs="Arial"/>
          <w:sz w:val="22"/>
          <w:szCs w:val="22"/>
        </w:rPr>
        <w:t>/</w:t>
      </w:r>
      <w:r w:rsidR="009A7812" w:rsidRPr="005453F2">
        <w:rPr>
          <w:rFonts w:cs="Arial"/>
          <w:sz w:val="22"/>
          <w:szCs w:val="22"/>
        </w:rPr>
        <w:t>2</w:t>
      </w:r>
      <w:r w:rsidR="005453F2" w:rsidRPr="005453F2">
        <w:rPr>
          <w:rFonts w:cs="Arial"/>
          <w:sz w:val="22"/>
          <w:szCs w:val="22"/>
        </w:rPr>
        <w:t>4</w:t>
      </w:r>
      <w:r w:rsidRPr="005453F2">
        <w:rPr>
          <w:rFonts w:cs="Arial"/>
          <w:sz w:val="22"/>
          <w:szCs w:val="22"/>
        </w:rPr>
        <w:t xml:space="preserve"> under </w:t>
      </w:r>
      <w:r w:rsidRPr="005453F2">
        <w:rPr>
          <w:rFonts w:cs="Arial"/>
          <w:b/>
          <w:sz w:val="22"/>
          <w:szCs w:val="22"/>
        </w:rPr>
        <w:t>IFRS 9,</w:t>
      </w:r>
      <w:r w:rsidRPr="005453F2">
        <w:rPr>
          <w:rFonts w:cs="Arial"/>
          <w:sz w:val="22"/>
          <w:szCs w:val="22"/>
        </w:rPr>
        <w:t xml:space="preserve"> th</w:t>
      </w:r>
      <w:r w:rsidR="00F129BE">
        <w:rPr>
          <w:rFonts w:cs="Arial"/>
          <w:sz w:val="22"/>
          <w:szCs w:val="22"/>
        </w:rPr>
        <w:t>e Council</w:t>
      </w:r>
      <w:r w:rsidRPr="005453F2">
        <w:rPr>
          <w:rFonts w:cs="Arial"/>
          <w:sz w:val="22"/>
          <w:szCs w:val="22"/>
        </w:rPr>
        <w:t xml:space="preserve"> will consider the implications of investment instruments which could result in an adverse movement in the value of the amount invested and resultant charges at the end o</w:t>
      </w:r>
      <w:r w:rsidR="00970ACC" w:rsidRPr="005453F2">
        <w:rPr>
          <w:rFonts w:cs="Arial"/>
          <w:sz w:val="22"/>
          <w:szCs w:val="22"/>
        </w:rPr>
        <w:t>f the year to the General Fund.</w:t>
      </w:r>
      <w:r w:rsidRPr="005453F2">
        <w:rPr>
          <w:rFonts w:cs="Arial"/>
          <w:sz w:val="22"/>
          <w:szCs w:val="22"/>
          <w:lang w:val="en-AU"/>
        </w:rPr>
        <w:t xml:space="preserve"> </w:t>
      </w:r>
    </w:p>
    <w:p w14:paraId="77DD5F6B" w14:textId="77777777" w:rsidR="00F129BE" w:rsidRDefault="00F129BE" w:rsidP="00F129BE">
      <w:pPr>
        <w:pStyle w:val="ListParagraph"/>
        <w:rPr>
          <w:rFonts w:cs="Arial"/>
          <w:sz w:val="22"/>
          <w:szCs w:val="22"/>
        </w:rPr>
      </w:pPr>
    </w:p>
    <w:p w14:paraId="6922D1F4" w14:textId="77777777" w:rsidR="00F129BE" w:rsidRPr="005453F2" w:rsidRDefault="00F129BE" w:rsidP="00F129BE">
      <w:pPr>
        <w:rPr>
          <w:rFonts w:cs="Arial"/>
          <w:sz w:val="22"/>
          <w:szCs w:val="22"/>
        </w:rPr>
      </w:pPr>
    </w:p>
    <w:p w14:paraId="7CB05DEE" w14:textId="77777777" w:rsidR="005453F2" w:rsidRDefault="005453F2" w:rsidP="005453F2">
      <w:pPr>
        <w:pStyle w:val="ListParagraph"/>
        <w:rPr>
          <w:rFonts w:cs="Arial"/>
          <w:sz w:val="22"/>
          <w:szCs w:val="22"/>
          <w:highlight w:val="yellow"/>
        </w:rPr>
      </w:pPr>
    </w:p>
    <w:p w14:paraId="60A04FE8" w14:textId="77777777" w:rsidR="005453F2" w:rsidRPr="005453F2" w:rsidRDefault="005453F2" w:rsidP="005453F2">
      <w:pPr>
        <w:ind w:left="540"/>
        <w:rPr>
          <w:rFonts w:cs="Arial"/>
          <w:sz w:val="22"/>
          <w:szCs w:val="22"/>
          <w:highlight w:val="yellow"/>
        </w:rPr>
      </w:pPr>
    </w:p>
    <w:p w14:paraId="551A00FB" w14:textId="4A520072" w:rsidR="00B871D8" w:rsidRPr="008F654D" w:rsidRDefault="002B0034" w:rsidP="005B34C4">
      <w:pPr>
        <w:numPr>
          <w:ilvl w:val="2"/>
          <w:numId w:val="28"/>
        </w:numPr>
        <w:ind w:left="540" w:hanging="540"/>
        <w:rPr>
          <w:rFonts w:cs="Arial"/>
          <w:sz w:val="22"/>
          <w:szCs w:val="22"/>
        </w:rPr>
      </w:pPr>
      <w:r w:rsidRPr="008F654D">
        <w:rPr>
          <w:rFonts w:cs="Arial"/>
          <w:sz w:val="22"/>
          <w:szCs w:val="22"/>
        </w:rPr>
        <w:t>T</w:t>
      </w:r>
      <w:r w:rsidR="00C9719A" w:rsidRPr="008F654D">
        <w:rPr>
          <w:rFonts w:cs="Arial"/>
          <w:sz w:val="22"/>
          <w:szCs w:val="22"/>
        </w:rPr>
        <w:t>h</w:t>
      </w:r>
      <w:r w:rsidR="00F129BE">
        <w:rPr>
          <w:rFonts w:cs="Arial"/>
          <w:sz w:val="22"/>
          <w:szCs w:val="22"/>
        </w:rPr>
        <w:t>e Council</w:t>
      </w:r>
      <w:r w:rsidR="00C9719A" w:rsidRPr="008F654D">
        <w:rPr>
          <w:rFonts w:cs="Arial"/>
          <w:sz w:val="22"/>
          <w:szCs w:val="22"/>
        </w:rPr>
        <w:t xml:space="preserve"> will also pursue </w:t>
      </w:r>
      <w:r w:rsidR="00C9719A" w:rsidRPr="008F654D">
        <w:rPr>
          <w:rFonts w:cs="Arial"/>
          <w:b/>
          <w:sz w:val="22"/>
          <w:szCs w:val="22"/>
        </w:rPr>
        <w:t>value for money</w:t>
      </w:r>
      <w:r w:rsidR="00C9719A" w:rsidRPr="008F654D">
        <w:rPr>
          <w:rFonts w:cs="Arial"/>
          <w:sz w:val="22"/>
          <w:szCs w:val="22"/>
        </w:rPr>
        <w:t xml:space="preserve"> in treasury management and will monitor the yield from investment income against appropriate benchmarks for investment </w:t>
      </w:r>
      <w:r w:rsidR="0070041D">
        <w:rPr>
          <w:rFonts w:cs="Arial"/>
          <w:sz w:val="22"/>
          <w:szCs w:val="22"/>
        </w:rPr>
        <w:t>performance</w:t>
      </w:r>
      <w:r w:rsidR="00C9719A" w:rsidRPr="008F654D">
        <w:rPr>
          <w:rFonts w:cs="Arial"/>
          <w:sz w:val="22"/>
          <w:szCs w:val="22"/>
        </w:rPr>
        <w:t>. Regular monitoring of investment performance will be carried out during the year.</w:t>
      </w:r>
    </w:p>
    <w:p w14:paraId="61A49345" w14:textId="77777777" w:rsidR="0037649F" w:rsidRPr="008F654D" w:rsidRDefault="0037649F" w:rsidP="0037649F">
      <w:pPr>
        <w:pStyle w:val="ListParagraph"/>
        <w:rPr>
          <w:rFonts w:cs="Arial"/>
          <w:sz w:val="22"/>
          <w:szCs w:val="22"/>
        </w:rPr>
      </w:pPr>
    </w:p>
    <w:p w14:paraId="01B2A21A" w14:textId="77777777" w:rsidR="0037649F" w:rsidRPr="008F654D" w:rsidRDefault="0037649F" w:rsidP="005B34C4">
      <w:pPr>
        <w:numPr>
          <w:ilvl w:val="2"/>
          <w:numId w:val="28"/>
        </w:numPr>
        <w:ind w:left="540" w:hanging="540"/>
        <w:rPr>
          <w:rFonts w:cs="Arial"/>
          <w:sz w:val="22"/>
          <w:szCs w:val="22"/>
        </w:rPr>
      </w:pPr>
      <w:r w:rsidRPr="008F654D">
        <w:rPr>
          <w:rFonts w:cs="Arial"/>
          <w:sz w:val="22"/>
          <w:szCs w:val="22"/>
        </w:rPr>
        <w:t>The above criteria are unchanged from last year.</w:t>
      </w:r>
    </w:p>
    <w:p w14:paraId="3D015F5E" w14:textId="77777777" w:rsidR="00C9719A" w:rsidRPr="008F654D" w:rsidRDefault="00C9719A">
      <w:pPr>
        <w:rPr>
          <w:rFonts w:cs="Arial"/>
          <w:sz w:val="22"/>
          <w:szCs w:val="22"/>
        </w:rPr>
      </w:pPr>
    </w:p>
    <w:p w14:paraId="78B45B29" w14:textId="77777777" w:rsidR="00483399" w:rsidRPr="008F654D" w:rsidRDefault="000F21A0" w:rsidP="005B34C4">
      <w:pPr>
        <w:numPr>
          <w:ilvl w:val="1"/>
          <w:numId w:val="31"/>
        </w:numPr>
        <w:tabs>
          <w:tab w:val="clear" w:pos="1080"/>
        </w:tabs>
        <w:ind w:left="567" w:hanging="567"/>
        <w:rPr>
          <w:rFonts w:cs="Arial"/>
          <w:b/>
          <w:noProof/>
          <w:color w:val="993366"/>
          <w:sz w:val="24"/>
          <w:szCs w:val="24"/>
        </w:rPr>
      </w:pPr>
      <w:r w:rsidRPr="008F654D">
        <w:rPr>
          <w:rFonts w:cs="Arial"/>
          <w:b/>
          <w:noProof/>
          <w:color w:val="993366"/>
          <w:sz w:val="24"/>
          <w:szCs w:val="24"/>
        </w:rPr>
        <w:t>Council Permitted Investments</w:t>
      </w:r>
    </w:p>
    <w:p w14:paraId="3A1A25B6" w14:textId="77777777" w:rsidR="000F21A0" w:rsidRPr="008F654D" w:rsidRDefault="000F21A0" w:rsidP="000F21A0">
      <w:pPr>
        <w:tabs>
          <w:tab w:val="num" w:pos="720"/>
          <w:tab w:val="num" w:pos="1080"/>
        </w:tabs>
        <w:ind w:left="720" w:hanging="720"/>
        <w:rPr>
          <w:rFonts w:cs="Arial"/>
          <w:b/>
          <w:noProof/>
          <w:color w:val="993366"/>
          <w:sz w:val="24"/>
          <w:szCs w:val="24"/>
        </w:rPr>
      </w:pPr>
    </w:p>
    <w:p w14:paraId="18258DAA" w14:textId="0D12A84E" w:rsidR="00B621C1" w:rsidRPr="008F654D" w:rsidRDefault="00B621C1" w:rsidP="00B621C1">
      <w:pPr>
        <w:ind w:left="567"/>
        <w:rPr>
          <w:rFonts w:cs="Arial"/>
          <w:iCs/>
          <w:sz w:val="22"/>
          <w:szCs w:val="22"/>
        </w:rPr>
      </w:pPr>
      <w:r w:rsidRPr="008F654D">
        <w:rPr>
          <w:rFonts w:cs="Arial"/>
          <w:iCs/>
          <w:sz w:val="22"/>
          <w:szCs w:val="22"/>
        </w:rPr>
        <w:t xml:space="preserve">The proposed criteria for permitted investments are shown </w:t>
      </w:r>
      <w:r w:rsidRPr="00916EA1">
        <w:rPr>
          <w:rFonts w:cs="Arial"/>
          <w:iCs/>
          <w:sz w:val="22"/>
          <w:szCs w:val="22"/>
        </w:rPr>
        <w:t xml:space="preserve">in </w:t>
      </w:r>
      <w:r w:rsidR="00916EA1" w:rsidRPr="00850EA6">
        <w:rPr>
          <w:rFonts w:cs="Arial"/>
          <w:b/>
          <w:bCs/>
          <w:iCs/>
          <w:sz w:val="22"/>
          <w:szCs w:val="22"/>
        </w:rPr>
        <w:t>A</w:t>
      </w:r>
      <w:r w:rsidR="0052192C" w:rsidRPr="00850EA6">
        <w:rPr>
          <w:rFonts w:cs="Arial"/>
          <w:b/>
          <w:bCs/>
          <w:iCs/>
          <w:sz w:val="22"/>
          <w:szCs w:val="22"/>
        </w:rPr>
        <w:t>nnex D</w:t>
      </w:r>
      <w:r w:rsidRPr="003622F5">
        <w:rPr>
          <w:rFonts w:cs="Arial"/>
          <w:iCs/>
          <w:sz w:val="22"/>
          <w:szCs w:val="22"/>
        </w:rPr>
        <w:t xml:space="preserve"> approval</w:t>
      </w:r>
      <w:r w:rsidRPr="008F654D">
        <w:rPr>
          <w:rFonts w:cs="Arial"/>
          <w:iCs/>
          <w:sz w:val="22"/>
          <w:szCs w:val="22"/>
        </w:rPr>
        <w:t>.</w:t>
      </w:r>
    </w:p>
    <w:p w14:paraId="73B85E5D" w14:textId="77777777" w:rsidR="00483399" w:rsidRPr="00D26131" w:rsidRDefault="00483399" w:rsidP="00FD5F3C">
      <w:pPr>
        <w:rPr>
          <w:rFonts w:cs="Arial"/>
          <w:sz w:val="22"/>
          <w:szCs w:val="22"/>
          <w:highlight w:val="yellow"/>
        </w:rPr>
      </w:pPr>
    </w:p>
    <w:p w14:paraId="03090B0D" w14:textId="77777777" w:rsidR="00F05EBE" w:rsidRPr="002718A4" w:rsidRDefault="00FD5F3C" w:rsidP="00FD5F3C">
      <w:pPr>
        <w:tabs>
          <w:tab w:val="left" w:pos="567"/>
        </w:tabs>
        <w:rPr>
          <w:rFonts w:cs="Arial"/>
          <w:color w:val="993366"/>
          <w:sz w:val="24"/>
          <w:szCs w:val="24"/>
        </w:rPr>
      </w:pPr>
      <w:r w:rsidRPr="002718A4">
        <w:rPr>
          <w:rFonts w:cs="Arial"/>
          <w:b/>
          <w:color w:val="993366"/>
          <w:sz w:val="24"/>
          <w:szCs w:val="24"/>
        </w:rPr>
        <w:t>5.3</w:t>
      </w:r>
      <w:r w:rsidRPr="002718A4">
        <w:rPr>
          <w:rFonts w:cs="Arial"/>
          <w:b/>
          <w:color w:val="993366"/>
          <w:sz w:val="24"/>
          <w:szCs w:val="24"/>
        </w:rPr>
        <w:tab/>
      </w:r>
      <w:r w:rsidR="009B7AB5" w:rsidRPr="002718A4">
        <w:rPr>
          <w:rFonts w:cs="Arial"/>
          <w:b/>
          <w:color w:val="993366"/>
          <w:sz w:val="24"/>
          <w:szCs w:val="24"/>
        </w:rPr>
        <w:t>Creditworthiness Policy</w:t>
      </w:r>
      <w:r w:rsidR="00F05EBE" w:rsidRPr="002718A4">
        <w:rPr>
          <w:rFonts w:cs="Arial"/>
          <w:b/>
          <w:noProof/>
          <w:color w:val="993366"/>
          <w:sz w:val="24"/>
          <w:szCs w:val="24"/>
        </w:rPr>
        <w:t xml:space="preserve"> </w:t>
      </w:r>
      <w:r w:rsidR="00F05EBE" w:rsidRPr="002718A4">
        <w:rPr>
          <w:rFonts w:cs="Arial"/>
          <w:b/>
          <w:noProof/>
          <w:color w:val="993366"/>
          <w:sz w:val="24"/>
          <w:szCs w:val="24"/>
        </w:rPr>
        <w:br/>
      </w:r>
    </w:p>
    <w:p w14:paraId="0CF9AF8B" w14:textId="55D23E7F" w:rsidR="00483399" w:rsidRPr="002718A4" w:rsidRDefault="002C46F8" w:rsidP="005B34C4">
      <w:pPr>
        <w:numPr>
          <w:ilvl w:val="2"/>
          <w:numId w:val="26"/>
        </w:numPr>
        <w:rPr>
          <w:rFonts w:cs="Arial"/>
          <w:noProof/>
          <w:sz w:val="22"/>
          <w:szCs w:val="22"/>
        </w:rPr>
      </w:pPr>
      <w:r w:rsidRPr="002718A4">
        <w:rPr>
          <w:rFonts w:cs="Arial"/>
          <w:noProof/>
          <w:sz w:val="22"/>
          <w:szCs w:val="22"/>
        </w:rPr>
        <w:t>Th</w:t>
      </w:r>
      <w:r w:rsidR="00F129BE">
        <w:rPr>
          <w:rFonts w:cs="Arial"/>
          <w:noProof/>
          <w:sz w:val="22"/>
          <w:szCs w:val="22"/>
        </w:rPr>
        <w:t>e</w:t>
      </w:r>
      <w:r w:rsidRPr="002718A4">
        <w:rPr>
          <w:rFonts w:cs="Arial"/>
          <w:noProof/>
          <w:sz w:val="22"/>
          <w:szCs w:val="22"/>
        </w:rPr>
        <w:t xml:space="preserve"> Council applies the creditworthiness service provided by </w:t>
      </w:r>
      <w:r w:rsidR="00970ACC" w:rsidRPr="002718A4">
        <w:rPr>
          <w:rFonts w:cs="Arial"/>
          <w:noProof/>
          <w:sz w:val="22"/>
          <w:szCs w:val="22"/>
        </w:rPr>
        <w:t xml:space="preserve">the </w:t>
      </w:r>
      <w:r w:rsidRPr="002718A4">
        <w:rPr>
          <w:rFonts w:cs="Arial"/>
          <w:noProof/>
          <w:sz w:val="22"/>
          <w:szCs w:val="22"/>
        </w:rPr>
        <w:t xml:space="preserve">Link </w:t>
      </w:r>
      <w:r w:rsidR="00970ACC" w:rsidRPr="002718A4">
        <w:rPr>
          <w:rFonts w:cs="Arial"/>
          <w:noProof/>
          <w:sz w:val="22"/>
          <w:szCs w:val="22"/>
        </w:rPr>
        <w:t>Group</w:t>
      </w:r>
      <w:r w:rsidRPr="002718A4">
        <w:rPr>
          <w:rFonts w:cs="Arial"/>
          <w:noProof/>
          <w:sz w:val="22"/>
          <w:szCs w:val="22"/>
        </w:rPr>
        <w:t>.  This service employs a sophisticated modelling approach utilising credit ratings from the three main credit rating agencies - Fitch, Moody’s and Standard and Poor’s.  The credit ratings of counterparties are supplemented with the following overlays:</w:t>
      </w:r>
    </w:p>
    <w:p w14:paraId="61D0155A" w14:textId="77777777" w:rsidR="00F05EBE" w:rsidRPr="002718A4" w:rsidRDefault="00F05EBE" w:rsidP="00F05EBE">
      <w:pPr>
        <w:ind w:left="567"/>
        <w:jc w:val="both"/>
        <w:rPr>
          <w:rFonts w:cs="Arial"/>
          <w:noProof/>
          <w:sz w:val="22"/>
          <w:szCs w:val="22"/>
        </w:rPr>
      </w:pPr>
    </w:p>
    <w:p w14:paraId="06D014D3" w14:textId="77777777" w:rsidR="00483399" w:rsidRPr="005D32D9" w:rsidRDefault="00F05EBE" w:rsidP="005B34C4">
      <w:pPr>
        <w:numPr>
          <w:ilvl w:val="0"/>
          <w:numId w:val="29"/>
        </w:numPr>
        <w:spacing w:before="45" w:after="45"/>
        <w:jc w:val="both"/>
        <w:rPr>
          <w:rFonts w:cs="Arial"/>
          <w:noProof/>
          <w:sz w:val="22"/>
          <w:szCs w:val="22"/>
        </w:rPr>
      </w:pPr>
      <w:r w:rsidRPr="005D32D9">
        <w:rPr>
          <w:rFonts w:cs="Arial"/>
          <w:noProof/>
          <w:sz w:val="22"/>
          <w:szCs w:val="22"/>
        </w:rPr>
        <w:t>credit watches and credit outl</w:t>
      </w:r>
      <w:r w:rsidR="00B26A0C" w:rsidRPr="005D32D9">
        <w:rPr>
          <w:rFonts w:cs="Arial"/>
          <w:noProof/>
          <w:sz w:val="22"/>
          <w:szCs w:val="22"/>
        </w:rPr>
        <w:t>ooks from credit rating agencies</w:t>
      </w:r>
      <w:r w:rsidR="00970ACC" w:rsidRPr="005D32D9">
        <w:rPr>
          <w:rFonts w:cs="Arial"/>
          <w:noProof/>
          <w:sz w:val="22"/>
          <w:szCs w:val="22"/>
        </w:rPr>
        <w:t>;</w:t>
      </w:r>
    </w:p>
    <w:p w14:paraId="77BBA5DC" w14:textId="77777777" w:rsidR="00483399" w:rsidRPr="005D32D9" w:rsidRDefault="00F9071C" w:rsidP="005B34C4">
      <w:pPr>
        <w:numPr>
          <w:ilvl w:val="0"/>
          <w:numId w:val="29"/>
        </w:numPr>
        <w:spacing w:before="45" w:after="45"/>
        <w:jc w:val="both"/>
        <w:rPr>
          <w:rFonts w:cs="Arial"/>
          <w:noProof/>
          <w:sz w:val="22"/>
          <w:szCs w:val="22"/>
        </w:rPr>
      </w:pPr>
      <w:r w:rsidRPr="005D32D9">
        <w:rPr>
          <w:rFonts w:cs="Arial"/>
          <w:noProof/>
          <w:sz w:val="22"/>
          <w:szCs w:val="22"/>
        </w:rPr>
        <w:t>Credit Default Swaps (</w:t>
      </w:r>
      <w:r w:rsidR="00F05EBE" w:rsidRPr="005D32D9">
        <w:rPr>
          <w:rFonts w:cs="Arial"/>
          <w:noProof/>
          <w:sz w:val="22"/>
          <w:szCs w:val="22"/>
        </w:rPr>
        <w:t>CDS</w:t>
      </w:r>
      <w:r w:rsidRPr="005D32D9">
        <w:rPr>
          <w:rFonts w:cs="Arial"/>
          <w:noProof/>
          <w:sz w:val="22"/>
          <w:szCs w:val="22"/>
        </w:rPr>
        <w:t>)</w:t>
      </w:r>
      <w:r w:rsidR="00F05EBE" w:rsidRPr="005D32D9">
        <w:rPr>
          <w:rFonts w:cs="Arial"/>
          <w:noProof/>
          <w:sz w:val="22"/>
          <w:szCs w:val="22"/>
        </w:rPr>
        <w:t xml:space="preserve"> spreads to give early warning of likely changes in credit ratings</w:t>
      </w:r>
      <w:r w:rsidR="00970ACC" w:rsidRPr="005D32D9">
        <w:rPr>
          <w:rFonts w:cs="Arial"/>
          <w:noProof/>
          <w:sz w:val="22"/>
          <w:szCs w:val="22"/>
        </w:rPr>
        <w:t>;</w:t>
      </w:r>
    </w:p>
    <w:p w14:paraId="74D6E680" w14:textId="77777777" w:rsidR="00483399" w:rsidRPr="005D32D9" w:rsidRDefault="00F05EBE" w:rsidP="005B34C4">
      <w:pPr>
        <w:pStyle w:val="ListParagraph"/>
        <w:numPr>
          <w:ilvl w:val="0"/>
          <w:numId w:val="29"/>
        </w:numPr>
        <w:rPr>
          <w:rFonts w:cs="Arial"/>
          <w:noProof/>
          <w:sz w:val="22"/>
          <w:szCs w:val="22"/>
        </w:rPr>
      </w:pPr>
      <w:r w:rsidRPr="005D32D9">
        <w:rPr>
          <w:rFonts w:cs="Arial"/>
          <w:noProof/>
          <w:sz w:val="22"/>
          <w:szCs w:val="22"/>
        </w:rPr>
        <w:t>sovereign ratings to select counterparties from only the most creditworthy countries</w:t>
      </w:r>
      <w:r w:rsidR="00970ACC" w:rsidRPr="005D32D9">
        <w:rPr>
          <w:rFonts w:cs="Arial"/>
          <w:noProof/>
          <w:sz w:val="22"/>
          <w:szCs w:val="22"/>
        </w:rPr>
        <w:t>.</w:t>
      </w:r>
    </w:p>
    <w:p w14:paraId="7355A6D2" w14:textId="77777777" w:rsidR="00483399" w:rsidRPr="005D32D9" w:rsidRDefault="00483399">
      <w:pPr>
        <w:pStyle w:val="ListParagraph"/>
        <w:ind w:left="927"/>
        <w:rPr>
          <w:rFonts w:cs="Arial"/>
          <w:noProof/>
          <w:sz w:val="22"/>
          <w:szCs w:val="22"/>
        </w:rPr>
      </w:pPr>
    </w:p>
    <w:p w14:paraId="37EDBCE7" w14:textId="77777777" w:rsidR="00483399" w:rsidRPr="005D32D9" w:rsidRDefault="00E54F4E" w:rsidP="005B34C4">
      <w:pPr>
        <w:numPr>
          <w:ilvl w:val="2"/>
          <w:numId w:val="32"/>
        </w:numPr>
        <w:rPr>
          <w:rFonts w:cs="Arial"/>
          <w:noProof/>
          <w:color w:val="FF0000"/>
          <w:sz w:val="22"/>
          <w:szCs w:val="22"/>
        </w:rPr>
      </w:pPr>
      <w:r w:rsidRPr="005D32D9">
        <w:rPr>
          <w:rFonts w:cs="Arial"/>
          <w:noProof/>
          <w:sz w:val="22"/>
          <w:szCs w:val="22"/>
        </w:rPr>
        <w:t xml:space="preserve">This modelling approach combines credit ratings, </w:t>
      </w:r>
      <w:r w:rsidR="006A4102" w:rsidRPr="005D32D9">
        <w:rPr>
          <w:rFonts w:cs="Arial"/>
          <w:sz w:val="22"/>
          <w:szCs w:val="22"/>
        </w:rPr>
        <w:t xml:space="preserve">and any assigned Watches and Outlooks </w:t>
      </w:r>
      <w:r w:rsidRPr="005D32D9">
        <w:rPr>
          <w:rFonts w:cs="Arial"/>
          <w:noProof/>
          <w:sz w:val="22"/>
          <w:szCs w:val="22"/>
        </w:rPr>
        <w:t>in a weighted scoring system which is then combined with an overlay of CDS spreads</w:t>
      </w:r>
      <w:r w:rsidR="006A4102" w:rsidRPr="005D32D9">
        <w:rPr>
          <w:rFonts w:cs="Arial"/>
          <w:noProof/>
          <w:sz w:val="22"/>
          <w:szCs w:val="22"/>
        </w:rPr>
        <w:t>.  T</w:t>
      </w:r>
      <w:r w:rsidRPr="005D32D9">
        <w:rPr>
          <w:rFonts w:cs="Arial"/>
          <w:noProof/>
          <w:sz w:val="22"/>
          <w:szCs w:val="22"/>
        </w:rPr>
        <w:t>he end product is a series of colour coded bands which indicate the relative creditworthiness of counterparties.  These colour codes are used by the Council to determine the suggested duration for investments.   The Council will therefore use counterparties within the following durational bands:</w:t>
      </w:r>
      <w:r w:rsidR="008013B1" w:rsidRPr="005D32D9">
        <w:rPr>
          <w:rFonts w:cs="Arial"/>
          <w:noProof/>
          <w:sz w:val="22"/>
          <w:szCs w:val="22"/>
        </w:rPr>
        <w:t xml:space="preserve"> </w:t>
      </w:r>
    </w:p>
    <w:p w14:paraId="3674B213" w14:textId="77777777" w:rsidR="00CF465E" w:rsidRPr="005D32D9" w:rsidRDefault="00CF465E" w:rsidP="002817B0">
      <w:pPr>
        <w:ind w:left="720"/>
        <w:jc w:val="both"/>
        <w:rPr>
          <w:rFonts w:cs="Arial"/>
          <w:noProof/>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775"/>
      </w:tblGrid>
      <w:tr w:rsidR="002817B0" w:rsidRPr="005D32D9" w14:paraId="05F0AE8A" w14:textId="77777777" w:rsidTr="0037649F">
        <w:trPr>
          <w:trHeight w:val="702"/>
        </w:trPr>
        <w:tc>
          <w:tcPr>
            <w:tcW w:w="2410" w:type="dxa"/>
            <w:shd w:val="clear" w:color="auto" w:fill="993366"/>
            <w:vAlign w:val="center"/>
          </w:tcPr>
          <w:p w14:paraId="35E059AC" w14:textId="77777777" w:rsidR="002817B0" w:rsidRPr="005D32D9" w:rsidRDefault="002817B0" w:rsidP="006B430C">
            <w:pPr>
              <w:rPr>
                <w:rFonts w:cs="Arial"/>
                <w:b/>
                <w:noProof/>
                <w:color w:val="FFFFFF"/>
                <w:sz w:val="22"/>
                <w:szCs w:val="22"/>
              </w:rPr>
            </w:pPr>
            <w:r w:rsidRPr="005D32D9">
              <w:rPr>
                <w:rFonts w:cs="Arial"/>
                <w:b/>
                <w:noProof/>
                <w:color w:val="FFFFFF"/>
                <w:sz w:val="22"/>
                <w:szCs w:val="22"/>
              </w:rPr>
              <w:t xml:space="preserve">Creditworthiness </w:t>
            </w:r>
            <w:r w:rsidRPr="005D32D9">
              <w:rPr>
                <w:rFonts w:cs="Arial"/>
                <w:b/>
                <w:noProof/>
                <w:color w:val="FFFFFF"/>
                <w:sz w:val="22"/>
                <w:szCs w:val="22"/>
              </w:rPr>
              <w:br/>
              <w:t>Colour Banding</w:t>
            </w:r>
          </w:p>
        </w:tc>
        <w:tc>
          <w:tcPr>
            <w:tcW w:w="6775" w:type="dxa"/>
            <w:shd w:val="clear" w:color="auto" w:fill="993366"/>
            <w:vAlign w:val="center"/>
          </w:tcPr>
          <w:p w14:paraId="7ADCDBFF" w14:textId="77777777" w:rsidR="002817B0" w:rsidRPr="005D32D9" w:rsidRDefault="002817B0" w:rsidP="006B430C">
            <w:pPr>
              <w:rPr>
                <w:rFonts w:cs="Arial"/>
                <w:b/>
                <w:noProof/>
                <w:color w:val="FFFFFF"/>
                <w:sz w:val="22"/>
                <w:szCs w:val="22"/>
              </w:rPr>
            </w:pPr>
            <w:r w:rsidRPr="005D32D9">
              <w:rPr>
                <w:rFonts w:cs="Arial"/>
                <w:b/>
                <w:noProof/>
                <w:color w:val="FFFFFF"/>
                <w:sz w:val="22"/>
                <w:szCs w:val="22"/>
              </w:rPr>
              <w:t>Maximum Investment Duration</w:t>
            </w:r>
          </w:p>
        </w:tc>
      </w:tr>
      <w:tr w:rsidR="002817B0" w:rsidRPr="005D32D9" w14:paraId="30F0A1E4" w14:textId="77777777" w:rsidTr="0037649F">
        <w:tc>
          <w:tcPr>
            <w:tcW w:w="2410" w:type="dxa"/>
          </w:tcPr>
          <w:p w14:paraId="7D64A2FF" w14:textId="77777777" w:rsidR="002817B0" w:rsidRPr="005D32D9" w:rsidRDefault="002817B0" w:rsidP="006B430C">
            <w:pPr>
              <w:rPr>
                <w:rFonts w:cs="Arial"/>
                <w:noProof/>
                <w:sz w:val="22"/>
                <w:szCs w:val="22"/>
              </w:rPr>
            </w:pPr>
            <w:r w:rsidRPr="005D32D9">
              <w:rPr>
                <w:rFonts w:cs="Arial"/>
                <w:noProof/>
                <w:sz w:val="22"/>
                <w:szCs w:val="22"/>
              </w:rPr>
              <w:t>Yellow</w:t>
            </w:r>
          </w:p>
        </w:tc>
        <w:tc>
          <w:tcPr>
            <w:tcW w:w="6775" w:type="dxa"/>
          </w:tcPr>
          <w:p w14:paraId="18CDF9B0" w14:textId="77777777" w:rsidR="002817B0" w:rsidRPr="005D32D9" w:rsidRDefault="002817B0" w:rsidP="006B430C">
            <w:pPr>
              <w:rPr>
                <w:rFonts w:cs="Arial"/>
                <w:noProof/>
                <w:sz w:val="22"/>
                <w:szCs w:val="22"/>
              </w:rPr>
            </w:pPr>
            <w:r w:rsidRPr="005D32D9">
              <w:rPr>
                <w:rFonts w:cs="Arial"/>
                <w:noProof/>
                <w:sz w:val="22"/>
                <w:szCs w:val="22"/>
              </w:rPr>
              <w:t>5 years</w:t>
            </w:r>
            <w:r w:rsidR="00970ACC" w:rsidRPr="005D32D9">
              <w:rPr>
                <w:rFonts w:cs="Arial"/>
                <w:noProof/>
                <w:sz w:val="22"/>
                <w:szCs w:val="22"/>
              </w:rPr>
              <w:t>*</w:t>
            </w:r>
          </w:p>
        </w:tc>
      </w:tr>
      <w:tr w:rsidR="002817B0" w:rsidRPr="00D26131" w14:paraId="7E2B3A9C" w14:textId="77777777" w:rsidTr="0037649F">
        <w:tc>
          <w:tcPr>
            <w:tcW w:w="2410" w:type="dxa"/>
          </w:tcPr>
          <w:p w14:paraId="1A7F7036" w14:textId="77777777" w:rsidR="002817B0" w:rsidRPr="005D32D9" w:rsidRDefault="002817B0" w:rsidP="006B430C">
            <w:pPr>
              <w:rPr>
                <w:rFonts w:cs="Arial"/>
                <w:noProof/>
                <w:sz w:val="22"/>
                <w:szCs w:val="22"/>
              </w:rPr>
            </w:pPr>
            <w:r w:rsidRPr="005D32D9">
              <w:rPr>
                <w:rFonts w:cs="Arial"/>
                <w:noProof/>
                <w:sz w:val="22"/>
                <w:szCs w:val="22"/>
              </w:rPr>
              <w:t>Dark pink</w:t>
            </w:r>
          </w:p>
        </w:tc>
        <w:tc>
          <w:tcPr>
            <w:tcW w:w="6775" w:type="dxa"/>
          </w:tcPr>
          <w:p w14:paraId="26008CEE" w14:textId="77777777" w:rsidR="002817B0" w:rsidRPr="002718A4" w:rsidRDefault="00E54F4E" w:rsidP="006B430C">
            <w:pPr>
              <w:rPr>
                <w:rFonts w:cs="Arial"/>
                <w:noProof/>
                <w:sz w:val="22"/>
                <w:szCs w:val="22"/>
              </w:rPr>
            </w:pPr>
            <w:r w:rsidRPr="005D32D9">
              <w:rPr>
                <w:rFonts w:cs="Arial"/>
                <w:noProof/>
                <w:sz w:val="22"/>
                <w:szCs w:val="22"/>
              </w:rPr>
              <w:t>5 years for Ultra short dated bond funds with a credit score of 1.25</w:t>
            </w:r>
          </w:p>
        </w:tc>
      </w:tr>
      <w:tr w:rsidR="002817B0" w:rsidRPr="00D26131" w14:paraId="30CA8EFC" w14:textId="77777777" w:rsidTr="0037649F">
        <w:tc>
          <w:tcPr>
            <w:tcW w:w="2410" w:type="dxa"/>
          </w:tcPr>
          <w:p w14:paraId="5B745CB2" w14:textId="77777777" w:rsidR="002817B0" w:rsidRPr="002718A4" w:rsidRDefault="002817B0" w:rsidP="006B430C">
            <w:pPr>
              <w:rPr>
                <w:rFonts w:cs="Arial"/>
                <w:noProof/>
                <w:sz w:val="22"/>
                <w:szCs w:val="22"/>
              </w:rPr>
            </w:pPr>
            <w:r w:rsidRPr="002718A4">
              <w:rPr>
                <w:rFonts w:cs="Arial"/>
                <w:noProof/>
                <w:sz w:val="22"/>
                <w:szCs w:val="22"/>
              </w:rPr>
              <w:t>Light pink</w:t>
            </w:r>
          </w:p>
        </w:tc>
        <w:tc>
          <w:tcPr>
            <w:tcW w:w="6775" w:type="dxa"/>
          </w:tcPr>
          <w:p w14:paraId="1A14F368" w14:textId="77777777" w:rsidR="002817B0" w:rsidRPr="002718A4" w:rsidRDefault="00E54F4E" w:rsidP="00F1115F">
            <w:pPr>
              <w:rPr>
                <w:rFonts w:cs="Arial"/>
                <w:noProof/>
                <w:sz w:val="22"/>
                <w:szCs w:val="22"/>
              </w:rPr>
            </w:pPr>
            <w:r w:rsidRPr="002718A4">
              <w:rPr>
                <w:rFonts w:cs="Arial"/>
                <w:noProof/>
                <w:sz w:val="22"/>
                <w:szCs w:val="22"/>
              </w:rPr>
              <w:t>5 years for Ultra short dated bond funds with a credit score of 1.5</w:t>
            </w:r>
          </w:p>
        </w:tc>
      </w:tr>
      <w:tr w:rsidR="002817B0" w:rsidRPr="00D26131" w14:paraId="512A4971" w14:textId="77777777" w:rsidTr="0037649F">
        <w:tc>
          <w:tcPr>
            <w:tcW w:w="2410" w:type="dxa"/>
          </w:tcPr>
          <w:p w14:paraId="65DC27D8" w14:textId="77777777" w:rsidR="002817B0" w:rsidRPr="008013B1" w:rsidRDefault="002817B0" w:rsidP="006B430C">
            <w:pPr>
              <w:rPr>
                <w:rFonts w:cs="Arial"/>
                <w:noProof/>
                <w:sz w:val="22"/>
                <w:szCs w:val="22"/>
              </w:rPr>
            </w:pPr>
            <w:r w:rsidRPr="008013B1">
              <w:rPr>
                <w:rFonts w:cs="Arial"/>
                <w:noProof/>
                <w:sz w:val="22"/>
                <w:szCs w:val="22"/>
              </w:rPr>
              <w:t>Purple</w:t>
            </w:r>
          </w:p>
        </w:tc>
        <w:tc>
          <w:tcPr>
            <w:tcW w:w="6775" w:type="dxa"/>
          </w:tcPr>
          <w:p w14:paraId="49F1828D" w14:textId="77777777" w:rsidR="002817B0" w:rsidRPr="008013B1" w:rsidRDefault="002817B0" w:rsidP="006B430C">
            <w:pPr>
              <w:rPr>
                <w:rFonts w:cs="Arial"/>
                <w:noProof/>
                <w:sz w:val="22"/>
                <w:szCs w:val="22"/>
              </w:rPr>
            </w:pPr>
            <w:r w:rsidRPr="008013B1">
              <w:rPr>
                <w:rFonts w:cs="Arial"/>
                <w:noProof/>
                <w:sz w:val="22"/>
                <w:szCs w:val="22"/>
              </w:rPr>
              <w:t>2 years</w:t>
            </w:r>
          </w:p>
        </w:tc>
      </w:tr>
      <w:tr w:rsidR="002817B0" w:rsidRPr="00D26131" w14:paraId="62B9FC10" w14:textId="77777777" w:rsidTr="0037649F">
        <w:tc>
          <w:tcPr>
            <w:tcW w:w="2410" w:type="dxa"/>
          </w:tcPr>
          <w:p w14:paraId="5E50554E" w14:textId="77777777" w:rsidR="002817B0" w:rsidRPr="008013B1" w:rsidRDefault="002817B0" w:rsidP="006B430C">
            <w:pPr>
              <w:rPr>
                <w:rFonts w:cs="Arial"/>
                <w:noProof/>
                <w:sz w:val="22"/>
                <w:szCs w:val="22"/>
              </w:rPr>
            </w:pPr>
            <w:r w:rsidRPr="008013B1">
              <w:rPr>
                <w:rFonts w:cs="Arial"/>
                <w:noProof/>
                <w:sz w:val="22"/>
                <w:szCs w:val="22"/>
              </w:rPr>
              <w:t>Blue</w:t>
            </w:r>
          </w:p>
        </w:tc>
        <w:tc>
          <w:tcPr>
            <w:tcW w:w="6775" w:type="dxa"/>
          </w:tcPr>
          <w:p w14:paraId="4AE588B2" w14:textId="77777777" w:rsidR="002817B0" w:rsidRPr="008013B1" w:rsidRDefault="002817B0" w:rsidP="0037649F">
            <w:pPr>
              <w:rPr>
                <w:rFonts w:cs="Arial"/>
                <w:noProof/>
                <w:sz w:val="22"/>
                <w:szCs w:val="22"/>
              </w:rPr>
            </w:pPr>
            <w:r w:rsidRPr="008013B1">
              <w:rPr>
                <w:rFonts w:cs="Arial"/>
                <w:noProof/>
                <w:sz w:val="22"/>
                <w:szCs w:val="22"/>
              </w:rPr>
              <w:t>1 year (only applies to nationalised or semi-nationalised UK Banks)</w:t>
            </w:r>
          </w:p>
        </w:tc>
      </w:tr>
      <w:tr w:rsidR="002817B0" w:rsidRPr="00D26131" w14:paraId="7B6B60D1" w14:textId="77777777" w:rsidTr="0037649F">
        <w:tc>
          <w:tcPr>
            <w:tcW w:w="2410" w:type="dxa"/>
          </w:tcPr>
          <w:p w14:paraId="1407E521" w14:textId="77777777" w:rsidR="002817B0" w:rsidRPr="008013B1" w:rsidRDefault="002817B0" w:rsidP="006B430C">
            <w:pPr>
              <w:rPr>
                <w:rFonts w:cs="Arial"/>
                <w:noProof/>
                <w:sz w:val="22"/>
                <w:szCs w:val="22"/>
              </w:rPr>
            </w:pPr>
            <w:r w:rsidRPr="008013B1">
              <w:rPr>
                <w:rFonts w:cs="Arial"/>
                <w:noProof/>
                <w:sz w:val="22"/>
                <w:szCs w:val="22"/>
              </w:rPr>
              <w:t>Orange</w:t>
            </w:r>
          </w:p>
        </w:tc>
        <w:tc>
          <w:tcPr>
            <w:tcW w:w="6775" w:type="dxa"/>
          </w:tcPr>
          <w:p w14:paraId="0DEDEB5F" w14:textId="77777777" w:rsidR="002817B0" w:rsidRPr="008013B1" w:rsidRDefault="002817B0" w:rsidP="006B430C">
            <w:pPr>
              <w:rPr>
                <w:rFonts w:cs="Arial"/>
                <w:noProof/>
                <w:sz w:val="22"/>
                <w:szCs w:val="22"/>
              </w:rPr>
            </w:pPr>
            <w:r w:rsidRPr="008013B1">
              <w:rPr>
                <w:rFonts w:cs="Arial"/>
                <w:noProof/>
                <w:sz w:val="22"/>
                <w:szCs w:val="22"/>
              </w:rPr>
              <w:t>1 year</w:t>
            </w:r>
          </w:p>
        </w:tc>
      </w:tr>
      <w:tr w:rsidR="002817B0" w:rsidRPr="00D26131" w14:paraId="1C74FECD" w14:textId="77777777" w:rsidTr="0037649F">
        <w:tc>
          <w:tcPr>
            <w:tcW w:w="2410" w:type="dxa"/>
          </w:tcPr>
          <w:p w14:paraId="616E32CD" w14:textId="77777777" w:rsidR="002817B0" w:rsidRPr="008013B1" w:rsidRDefault="002817B0" w:rsidP="006B430C">
            <w:pPr>
              <w:rPr>
                <w:rFonts w:cs="Arial"/>
                <w:noProof/>
                <w:sz w:val="22"/>
                <w:szCs w:val="22"/>
              </w:rPr>
            </w:pPr>
            <w:r w:rsidRPr="008013B1">
              <w:rPr>
                <w:rFonts w:cs="Arial"/>
                <w:noProof/>
                <w:sz w:val="22"/>
                <w:szCs w:val="22"/>
              </w:rPr>
              <w:t>Red</w:t>
            </w:r>
          </w:p>
        </w:tc>
        <w:tc>
          <w:tcPr>
            <w:tcW w:w="6775" w:type="dxa"/>
          </w:tcPr>
          <w:p w14:paraId="5B9FCC7F" w14:textId="77777777" w:rsidR="002817B0" w:rsidRPr="008013B1" w:rsidRDefault="002817B0" w:rsidP="006B430C">
            <w:pPr>
              <w:rPr>
                <w:rFonts w:cs="Arial"/>
                <w:noProof/>
                <w:sz w:val="22"/>
                <w:szCs w:val="22"/>
              </w:rPr>
            </w:pPr>
            <w:r w:rsidRPr="008013B1">
              <w:rPr>
                <w:rFonts w:cs="Arial"/>
                <w:noProof/>
                <w:sz w:val="22"/>
                <w:szCs w:val="22"/>
              </w:rPr>
              <w:t>6 months</w:t>
            </w:r>
          </w:p>
        </w:tc>
      </w:tr>
      <w:tr w:rsidR="002817B0" w:rsidRPr="00D26131" w14:paraId="7C36F3B6" w14:textId="77777777" w:rsidTr="0037649F">
        <w:tc>
          <w:tcPr>
            <w:tcW w:w="2410" w:type="dxa"/>
          </w:tcPr>
          <w:p w14:paraId="4F5FD012" w14:textId="77777777" w:rsidR="002817B0" w:rsidRPr="008013B1" w:rsidRDefault="002817B0" w:rsidP="006B430C">
            <w:pPr>
              <w:rPr>
                <w:rFonts w:cs="Arial"/>
                <w:noProof/>
                <w:sz w:val="22"/>
                <w:szCs w:val="22"/>
              </w:rPr>
            </w:pPr>
            <w:r w:rsidRPr="008013B1">
              <w:rPr>
                <w:rFonts w:cs="Arial"/>
                <w:noProof/>
                <w:sz w:val="22"/>
                <w:szCs w:val="22"/>
              </w:rPr>
              <w:t>Green</w:t>
            </w:r>
          </w:p>
        </w:tc>
        <w:tc>
          <w:tcPr>
            <w:tcW w:w="6775" w:type="dxa"/>
          </w:tcPr>
          <w:p w14:paraId="29BE14F6" w14:textId="77777777" w:rsidR="002817B0" w:rsidRPr="008013B1" w:rsidRDefault="002817B0" w:rsidP="006B430C">
            <w:pPr>
              <w:rPr>
                <w:rFonts w:cs="Arial"/>
                <w:noProof/>
                <w:sz w:val="22"/>
                <w:szCs w:val="22"/>
              </w:rPr>
            </w:pPr>
            <w:r w:rsidRPr="008013B1">
              <w:rPr>
                <w:rFonts w:cs="Arial"/>
                <w:noProof/>
                <w:sz w:val="22"/>
                <w:szCs w:val="22"/>
              </w:rPr>
              <w:t>100 days</w:t>
            </w:r>
          </w:p>
        </w:tc>
      </w:tr>
      <w:tr w:rsidR="002817B0" w:rsidRPr="00D26131" w14:paraId="7666F719" w14:textId="77777777" w:rsidTr="0037649F">
        <w:tc>
          <w:tcPr>
            <w:tcW w:w="2410" w:type="dxa"/>
          </w:tcPr>
          <w:p w14:paraId="63307EDB" w14:textId="77777777" w:rsidR="002817B0" w:rsidRPr="008013B1" w:rsidRDefault="002817B0" w:rsidP="006B430C">
            <w:pPr>
              <w:rPr>
                <w:rFonts w:cs="Arial"/>
                <w:noProof/>
                <w:sz w:val="22"/>
                <w:szCs w:val="22"/>
              </w:rPr>
            </w:pPr>
            <w:r w:rsidRPr="008013B1">
              <w:rPr>
                <w:rFonts w:cs="Arial"/>
                <w:noProof/>
                <w:sz w:val="22"/>
                <w:szCs w:val="22"/>
              </w:rPr>
              <w:t>No colour</w:t>
            </w:r>
          </w:p>
        </w:tc>
        <w:tc>
          <w:tcPr>
            <w:tcW w:w="6775" w:type="dxa"/>
          </w:tcPr>
          <w:p w14:paraId="567F8D92" w14:textId="526CE44F" w:rsidR="002817B0" w:rsidRPr="008013B1" w:rsidRDefault="002817B0" w:rsidP="006B430C">
            <w:pPr>
              <w:rPr>
                <w:rFonts w:cs="Arial"/>
                <w:noProof/>
                <w:sz w:val="22"/>
                <w:szCs w:val="22"/>
              </w:rPr>
            </w:pPr>
            <w:r w:rsidRPr="008013B1">
              <w:rPr>
                <w:rFonts w:cs="Arial"/>
                <w:noProof/>
                <w:sz w:val="22"/>
                <w:szCs w:val="22"/>
              </w:rPr>
              <w:t>not to be used (ie do</w:t>
            </w:r>
            <w:r w:rsidR="002718A4">
              <w:rPr>
                <w:rFonts w:cs="Arial"/>
                <w:noProof/>
                <w:sz w:val="22"/>
                <w:szCs w:val="22"/>
              </w:rPr>
              <w:t xml:space="preserve"> </w:t>
            </w:r>
            <w:r w:rsidRPr="008013B1">
              <w:rPr>
                <w:rFonts w:cs="Arial"/>
                <w:noProof/>
                <w:sz w:val="22"/>
                <w:szCs w:val="22"/>
              </w:rPr>
              <w:t>n’t invest)</w:t>
            </w:r>
          </w:p>
        </w:tc>
      </w:tr>
    </w:tbl>
    <w:p w14:paraId="67226AD9" w14:textId="77777777" w:rsidR="002817B0" w:rsidRPr="00D26131" w:rsidRDefault="00DF0212" w:rsidP="002817B0">
      <w:pPr>
        <w:ind w:left="720"/>
        <w:jc w:val="both"/>
        <w:rPr>
          <w:rFonts w:cs="Arial"/>
          <w:noProof/>
          <w:sz w:val="22"/>
          <w:szCs w:val="22"/>
          <w:highlight w:val="yellow"/>
        </w:rPr>
      </w:pPr>
      <w:r w:rsidRPr="00D26131">
        <w:rPr>
          <w:noProof/>
          <w:highlight w:val="yellow"/>
          <w:lang w:eastAsia="en-GB"/>
        </w:rPr>
        <w:drawing>
          <wp:anchor distT="0" distB="0" distL="114300" distR="114300" simplePos="0" relativeHeight="251657728" behindDoc="1" locked="0" layoutInCell="1" allowOverlap="1" wp14:anchorId="0B6D3108" wp14:editId="76FEAD9C">
            <wp:simplePos x="0" y="0"/>
            <wp:positionH relativeFrom="column">
              <wp:posOffset>418465</wp:posOffset>
            </wp:positionH>
            <wp:positionV relativeFrom="paragraph">
              <wp:posOffset>49530</wp:posOffset>
            </wp:positionV>
            <wp:extent cx="5456555" cy="574040"/>
            <wp:effectExtent l="0" t="0" r="0" b="0"/>
            <wp:wrapTight wrapText="bothSides">
              <wp:wrapPolygon edited="0">
                <wp:start x="0" y="0"/>
                <wp:lineTo x="0" y="20788"/>
                <wp:lineTo x="21492" y="20788"/>
                <wp:lineTo x="2149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555" cy="574040"/>
                    </a:xfrm>
                    <a:prstGeom prst="rect">
                      <a:avLst/>
                    </a:prstGeom>
                    <a:noFill/>
                  </pic:spPr>
                </pic:pic>
              </a:graphicData>
            </a:graphic>
          </wp:anchor>
        </w:drawing>
      </w:r>
    </w:p>
    <w:p w14:paraId="2E69EEE9" w14:textId="77777777" w:rsidR="002817B0" w:rsidRPr="00D26131" w:rsidRDefault="002817B0" w:rsidP="002817B0">
      <w:pPr>
        <w:rPr>
          <w:rFonts w:cs="Arial"/>
          <w:noProof/>
          <w:sz w:val="22"/>
          <w:szCs w:val="22"/>
          <w:highlight w:val="yellow"/>
        </w:rPr>
      </w:pPr>
    </w:p>
    <w:p w14:paraId="30FF1F96" w14:textId="77777777" w:rsidR="00834F0C" w:rsidRPr="00D26131" w:rsidRDefault="00834F0C" w:rsidP="002817B0">
      <w:pPr>
        <w:rPr>
          <w:rFonts w:cs="Arial"/>
          <w:noProof/>
          <w:sz w:val="22"/>
          <w:szCs w:val="22"/>
          <w:highlight w:val="yellow"/>
        </w:rPr>
      </w:pPr>
    </w:p>
    <w:p w14:paraId="466B8726" w14:textId="77777777" w:rsidR="00834F0C" w:rsidRPr="00D26131" w:rsidRDefault="00834F0C" w:rsidP="002817B0">
      <w:pPr>
        <w:rPr>
          <w:rFonts w:cs="Arial"/>
          <w:noProof/>
          <w:sz w:val="22"/>
          <w:szCs w:val="22"/>
          <w:highlight w:val="yellow"/>
        </w:rPr>
      </w:pPr>
    </w:p>
    <w:p w14:paraId="262C857D" w14:textId="77777777" w:rsidR="00834F0C" w:rsidRPr="00D26131" w:rsidRDefault="00834F0C" w:rsidP="002817B0">
      <w:pPr>
        <w:rPr>
          <w:rFonts w:cs="Arial"/>
          <w:noProof/>
          <w:sz w:val="22"/>
          <w:szCs w:val="22"/>
          <w:highlight w:val="yellow"/>
        </w:rPr>
      </w:pPr>
    </w:p>
    <w:p w14:paraId="1509C73B" w14:textId="77777777" w:rsidR="00E54F4E" w:rsidRPr="003B66D5" w:rsidRDefault="00E54F4E" w:rsidP="005B34C4">
      <w:pPr>
        <w:numPr>
          <w:ilvl w:val="2"/>
          <w:numId w:val="32"/>
        </w:numPr>
        <w:rPr>
          <w:rFonts w:cs="Arial"/>
          <w:noProof/>
          <w:sz w:val="22"/>
          <w:szCs w:val="22"/>
        </w:rPr>
      </w:pPr>
      <w:r w:rsidRPr="003B66D5">
        <w:rPr>
          <w:rFonts w:cs="Arial"/>
          <w:noProof/>
          <w:sz w:val="22"/>
          <w:szCs w:val="22"/>
        </w:rPr>
        <w:t>The Link creditworthiness service uses a wider array of information than just primary ratings. Furthermore, by using a risk weighted scoring system, it does not give undue preponderance to just one agency’s ratings.</w:t>
      </w:r>
      <w:r w:rsidRPr="003B66D5">
        <w:rPr>
          <w:rFonts w:cs="Arial"/>
          <w:i/>
          <w:noProof/>
          <w:sz w:val="22"/>
          <w:szCs w:val="22"/>
        </w:rPr>
        <w:t xml:space="preserve"> </w:t>
      </w:r>
    </w:p>
    <w:p w14:paraId="332CEC77" w14:textId="77777777" w:rsidR="007C5709" w:rsidRPr="003B66D5" w:rsidRDefault="007C5709" w:rsidP="007C5709">
      <w:pPr>
        <w:tabs>
          <w:tab w:val="left" w:pos="540"/>
        </w:tabs>
        <w:ind w:left="540"/>
        <w:rPr>
          <w:rFonts w:cs="Arial"/>
          <w:noProof/>
          <w:sz w:val="22"/>
          <w:szCs w:val="22"/>
        </w:rPr>
      </w:pPr>
    </w:p>
    <w:p w14:paraId="5D785663" w14:textId="6C84CD4C" w:rsidR="00483399" w:rsidRPr="003B66D5" w:rsidRDefault="00E54F4E" w:rsidP="005B34C4">
      <w:pPr>
        <w:numPr>
          <w:ilvl w:val="2"/>
          <w:numId w:val="30"/>
        </w:numPr>
        <w:tabs>
          <w:tab w:val="clear" w:pos="1854"/>
          <w:tab w:val="left" w:pos="540"/>
          <w:tab w:val="num" w:pos="567"/>
        </w:tabs>
        <w:ind w:left="567" w:hanging="567"/>
        <w:rPr>
          <w:rFonts w:cs="Arial"/>
          <w:noProof/>
          <w:sz w:val="22"/>
          <w:szCs w:val="22"/>
        </w:rPr>
      </w:pPr>
      <w:r w:rsidRPr="003B66D5">
        <w:rPr>
          <w:rFonts w:cs="Arial"/>
          <w:noProof/>
          <w:sz w:val="22"/>
          <w:szCs w:val="22"/>
        </w:rPr>
        <w:t>Typically the minimum credit ratings criteria the Council use will be a Short Term rating (Fitch or equivalents) of F1 and a Long Term rating of A-. There may be occasions when the counterparty ratings from one rating agency are marginally lower than these ratings but may still be used.  In these instances consideration will be given to the whole range of ratings available, or other topical market information, to support their use.</w:t>
      </w:r>
      <w:r w:rsidR="002B4C6C">
        <w:rPr>
          <w:rFonts w:cs="Arial"/>
          <w:noProof/>
          <w:sz w:val="22"/>
          <w:szCs w:val="22"/>
        </w:rPr>
        <w:t xml:space="preserve">  More detail is seen in Annex I.</w:t>
      </w:r>
    </w:p>
    <w:p w14:paraId="6C9706E7" w14:textId="77777777" w:rsidR="00F1115F" w:rsidRPr="003B66D5" w:rsidRDefault="00F1115F" w:rsidP="00E27D49">
      <w:pPr>
        <w:rPr>
          <w:rFonts w:cs="Arial"/>
          <w:noProof/>
          <w:sz w:val="22"/>
          <w:szCs w:val="22"/>
        </w:rPr>
      </w:pPr>
    </w:p>
    <w:p w14:paraId="78F0BE2E" w14:textId="77777777" w:rsidR="00483399" w:rsidRDefault="00265EA0" w:rsidP="005B34C4">
      <w:pPr>
        <w:numPr>
          <w:ilvl w:val="2"/>
          <w:numId w:val="30"/>
        </w:numPr>
        <w:tabs>
          <w:tab w:val="left" w:pos="540"/>
        </w:tabs>
        <w:ind w:left="540" w:hanging="540"/>
        <w:rPr>
          <w:rFonts w:cs="Arial"/>
          <w:noProof/>
          <w:sz w:val="22"/>
          <w:szCs w:val="22"/>
        </w:rPr>
      </w:pPr>
      <w:r w:rsidRPr="003B66D5">
        <w:rPr>
          <w:rFonts w:cs="Arial"/>
          <w:noProof/>
          <w:sz w:val="22"/>
          <w:szCs w:val="22"/>
        </w:rPr>
        <w:t xml:space="preserve">All credit ratings will be monitored on a real time basis.  The Council is alerted to changes to ratings of all three agencies through its use of </w:t>
      </w:r>
      <w:r w:rsidR="00E54F4E" w:rsidRPr="003B66D5">
        <w:rPr>
          <w:rFonts w:cs="Arial"/>
          <w:noProof/>
          <w:sz w:val="22"/>
          <w:szCs w:val="22"/>
        </w:rPr>
        <w:t xml:space="preserve">a </w:t>
      </w:r>
      <w:r w:rsidRPr="003B66D5">
        <w:rPr>
          <w:rFonts w:cs="Arial"/>
          <w:noProof/>
          <w:sz w:val="22"/>
          <w:szCs w:val="22"/>
        </w:rPr>
        <w:t>creditworthiness service</w:t>
      </w:r>
      <w:r w:rsidR="00E54F4E" w:rsidRPr="003B66D5">
        <w:rPr>
          <w:rFonts w:cs="Arial"/>
          <w:noProof/>
          <w:sz w:val="22"/>
          <w:szCs w:val="22"/>
        </w:rPr>
        <w:t xml:space="preserve"> provided by </w:t>
      </w:r>
      <w:r w:rsidR="00970ACC" w:rsidRPr="003B66D5">
        <w:rPr>
          <w:rFonts w:cs="Arial"/>
          <w:noProof/>
          <w:sz w:val="22"/>
          <w:szCs w:val="22"/>
        </w:rPr>
        <w:t xml:space="preserve">the </w:t>
      </w:r>
      <w:r w:rsidR="00E54F4E" w:rsidRPr="003B66D5">
        <w:rPr>
          <w:rFonts w:cs="Arial"/>
          <w:noProof/>
          <w:sz w:val="22"/>
          <w:szCs w:val="22"/>
        </w:rPr>
        <w:t xml:space="preserve">Link </w:t>
      </w:r>
      <w:r w:rsidR="00970ACC" w:rsidRPr="003B66D5">
        <w:rPr>
          <w:rFonts w:cs="Arial"/>
          <w:noProof/>
          <w:sz w:val="22"/>
          <w:szCs w:val="22"/>
        </w:rPr>
        <w:t>Group</w:t>
      </w:r>
      <w:r w:rsidR="00E54F4E" w:rsidRPr="003B66D5">
        <w:rPr>
          <w:rFonts w:cs="Arial"/>
          <w:noProof/>
          <w:sz w:val="22"/>
          <w:szCs w:val="22"/>
        </w:rPr>
        <w:t>.</w:t>
      </w:r>
    </w:p>
    <w:p w14:paraId="5C53FB22" w14:textId="77777777" w:rsidR="00F129BE" w:rsidRDefault="00F129BE" w:rsidP="00F129BE">
      <w:pPr>
        <w:pStyle w:val="ListParagraph"/>
        <w:rPr>
          <w:rFonts w:cs="Arial"/>
          <w:noProof/>
          <w:sz w:val="22"/>
          <w:szCs w:val="22"/>
        </w:rPr>
      </w:pPr>
    </w:p>
    <w:p w14:paraId="4CF489B6" w14:textId="77777777" w:rsidR="00F129BE" w:rsidRPr="003B66D5" w:rsidRDefault="00F129BE" w:rsidP="00F129BE">
      <w:pPr>
        <w:tabs>
          <w:tab w:val="left" w:pos="540"/>
        </w:tabs>
        <w:rPr>
          <w:rFonts w:cs="Arial"/>
          <w:noProof/>
          <w:sz w:val="22"/>
          <w:szCs w:val="22"/>
        </w:rPr>
      </w:pPr>
    </w:p>
    <w:p w14:paraId="46BCEB10" w14:textId="77777777" w:rsidR="00265EA0" w:rsidRPr="003B66D5" w:rsidRDefault="00265EA0" w:rsidP="005B34C4">
      <w:pPr>
        <w:numPr>
          <w:ilvl w:val="3"/>
          <w:numId w:val="30"/>
        </w:numPr>
        <w:tabs>
          <w:tab w:val="clear" w:pos="2421"/>
        </w:tabs>
        <w:ind w:left="1418" w:hanging="567"/>
        <w:rPr>
          <w:rFonts w:cs="Arial"/>
          <w:noProof/>
          <w:sz w:val="22"/>
          <w:szCs w:val="22"/>
        </w:rPr>
      </w:pPr>
      <w:r w:rsidRPr="003B66D5">
        <w:rPr>
          <w:rFonts w:cs="Arial"/>
          <w:noProof/>
          <w:sz w:val="22"/>
          <w:szCs w:val="22"/>
        </w:rPr>
        <w:t>if a downgrade results in the counterparty / investment scheme no longer meeting the Council’s minimum criteria, its further use as a new investment will be withdrawn immediately.</w:t>
      </w:r>
    </w:p>
    <w:p w14:paraId="5892A47F" w14:textId="77777777" w:rsidR="00265EA0" w:rsidRPr="003B66D5" w:rsidRDefault="00265EA0" w:rsidP="005B34C4">
      <w:pPr>
        <w:numPr>
          <w:ilvl w:val="3"/>
          <w:numId w:val="30"/>
        </w:numPr>
        <w:tabs>
          <w:tab w:val="clear" w:pos="2421"/>
        </w:tabs>
        <w:ind w:left="1418" w:hanging="567"/>
        <w:rPr>
          <w:rFonts w:cs="Arial"/>
          <w:noProof/>
          <w:sz w:val="22"/>
          <w:szCs w:val="22"/>
        </w:rPr>
      </w:pPr>
      <w:r w:rsidRPr="003B66D5">
        <w:rPr>
          <w:rFonts w:cs="Arial"/>
          <w:noProof/>
          <w:sz w:val="22"/>
          <w:szCs w:val="22"/>
        </w:rPr>
        <w:t xml:space="preserve">in addition to the use of credit ratings the Council will be advised of information in movements in credit default swap spreads against the iTraxx benchmark and other market data on a daily basis via its Passport website, provided exclusively to it by </w:t>
      </w:r>
      <w:r w:rsidR="00E54F4E" w:rsidRPr="003B66D5">
        <w:rPr>
          <w:rFonts w:cs="Arial"/>
          <w:noProof/>
          <w:sz w:val="22"/>
          <w:szCs w:val="22"/>
        </w:rPr>
        <w:t>Link</w:t>
      </w:r>
      <w:r w:rsidRPr="003B66D5">
        <w:rPr>
          <w:rFonts w:cs="Arial"/>
          <w:noProof/>
          <w:sz w:val="22"/>
          <w:szCs w:val="22"/>
        </w:rPr>
        <w:t xml:space="preserve">. </w:t>
      </w:r>
      <w:r w:rsidR="001B0BDE" w:rsidRPr="003B66D5">
        <w:rPr>
          <w:rFonts w:cs="Arial"/>
          <w:noProof/>
          <w:sz w:val="22"/>
          <w:szCs w:val="22"/>
        </w:rPr>
        <w:t xml:space="preserve"> </w:t>
      </w:r>
      <w:r w:rsidRPr="003B66D5">
        <w:rPr>
          <w:rFonts w:cs="Arial"/>
          <w:noProof/>
          <w:sz w:val="22"/>
          <w:szCs w:val="22"/>
        </w:rPr>
        <w:t>Extreme market movements may result in downgrade of an institution or removal from the Council’s lending list.</w:t>
      </w:r>
    </w:p>
    <w:p w14:paraId="0CBD7441" w14:textId="77777777" w:rsidR="00057F58" w:rsidRPr="003B66D5" w:rsidRDefault="00057F58" w:rsidP="00057F58">
      <w:pPr>
        <w:pStyle w:val="ListParagraph"/>
        <w:rPr>
          <w:rFonts w:cs="Arial"/>
          <w:noProof/>
          <w:sz w:val="22"/>
          <w:szCs w:val="22"/>
        </w:rPr>
      </w:pPr>
    </w:p>
    <w:p w14:paraId="2B002585" w14:textId="37BAB1E1" w:rsidR="002718A4" w:rsidRDefault="00F37DD3" w:rsidP="002718A4">
      <w:pPr>
        <w:numPr>
          <w:ilvl w:val="2"/>
          <w:numId w:val="30"/>
        </w:numPr>
        <w:tabs>
          <w:tab w:val="left" w:pos="540"/>
        </w:tabs>
        <w:ind w:left="540" w:hanging="540"/>
        <w:rPr>
          <w:rFonts w:cs="Arial"/>
          <w:noProof/>
          <w:sz w:val="22"/>
          <w:szCs w:val="22"/>
        </w:rPr>
      </w:pPr>
      <w:r w:rsidRPr="003B66D5">
        <w:rPr>
          <w:rFonts w:cs="Arial"/>
          <w:sz w:val="22"/>
          <w:szCs w:val="22"/>
        </w:rPr>
        <w:t>Sole reliance will not be placed on the use of this external service.  In addition, th</w:t>
      </w:r>
      <w:r w:rsidR="00F129BE">
        <w:rPr>
          <w:rFonts w:cs="Arial"/>
          <w:sz w:val="22"/>
          <w:szCs w:val="22"/>
        </w:rPr>
        <w:t>e</w:t>
      </w:r>
      <w:r w:rsidRPr="003B66D5">
        <w:rPr>
          <w:rFonts w:cs="Arial"/>
          <w:sz w:val="22"/>
          <w:szCs w:val="22"/>
        </w:rPr>
        <w:t xml:space="preserve"> Council will also use market data and market information, as well as information on any external support for banks to help support its decision-making process</w:t>
      </w:r>
      <w:r w:rsidR="00864164" w:rsidRPr="003B66D5">
        <w:rPr>
          <w:rFonts w:cs="Arial"/>
          <w:noProof/>
          <w:sz w:val="22"/>
          <w:szCs w:val="22"/>
        </w:rPr>
        <w:t>.</w:t>
      </w:r>
    </w:p>
    <w:p w14:paraId="03B32DF3" w14:textId="77777777" w:rsidR="002718A4" w:rsidRDefault="002718A4" w:rsidP="002718A4">
      <w:pPr>
        <w:tabs>
          <w:tab w:val="left" w:pos="540"/>
        </w:tabs>
        <w:ind w:left="540"/>
        <w:rPr>
          <w:rFonts w:cs="Arial"/>
          <w:noProof/>
          <w:sz w:val="22"/>
          <w:szCs w:val="22"/>
        </w:rPr>
      </w:pPr>
    </w:p>
    <w:p w14:paraId="5545DC50" w14:textId="0DFB2AEE" w:rsidR="001B0BDE" w:rsidRPr="002718A4" w:rsidRDefault="002718A4" w:rsidP="002718A4">
      <w:pPr>
        <w:numPr>
          <w:ilvl w:val="2"/>
          <w:numId w:val="30"/>
        </w:numPr>
        <w:tabs>
          <w:tab w:val="left" w:pos="540"/>
        </w:tabs>
        <w:ind w:left="540" w:hanging="540"/>
        <w:rPr>
          <w:rFonts w:cs="Arial"/>
          <w:noProof/>
          <w:sz w:val="22"/>
          <w:szCs w:val="22"/>
        </w:rPr>
      </w:pPr>
      <w:r w:rsidRPr="002718A4">
        <w:rPr>
          <w:rFonts w:eastAsia="Bliss 2 Regular" w:cs="Arial"/>
          <w:bCs/>
          <w:color w:val="0D0D0D" w:themeColor="text1" w:themeTint="F2"/>
          <w:spacing w:val="0"/>
          <w:sz w:val="22"/>
          <w:szCs w:val="22"/>
        </w:rPr>
        <w:t xml:space="preserve">Significant levels of downgrades to Short and Long-Term credit ratings have not materialised since the crisis in March 2020. In the main, where they did change, any alterations were limited to </w:t>
      </w:r>
      <w:r w:rsidR="00BC2FFD" w:rsidRPr="002718A4">
        <w:rPr>
          <w:rFonts w:eastAsia="Bliss 2 Regular" w:cs="Arial"/>
          <w:bCs/>
          <w:color w:val="0D0D0D" w:themeColor="text1" w:themeTint="F2"/>
          <w:spacing w:val="0"/>
          <w:sz w:val="22"/>
          <w:szCs w:val="22"/>
        </w:rPr>
        <w:t>Outlooks.</w:t>
      </w:r>
      <w:r w:rsidR="00BC2FFD">
        <w:rPr>
          <w:rFonts w:eastAsia="Bliss 2 Regular" w:cs="Arial"/>
          <w:bCs/>
          <w:color w:val="0D0D0D" w:themeColor="text1" w:themeTint="F2"/>
          <w:spacing w:val="0"/>
          <w:sz w:val="22"/>
          <w:szCs w:val="22"/>
        </w:rPr>
        <w:t xml:space="preserve">  Nonetheless,</w:t>
      </w:r>
      <w:r w:rsidRPr="002718A4">
        <w:rPr>
          <w:rFonts w:eastAsia="Bliss 2 Regular" w:cs="Arial"/>
          <w:bCs/>
          <w:color w:val="0D0D0D" w:themeColor="text1" w:themeTint="F2"/>
          <w:spacing w:val="0"/>
          <w:sz w:val="22"/>
          <w:szCs w:val="22"/>
        </w:rPr>
        <w:t xml:space="preserve"> when setting minimum sovereign debt ratings, th</w:t>
      </w:r>
      <w:r w:rsidR="00BC2FFD">
        <w:rPr>
          <w:rFonts w:eastAsia="Bliss 2 Regular" w:cs="Arial"/>
          <w:bCs/>
          <w:color w:val="0D0D0D" w:themeColor="text1" w:themeTint="F2"/>
          <w:spacing w:val="0"/>
          <w:sz w:val="22"/>
          <w:szCs w:val="22"/>
        </w:rPr>
        <w:t>e Council</w:t>
      </w:r>
      <w:r w:rsidRPr="002718A4">
        <w:rPr>
          <w:rFonts w:eastAsia="Bliss 2 Regular" w:cs="Arial"/>
          <w:bCs/>
          <w:color w:val="0D0D0D" w:themeColor="text1" w:themeTint="F2"/>
          <w:spacing w:val="0"/>
          <w:sz w:val="22"/>
          <w:szCs w:val="22"/>
        </w:rPr>
        <w:t xml:space="preserve"> will not set a minimum rating for the UK.</w:t>
      </w:r>
    </w:p>
    <w:p w14:paraId="0C69DBB0" w14:textId="77777777" w:rsidR="002718A4" w:rsidRPr="002718A4" w:rsidRDefault="002718A4" w:rsidP="001B0BDE">
      <w:pPr>
        <w:tabs>
          <w:tab w:val="left" w:pos="540"/>
        </w:tabs>
        <w:ind w:left="540"/>
        <w:rPr>
          <w:rFonts w:cs="Arial"/>
          <w:noProof/>
          <w:sz w:val="22"/>
          <w:szCs w:val="22"/>
        </w:rPr>
      </w:pPr>
    </w:p>
    <w:p w14:paraId="7421C299" w14:textId="55AA1DA8" w:rsidR="001B0BDE" w:rsidRPr="002718A4" w:rsidRDefault="002718A4" w:rsidP="005B34C4">
      <w:pPr>
        <w:numPr>
          <w:ilvl w:val="2"/>
          <w:numId w:val="30"/>
        </w:numPr>
        <w:tabs>
          <w:tab w:val="left" w:pos="540"/>
        </w:tabs>
        <w:ind w:left="539" w:hanging="539"/>
        <w:rPr>
          <w:rFonts w:cs="Arial"/>
          <w:noProof/>
          <w:sz w:val="22"/>
          <w:szCs w:val="22"/>
        </w:rPr>
      </w:pPr>
      <w:r w:rsidRPr="002718A4">
        <w:rPr>
          <w:rFonts w:eastAsia="Bliss 2 Regular" w:cs="Arial"/>
          <w:bCs/>
          <w:color w:val="0D0D0D" w:themeColor="text1" w:themeTint="F2"/>
          <w:spacing w:val="0"/>
          <w:sz w:val="22"/>
          <w:szCs w:val="22"/>
        </w:rPr>
        <w:t>Although bank CDS prices, (these are market indicators of credit risk), spiked upwards during the days of the Truss/Kwarteng government, they have returned to more average levels since then. However, sentiment can easily shift, so it will remain important to undertake continual monitoring of all aspects of risk and return in the current circumstances. Link monitor CDS prices as part of their creditworthiness service to local authorities and the Authority has access to this information via its Link-provided Passport portal</w:t>
      </w:r>
      <w:r w:rsidR="001B0BDE" w:rsidRPr="002718A4">
        <w:rPr>
          <w:rFonts w:cs="Arial"/>
          <w:noProof/>
          <w:sz w:val="22"/>
          <w:szCs w:val="22"/>
        </w:rPr>
        <w:t>.</w:t>
      </w:r>
    </w:p>
    <w:p w14:paraId="4E336A1B" w14:textId="77777777" w:rsidR="001F163C" w:rsidRPr="00D26131" w:rsidRDefault="001F163C" w:rsidP="001F163C">
      <w:pPr>
        <w:pStyle w:val="ListParagraph"/>
        <w:rPr>
          <w:rFonts w:cs="Arial"/>
          <w:noProof/>
          <w:sz w:val="22"/>
          <w:szCs w:val="22"/>
          <w:highlight w:val="yellow"/>
        </w:rPr>
      </w:pPr>
    </w:p>
    <w:p w14:paraId="257A77D6" w14:textId="77777777" w:rsidR="00483399" w:rsidRPr="003B66D5" w:rsidRDefault="00265EA0" w:rsidP="005B34C4">
      <w:pPr>
        <w:numPr>
          <w:ilvl w:val="1"/>
          <w:numId w:val="32"/>
        </w:numPr>
        <w:ind w:left="540" w:hanging="540"/>
        <w:rPr>
          <w:rFonts w:cs="Arial"/>
          <w:iCs/>
          <w:sz w:val="24"/>
          <w:szCs w:val="24"/>
        </w:rPr>
      </w:pPr>
      <w:r w:rsidRPr="003B66D5">
        <w:rPr>
          <w:rFonts w:cs="Arial"/>
          <w:b/>
          <w:iCs/>
          <w:color w:val="993366"/>
          <w:sz w:val="24"/>
          <w:szCs w:val="24"/>
        </w:rPr>
        <w:t xml:space="preserve">Country </w:t>
      </w:r>
      <w:r w:rsidR="00062BC5" w:rsidRPr="003B66D5">
        <w:rPr>
          <w:rFonts w:cs="Arial"/>
          <w:b/>
          <w:iCs/>
          <w:color w:val="993366"/>
          <w:sz w:val="24"/>
          <w:szCs w:val="24"/>
        </w:rPr>
        <w:t>and Sector Considerations</w:t>
      </w:r>
      <w:r w:rsidR="00062BC5" w:rsidRPr="003B66D5">
        <w:rPr>
          <w:rFonts w:cs="Arial"/>
          <w:b/>
          <w:noProof/>
          <w:color w:val="993366"/>
          <w:sz w:val="24"/>
          <w:szCs w:val="24"/>
        </w:rPr>
        <w:br/>
      </w:r>
    </w:p>
    <w:p w14:paraId="6654010A" w14:textId="77777777" w:rsidR="00062BC5" w:rsidRPr="003B66D5" w:rsidRDefault="00062BC5" w:rsidP="005B34C4">
      <w:pPr>
        <w:numPr>
          <w:ilvl w:val="3"/>
          <w:numId w:val="21"/>
        </w:numPr>
        <w:tabs>
          <w:tab w:val="num" w:pos="1440"/>
        </w:tabs>
        <w:rPr>
          <w:sz w:val="22"/>
          <w:szCs w:val="22"/>
        </w:rPr>
      </w:pPr>
      <w:r w:rsidRPr="003B66D5">
        <w:rPr>
          <w:sz w:val="22"/>
          <w:szCs w:val="22"/>
        </w:rPr>
        <w:t>Due care will be</w:t>
      </w:r>
      <w:r w:rsidR="009B73F7" w:rsidRPr="003B66D5">
        <w:rPr>
          <w:sz w:val="22"/>
          <w:szCs w:val="22"/>
        </w:rPr>
        <w:t xml:space="preserve"> taken to consider the country</w:t>
      </w:r>
      <w:r w:rsidRPr="003B66D5">
        <w:rPr>
          <w:sz w:val="22"/>
          <w:szCs w:val="22"/>
        </w:rPr>
        <w:t xml:space="preserve"> and sector exposure of the Council’s investments.  </w:t>
      </w:r>
      <w:r w:rsidRPr="003B66D5">
        <w:rPr>
          <w:sz w:val="22"/>
          <w:szCs w:val="22"/>
        </w:rPr>
        <w:br/>
      </w:r>
      <w:r w:rsidRPr="003B66D5">
        <w:rPr>
          <w:sz w:val="22"/>
          <w:szCs w:val="22"/>
        </w:rPr>
        <w:br/>
      </w:r>
      <w:r w:rsidRPr="003B66D5">
        <w:rPr>
          <w:b/>
          <w:color w:val="993366"/>
          <w:sz w:val="24"/>
          <w:szCs w:val="24"/>
        </w:rPr>
        <w:t>Country Limits</w:t>
      </w:r>
    </w:p>
    <w:p w14:paraId="3FB8D498" w14:textId="77777777" w:rsidR="00062BC5" w:rsidRPr="003B66D5" w:rsidRDefault="00062BC5" w:rsidP="003E7938">
      <w:pPr>
        <w:tabs>
          <w:tab w:val="num" w:pos="1440"/>
        </w:tabs>
        <w:rPr>
          <w:sz w:val="22"/>
          <w:szCs w:val="22"/>
        </w:rPr>
      </w:pPr>
    </w:p>
    <w:p w14:paraId="30C09DA4" w14:textId="16A2AE23" w:rsidR="00062BC5" w:rsidRPr="003B66D5" w:rsidRDefault="00A95226" w:rsidP="005B34C4">
      <w:pPr>
        <w:numPr>
          <w:ilvl w:val="3"/>
          <w:numId w:val="21"/>
        </w:numPr>
        <w:tabs>
          <w:tab w:val="num" w:pos="1440"/>
        </w:tabs>
        <w:rPr>
          <w:sz w:val="22"/>
          <w:szCs w:val="22"/>
        </w:rPr>
      </w:pPr>
      <w:r w:rsidRPr="003B66D5">
        <w:rPr>
          <w:rFonts w:cs="Arial"/>
          <w:color w:val="0D0D0D" w:themeColor="text1" w:themeTint="F2"/>
          <w:sz w:val="22"/>
          <w:szCs w:val="22"/>
        </w:rPr>
        <w:t xml:space="preserve">The Council has determined that it will only use approved counterparties </w:t>
      </w:r>
      <w:r w:rsidRPr="003B66D5">
        <w:rPr>
          <w:rFonts w:cs="Arial"/>
          <w:sz w:val="22"/>
          <w:szCs w:val="22"/>
        </w:rPr>
        <w:t>from the UK and from countries with a minimum sovereign credit rating of</w:t>
      </w:r>
      <w:r w:rsidRPr="003B66D5">
        <w:rPr>
          <w:rFonts w:cs="Arial"/>
          <w:b/>
          <w:sz w:val="22"/>
          <w:szCs w:val="22"/>
        </w:rPr>
        <w:t xml:space="preserve"> </w:t>
      </w:r>
      <w:r w:rsidR="00062BC5" w:rsidRPr="003B66D5">
        <w:rPr>
          <w:rFonts w:cs="Arial"/>
          <w:sz w:val="22"/>
          <w:szCs w:val="22"/>
        </w:rPr>
        <w:t>AA</w:t>
      </w:r>
      <w:r w:rsidR="001B0BDE" w:rsidRPr="003B66D5">
        <w:rPr>
          <w:rFonts w:cs="Arial"/>
          <w:sz w:val="22"/>
          <w:szCs w:val="22"/>
        </w:rPr>
        <w:t>-</w:t>
      </w:r>
      <w:r w:rsidRPr="003B66D5">
        <w:rPr>
          <w:rFonts w:cs="Arial"/>
          <w:sz w:val="22"/>
          <w:szCs w:val="22"/>
        </w:rPr>
        <w:t xml:space="preserve"> from Fitch (or equivalent)</w:t>
      </w:r>
      <w:r w:rsidR="00E54F4E" w:rsidRPr="003B66D5">
        <w:rPr>
          <w:rFonts w:cs="Arial"/>
          <w:sz w:val="22"/>
          <w:szCs w:val="22"/>
        </w:rPr>
        <w:t>.</w:t>
      </w:r>
      <w:r w:rsidRPr="003B66D5">
        <w:rPr>
          <w:rFonts w:cs="Arial"/>
          <w:sz w:val="22"/>
          <w:szCs w:val="22"/>
        </w:rPr>
        <w:t xml:space="preserve">  The list of countries that qualify using this credit criteria as at the date of thi</w:t>
      </w:r>
      <w:r w:rsidR="0070041D">
        <w:rPr>
          <w:rFonts w:cs="Arial"/>
          <w:sz w:val="22"/>
          <w:szCs w:val="22"/>
        </w:rPr>
        <w:t>s report are shown in Appendix F</w:t>
      </w:r>
      <w:r w:rsidRPr="003B66D5">
        <w:rPr>
          <w:rFonts w:cs="Arial"/>
          <w:sz w:val="22"/>
          <w:szCs w:val="22"/>
        </w:rPr>
        <w:t>.  This list will be added to, or deducted from, by officers should ratings change in accordance with this policy.</w:t>
      </w:r>
    </w:p>
    <w:p w14:paraId="686C6EEC" w14:textId="77777777" w:rsidR="00062BC5" w:rsidRPr="00D26131" w:rsidRDefault="00062BC5" w:rsidP="003E7938">
      <w:pPr>
        <w:tabs>
          <w:tab w:val="num" w:pos="1440"/>
        </w:tabs>
        <w:rPr>
          <w:sz w:val="22"/>
          <w:szCs w:val="22"/>
          <w:highlight w:val="yellow"/>
        </w:rPr>
      </w:pPr>
    </w:p>
    <w:p w14:paraId="22E8457A" w14:textId="77777777" w:rsidR="00E54F4E" w:rsidRPr="008013B1" w:rsidRDefault="001A4E16" w:rsidP="005B34C4">
      <w:pPr>
        <w:numPr>
          <w:ilvl w:val="3"/>
          <w:numId w:val="21"/>
        </w:numPr>
        <w:tabs>
          <w:tab w:val="num" w:pos="1440"/>
        </w:tabs>
        <w:rPr>
          <w:rFonts w:cs="Arial"/>
          <w:sz w:val="22"/>
          <w:szCs w:val="22"/>
        </w:rPr>
      </w:pPr>
      <w:r w:rsidRPr="008013B1">
        <w:rPr>
          <w:sz w:val="22"/>
          <w:szCs w:val="22"/>
        </w:rPr>
        <w:t>No</w:t>
      </w:r>
      <w:r w:rsidR="00062BC5" w:rsidRPr="008013B1">
        <w:rPr>
          <w:sz w:val="22"/>
          <w:szCs w:val="22"/>
        </w:rPr>
        <w:t xml:space="preserve"> more than </w:t>
      </w:r>
      <w:r w:rsidR="00062BC5" w:rsidRPr="008013B1">
        <w:rPr>
          <w:b/>
          <w:sz w:val="22"/>
          <w:szCs w:val="22"/>
        </w:rPr>
        <w:t>10%</w:t>
      </w:r>
      <w:r w:rsidR="00062BC5" w:rsidRPr="008013B1">
        <w:rPr>
          <w:sz w:val="22"/>
          <w:szCs w:val="22"/>
        </w:rPr>
        <w:t xml:space="preserve"> will be placed with any non-UK country at any time. </w:t>
      </w:r>
    </w:p>
    <w:p w14:paraId="43BE28D2" w14:textId="77777777" w:rsidR="00E54F4E" w:rsidRPr="00D26131" w:rsidRDefault="00E54F4E" w:rsidP="00E54F4E">
      <w:pPr>
        <w:pStyle w:val="ListParagraph"/>
        <w:rPr>
          <w:b/>
          <w:color w:val="993366"/>
          <w:sz w:val="24"/>
          <w:szCs w:val="24"/>
          <w:highlight w:val="yellow"/>
        </w:rPr>
      </w:pPr>
    </w:p>
    <w:p w14:paraId="7130CF69" w14:textId="77777777" w:rsidR="00062BC5" w:rsidRPr="003B66D5" w:rsidRDefault="00062BC5" w:rsidP="00E54F4E">
      <w:pPr>
        <w:tabs>
          <w:tab w:val="num" w:pos="1440"/>
        </w:tabs>
        <w:ind w:left="567"/>
        <w:rPr>
          <w:rFonts w:cs="Arial"/>
          <w:sz w:val="22"/>
          <w:szCs w:val="22"/>
        </w:rPr>
      </w:pPr>
      <w:r w:rsidRPr="003B66D5">
        <w:rPr>
          <w:b/>
          <w:color w:val="993366"/>
          <w:sz w:val="24"/>
          <w:szCs w:val="24"/>
        </w:rPr>
        <w:t>Institutional Sector Limits</w:t>
      </w:r>
    </w:p>
    <w:p w14:paraId="7891E827" w14:textId="77777777" w:rsidR="00062BC5" w:rsidRPr="003B66D5" w:rsidRDefault="00062BC5" w:rsidP="003E7938">
      <w:pPr>
        <w:tabs>
          <w:tab w:val="num" w:pos="1440"/>
        </w:tabs>
        <w:rPr>
          <w:rFonts w:cs="Arial"/>
          <w:sz w:val="22"/>
          <w:szCs w:val="22"/>
        </w:rPr>
      </w:pPr>
    </w:p>
    <w:p w14:paraId="1084077F" w14:textId="77777777" w:rsidR="00062BC5" w:rsidRPr="003B66D5" w:rsidRDefault="00062BC5" w:rsidP="005B34C4">
      <w:pPr>
        <w:numPr>
          <w:ilvl w:val="3"/>
          <w:numId w:val="21"/>
        </w:numPr>
        <w:tabs>
          <w:tab w:val="num" w:pos="1440"/>
        </w:tabs>
        <w:jc w:val="both"/>
        <w:rPr>
          <w:rFonts w:cs="Arial"/>
          <w:iCs/>
          <w:sz w:val="22"/>
          <w:szCs w:val="22"/>
        </w:rPr>
      </w:pPr>
      <w:r w:rsidRPr="003B66D5">
        <w:rPr>
          <w:rFonts w:cs="Arial"/>
          <w:sz w:val="22"/>
          <w:szCs w:val="22"/>
        </w:rPr>
        <w:t>These institutions must either be UK Local Authorities or UK Incorporated Institutions, UK Banks and Building Societies incorporated in the European Economic Area entitled to accept deposits through a branch in the UK. The Council may also use the UK Government including in the form of gilts and the Debt Management Account Deposit Facility (DMADF).</w:t>
      </w:r>
    </w:p>
    <w:p w14:paraId="34205932" w14:textId="77777777" w:rsidR="00C57271" w:rsidRPr="003B66D5" w:rsidRDefault="00C57271" w:rsidP="00C57271">
      <w:pPr>
        <w:tabs>
          <w:tab w:val="num" w:pos="1440"/>
        </w:tabs>
        <w:ind w:left="567"/>
        <w:jc w:val="both"/>
        <w:rPr>
          <w:rFonts w:cs="Arial"/>
          <w:iCs/>
          <w:sz w:val="22"/>
          <w:szCs w:val="22"/>
        </w:rPr>
      </w:pPr>
    </w:p>
    <w:p w14:paraId="580AA6A2" w14:textId="77777777" w:rsidR="00062BC5" w:rsidRPr="003B66D5" w:rsidRDefault="00062BC5" w:rsidP="005B34C4">
      <w:pPr>
        <w:numPr>
          <w:ilvl w:val="3"/>
          <w:numId w:val="21"/>
        </w:numPr>
        <w:tabs>
          <w:tab w:val="num" w:pos="1440"/>
        </w:tabs>
        <w:rPr>
          <w:sz w:val="22"/>
          <w:szCs w:val="22"/>
        </w:rPr>
      </w:pPr>
      <w:r w:rsidRPr="003B66D5">
        <w:rPr>
          <w:sz w:val="22"/>
          <w:szCs w:val="22"/>
        </w:rPr>
        <w:t>Limits will be applied to the overall amount lent out to any one sector at any one time in order to limit sector specific exposure risk, as follows:</w:t>
      </w:r>
      <w:r w:rsidRPr="003B66D5">
        <w:rPr>
          <w:sz w:val="22"/>
          <w:szCs w:val="22"/>
        </w:rPr>
        <w:br/>
      </w:r>
    </w:p>
    <w:p w14:paraId="2BA77C08" w14:textId="77777777" w:rsidR="00062BC5" w:rsidRPr="008013B1" w:rsidRDefault="00062BC5" w:rsidP="00870F3F">
      <w:pPr>
        <w:tabs>
          <w:tab w:val="right" w:pos="8460"/>
        </w:tabs>
        <w:ind w:left="1134" w:firstLine="306"/>
        <w:rPr>
          <w:sz w:val="22"/>
          <w:szCs w:val="22"/>
        </w:rPr>
      </w:pPr>
      <w:r w:rsidRPr="008013B1">
        <w:rPr>
          <w:b/>
          <w:sz w:val="22"/>
          <w:szCs w:val="22"/>
        </w:rPr>
        <w:t>UK Building Societies</w:t>
      </w:r>
      <w:r w:rsidRPr="008013B1">
        <w:rPr>
          <w:b/>
          <w:sz w:val="22"/>
          <w:szCs w:val="22"/>
        </w:rPr>
        <w:tab/>
        <w:t xml:space="preserve">£25 m </w:t>
      </w:r>
      <w:r w:rsidRPr="008013B1">
        <w:rPr>
          <w:b/>
          <w:sz w:val="22"/>
          <w:szCs w:val="22"/>
        </w:rPr>
        <w:tab/>
      </w:r>
    </w:p>
    <w:p w14:paraId="534DF6F4" w14:textId="77777777" w:rsidR="00062BC5" w:rsidRPr="008013B1" w:rsidRDefault="00062BC5" w:rsidP="00870F3F">
      <w:pPr>
        <w:tabs>
          <w:tab w:val="right" w:pos="8460"/>
        </w:tabs>
        <w:ind w:left="1134" w:firstLine="306"/>
        <w:rPr>
          <w:sz w:val="22"/>
          <w:szCs w:val="22"/>
        </w:rPr>
      </w:pPr>
      <w:r w:rsidRPr="008013B1">
        <w:rPr>
          <w:b/>
          <w:sz w:val="22"/>
          <w:szCs w:val="22"/>
        </w:rPr>
        <w:t>Banks</w:t>
      </w:r>
      <w:r w:rsidRPr="008013B1">
        <w:rPr>
          <w:b/>
          <w:sz w:val="22"/>
          <w:szCs w:val="22"/>
        </w:rPr>
        <w:tab/>
        <w:t>£35 m</w:t>
      </w:r>
      <w:r w:rsidRPr="008013B1">
        <w:rPr>
          <w:b/>
          <w:sz w:val="22"/>
          <w:szCs w:val="22"/>
        </w:rPr>
        <w:tab/>
      </w:r>
    </w:p>
    <w:p w14:paraId="7107C362" w14:textId="77777777" w:rsidR="00062BC5" w:rsidRPr="008013B1" w:rsidRDefault="00062BC5" w:rsidP="00870F3F">
      <w:pPr>
        <w:tabs>
          <w:tab w:val="right" w:pos="8460"/>
        </w:tabs>
        <w:ind w:left="1134" w:firstLine="306"/>
        <w:rPr>
          <w:sz w:val="22"/>
          <w:szCs w:val="22"/>
        </w:rPr>
      </w:pPr>
      <w:r w:rsidRPr="008013B1">
        <w:rPr>
          <w:b/>
          <w:sz w:val="22"/>
          <w:szCs w:val="22"/>
        </w:rPr>
        <w:t>UK Local Authorities</w:t>
      </w:r>
      <w:r w:rsidRPr="008013B1">
        <w:rPr>
          <w:b/>
          <w:sz w:val="22"/>
          <w:szCs w:val="22"/>
        </w:rPr>
        <w:tab/>
        <w:t>£40 m</w:t>
      </w:r>
      <w:r w:rsidRPr="008013B1">
        <w:rPr>
          <w:b/>
          <w:sz w:val="22"/>
          <w:szCs w:val="22"/>
        </w:rPr>
        <w:tab/>
      </w:r>
    </w:p>
    <w:p w14:paraId="51DF7126" w14:textId="77777777" w:rsidR="00062BC5" w:rsidRPr="008013B1" w:rsidRDefault="00062BC5" w:rsidP="00870F3F">
      <w:pPr>
        <w:tabs>
          <w:tab w:val="right" w:pos="8460"/>
        </w:tabs>
        <w:ind w:left="1134" w:firstLine="306"/>
        <w:rPr>
          <w:sz w:val="22"/>
          <w:szCs w:val="22"/>
        </w:rPr>
      </w:pPr>
      <w:r w:rsidRPr="008013B1">
        <w:rPr>
          <w:b/>
          <w:sz w:val="22"/>
          <w:szCs w:val="22"/>
        </w:rPr>
        <w:t>UK Government Debt Management Office</w:t>
      </w:r>
      <w:r w:rsidRPr="008013B1">
        <w:rPr>
          <w:b/>
          <w:sz w:val="22"/>
          <w:szCs w:val="22"/>
        </w:rPr>
        <w:tab/>
      </w:r>
      <w:r w:rsidR="00864164" w:rsidRPr="008013B1">
        <w:rPr>
          <w:b/>
          <w:sz w:val="22"/>
          <w:szCs w:val="22"/>
        </w:rPr>
        <w:t xml:space="preserve"> </w:t>
      </w:r>
      <w:r w:rsidRPr="008013B1">
        <w:rPr>
          <w:b/>
          <w:sz w:val="22"/>
          <w:szCs w:val="22"/>
        </w:rPr>
        <w:t>£unlimited</w:t>
      </w:r>
    </w:p>
    <w:p w14:paraId="0404A409" w14:textId="77777777" w:rsidR="00062BC5" w:rsidRPr="008013B1" w:rsidRDefault="00062BC5" w:rsidP="00870F3F">
      <w:pPr>
        <w:tabs>
          <w:tab w:val="right" w:pos="8460"/>
        </w:tabs>
        <w:ind w:left="1134" w:firstLine="306"/>
        <w:rPr>
          <w:sz w:val="22"/>
          <w:szCs w:val="22"/>
        </w:rPr>
      </w:pPr>
      <w:r w:rsidRPr="008013B1">
        <w:rPr>
          <w:b/>
          <w:sz w:val="22"/>
          <w:szCs w:val="22"/>
        </w:rPr>
        <w:t>UK Gilts and Treasury Bills</w:t>
      </w:r>
      <w:r w:rsidRPr="008013B1">
        <w:rPr>
          <w:b/>
          <w:sz w:val="22"/>
          <w:szCs w:val="22"/>
        </w:rPr>
        <w:tab/>
        <w:t>£20 m</w:t>
      </w:r>
      <w:r w:rsidRPr="008013B1">
        <w:rPr>
          <w:b/>
          <w:sz w:val="22"/>
          <w:szCs w:val="22"/>
        </w:rPr>
        <w:tab/>
      </w:r>
      <w:r w:rsidRPr="008013B1">
        <w:rPr>
          <w:b/>
          <w:sz w:val="22"/>
          <w:szCs w:val="22"/>
        </w:rPr>
        <w:tab/>
      </w:r>
    </w:p>
    <w:p w14:paraId="4115AFF5" w14:textId="77777777" w:rsidR="00062BC5" w:rsidRPr="008013B1" w:rsidRDefault="00062BC5" w:rsidP="00870F3F">
      <w:pPr>
        <w:tabs>
          <w:tab w:val="right" w:pos="8460"/>
        </w:tabs>
        <w:ind w:left="1134" w:firstLine="306"/>
        <w:rPr>
          <w:sz w:val="22"/>
          <w:szCs w:val="22"/>
        </w:rPr>
      </w:pPr>
      <w:r w:rsidRPr="008013B1">
        <w:rPr>
          <w:b/>
          <w:sz w:val="22"/>
          <w:szCs w:val="22"/>
        </w:rPr>
        <w:t>Institutions covered by Government Guarantee</w:t>
      </w:r>
      <w:r w:rsidRPr="008013B1">
        <w:rPr>
          <w:b/>
          <w:sz w:val="22"/>
          <w:szCs w:val="22"/>
        </w:rPr>
        <w:tab/>
        <w:t>£10 m</w:t>
      </w:r>
    </w:p>
    <w:p w14:paraId="780C16CD" w14:textId="77777777" w:rsidR="00062BC5" w:rsidRPr="008013B1" w:rsidRDefault="00062BC5" w:rsidP="00870F3F">
      <w:pPr>
        <w:tabs>
          <w:tab w:val="right" w:pos="8460"/>
        </w:tabs>
        <w:ind w:left="1134" w:firstLine="306"/>
        <w:rPr>
          <w:sz w:val="22"/>
          <w:szCs w:val="22"/>
        </w:rPr>
      </w:pPr>
      <w:r w:rsidRPr="008013B1">
        <w:rPr>
          <w:b/>
          <w:sz w:val="22"/>
          <w:szCs w:val="22"/>
        </w:rPr>
        <w:t>Part Nationalised Banks</w:t>
      </w:r>
      <w:r w:rsidRPr="008013B1">
        <w:rPr>
          <w:b/>
          <w:sz w:val="22"/>
          <w:szCs w:val="22"/>
        </w:rPr>
        <w:tab/>
        <w:t>£35 m</w:t>
      </w:r>
    </w:p>
    <w:p w14:paraId="5318FE0D" w14:textId="77777777" w:rsidR="002F481A" w:rsidRDefault="00062BC5" w:rsidP="000473B0">
      <w:pPr>
        <w:tabs>
          <w:tab w:val="right" w:pos="8460"/>
        </w:tabs>
        <w:ind w:left="567" w:firstLine="851"/>
        <w:rPr>
          <w:rFonts w:cs="Arial"/>
          <w:sz w:val="22"/>
          <w:szCs w:val="22"/>
        </w:rPr>
      </w:pPr>
      <w:r w:rsidRPr="008013B1">
        <w:rPr>
          <w:b/>
          <w:sz w:val="22"/>
          <w:szCs w:val="22"/>
        </w:rPr>
        <w:t>Money Market Funds (AAA)</w:t>
      </w:r>
      <w:r w:rsidRPr="008013B1">
        <w:rPr>
          <w:b/>
          <w:sz w:val="22"/>
          <w:szCs w:val="22"/>
        </w:rPr>
        <w:tab/>
        <w:t>£2</w:t>
      </w:r>
      <w:r w:rsidR="001314A3" w:rsidRPr="008013B1">
        <w:rPr>
          <w:b/>
          <w:sz w:val="22"/>
          <w:szCs w:val="22"/>
        </w:rPr>
        <w:t>5</w:t>
      </w:r>
      <w:r w:rsidRPr="008013B1">
        <w:rPr>
          <w:b/>
          <w:sz w:val="22"/>
          <w:szCs w:val="22"/>
        </w:rPr>
        <w:t xml:space="preserve"> m</w:t>
      </w:r>
      <w:r w:rsidRPr="008013B1">
        <w:rPr>
          <w:b/>
          <w:sz w:val="22"/>
          <w:szCs w:val="22"/>
        </w:rPr>
        <w:tab/>
      </w:r>
      <w:r w:rsidRPr="008013B1">
        <w:rPr>
          <w:b/>
          <w:sz w:val="22"/>
          <w:szCs w:val="22"/>
        </w:rPr>
        <w:br/>
      </w:r>
    </w:p>
    <w:p w14:paraId="02D3BDA6" w14:textId="663D2749" w:rsidR="008F3ABE" w:rsidRPr="008013B1" w:rsidRDefault="00062BC5" w:rsidP="002F481A">
      <w:pPr>
        <w:tabs>
          <w:tab w:val="right" w:pos="8460"/>
        </w:tabs>
        <w:ind w:left="567"/>
        <w:rPr>
          <w:rFonts w:cs="Arial"/>
          <w:sz w:val="22"/>
          <w:szCs w:val="22"/>
        </w:rPr>
      </w:pPr>
      <w:r w:rsidRPr="008013B1">
        <w:rPr>
          <w:rFonts w:cs="Arial"/>
          <w:sz w:val="22"/>
          <w:szCs w:val="22"/>
        </w:rPr>
        <w:t xml:space="preserve">These limits will be monitored regularly for appropriateness. </w:t>
      </w:r>
      <w:r w:rsidRPr="008013B1">
        <w:rPr>
          <w:rFonts w:cs="Arial"/>
          <w:sz w:val="22"/>
          <w:szCs w:val="22"/>
        </w:rPr>
        <w:br/>
      </w:r>
    </w:p>
    <w:p w14:paraId="6B5B829A" w14:textId="77777777" w:rsidR="00BC2FFD" w:rsidRDefault="00BC2FFD" w:rsidP="008F3ABE">
      <w:pPr>
        <w:tabs>
          <w:tab w:val="right" w:pos="8460"/>
        </w:tabs>
        <w:ind w:left="567"/>
        <w:rPr>
          <w:rFonts w:cs="Arial"/>
          <w:b/>
          <w:iCs/>
          <w:color w:val="993366"/>
          <w:sz w:val="24"/>
          <w:szCs w:val="24"/>
        </w:rPr>
      </w:pPr>
    </w:p>
    <w:p w14:paraId="0E488DE4" w14:textId="77777777" w:rsidR="00AB49BC" w:rsidRPr="003B66D5" w:rsidRDefault="00AB49BC" w:rsidP="00AB49BC">
      <w:pPr>
        <w:numPr>
          <w:ilvl w:val="1"/>
          <w:numId w:val="16"/>
        </w:numPr>
        <w:tabs>
          <w:tab w:val="num" w:pos="540"/>
          <w:tab w:val="num" w:pos="2160"/>
        </w:tabs>
        <w:ind w:left="540" w:hanging="540"/>
        <w:rPr>
          <w:rFonts w:cs="Arial"/>
          <w:b/>
          <w:color w:val="993366"/>
          <w:sz w:val="24"/>
          <w:szCs w:val="24"/>
        </w:rPr>
      </w:pPr>
      <w:r w:rsidRPr="003B66D5">
        <w:rPr>
          <w:rFonts w:cs="Arial"/>
          <w:b/>
          <w:color w:val="993366"/>
          <w:sz w:val="24"/>
          <w:szCs w:val="24"/>
        </w:rPr>
        <w:t>Individual Institution Monetary Limits</w:t>
      </w:r>
      <w:r w:rsidRPr="003B66D5">
        <w:rPr>
          <w:rFonts w:cs="Arial"/>
          <w:b/>
          <w:color w:val="993366"/>
          <w:sz w:val="24"/>
          <w:szCs w:val="24"/>
        </w:rPr>
        <w:br/>
      </w:r>
    </w:p>
    <w:p w14:paraId="10781A01" w14:textId="77777777" w:rsidR="00AB49BC" w:rsidRPr="003B66D5" w:rsidRDefault="00AB49BC" w:rsidP="00AB49BC">
      <w:pPr>
        <w:numPr>
          <w:ilvl w:val="3"/>
          <w:numId w:val="22"/>
        </w:numPr>
        <w:rPr>
          <w:rFonts w:cs="Arial"/>
          <w:sz w:val="22"/>
          <w:szCs w:val="22"/>
        </w:rPr>
      </w:pPr>
      <w:r w:rsidRPr="003B66D5">
        <w:rPr>
          <w:rFonts w:cs="Arial"/>
          <w:sz w:val="22"/>
          <w:szCs w:val="22"/>
        </w:rPr>
        <w:t>The monetary limits for institutions on the Council’s Counterparty List are as follows:</w:t>
      </w:r>
    </w:p>
    <w:p w14:paraId="6A8A585A" w14:textId="77777777" w:rsidR="00AB49BC" w:rsidRPr="003B66D5" w:rsidRDefault="00AB49BC" w:rsidP="00AB49BC">
      <w:pPr>
        <w:rPr>
          <w:rFonts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622"/>
      </w:tblGrid>
      <w:tr w:rsidR="00AB49BC" w:rsidRPr="00D26131" w14:paraId="331E00AA" w14:textId="77777777" w:rsidTr="006F57FC">
        <w:tc>
          <w:tcPr>
            <w:tcW w:w="4678" w:type="dxa"/>
            <w:shd w:val="clear" w:color="auto" w:fill="993366"/>
          </w:tcPr>
          <w:p w14:paraId="586C532E" w14:textId="77777777" w:rsidR="00AB49BC" w:rsidRPr="008013B1" w:rsidRDefault="00AB49BC" w:rsidP="006F57FC">
            <w:pPr>
              <w:spacing w:before="120" w:after="120"/>
              <w:rPr>
                <w:rFonts w:cs="Arial"/>
                <w:b/>
                <w:color w:val="FFFFFF"/>
                <w:sz w:val="22"/>
                <w:szCs w:val="22"/>
              </w:rPr>
            </w:pPr>
          </w:p>
        </w:tc>
        <w:tc>
          <w:tcPr>
            <w:tcW w:w="1622" w:type="dxa"/>
            <w:shd w:val="clear" w:color="auto" w:fill="993366"/>
          </w:tcPr>
          <w:p w14:paraId="4EBFE76C" w14:textId="77777777" w:rsidR="00AB49BC" w:rsidRPr="008013B1" w:rsidRDefault="00AB49BC" w:rsidP="006F57FC">
            <w:pPr>
              <w:spacing w:before="120" w:after="120"/>
              <w:rPr>
                <w:rFonts w:cs="Arial"/>
                <w:b/>
                <w:color w:val="FFFFFF"/>
                <w:sz w:val="22"/>
                <w:szCs w:val="22"/>
              </w:rPr>
            </w:pPr>
            <w:r w:rsidRPr="008013B1">
              <w:rPr>
                <w:rFonts w:cs="Arial"/>
                <w:b/>
                <w:color w:val="FFFFFF"/>
                <w:sz w:val="22"/>
                <w:szCs w:val="22"/>
              </w:rPr>
              <w:t>Money Limit</w:t>
            </w:r>
          </w:p>
        </w:tc>
      </w:tr>
      <w:tr w:rsidR="00AB49BC" w:rsidRPr="00D26131" w14:paraId="762F7A08" w14:textId="77777777" w:rsidTr="006F57FC">
        <w:tc>
          <w:tcPr>
            <w:tcW w:w="4678" w:type="dxa"/>
          </w:tcPr>
          <w:p w14:paraId="210C38DA" w14:textId="77777777" w:rsidR="00AB49BC" w:rsidRPr="008013B1" w:rsidRDefault="00AB49BC" w:rsidP="006F57FC">
            <w:pPr>
              <w:spacing w:before="120" w:after="120"/>
              <w:rPr>
                <w:rFonts w:cs="Arial"/>
                <w:sz w:val="22"/>
                <w:szCs w:val="22"/>
              </w:rPr>
            </w:pPr>
            <w:r w:rsidRPr="008013B1">
              <w:rPr>
                <w:rFonts w:cs="Arial"/>
                <w:sz w:val="22"/>
                <w:szCs w:val="22"/>
              </w:rPr>
              <w:t>UK Building Societies</w:t>
            </w:r>
          </w:p>
        </w:tc>
        <w:tc>
          <w:tcPr>
            <w:tcW w:w="1622" w:type="dxa"/>
          </w:tcPr>
          <w:p w14:paraId="6CEDB46C"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£5m</w:t>
            </w:r>
          </w:p>
        </w:tc>
      </w:tr>
      <w:tr w:rsidR="00AB49BC" w:rsidRPr="00D26131" w14:paraId="378F47EC" w14:textId="77777777" w:rsidTr="006F57FC">
        <w:tc>
          <w:tcPr>
            <w:tcW w:w="4678" w:type="dxa"/>
          </w:tcPr>
          <w:p w14:paraId="16698D34" w14:textId="77777777" w:rsidR="00AB49BC" w:rsidRPr="008013B1" w:rsidRDefault="00AB49BC" w:rsidP="006F57FC">
            <w:pPr>
              <w:spacing w:before="120" w:after="120"/>
              <w:rPr>
                <w:rFonts w:cs="Arial"/>
                <w:sz w:val="22"/>
                <w:szCs w:val="22"/>
              </w:rPr>
            </w:pPr>
            <w:r w:rsidRPr="008013B1">
              <w:rPr>
                <w:rFonts w:cs="Arial"/>
                <w:sz w:val="22"/>
                <w:szCs w:val="22"/>
              </w:rPr>
              <w:t>Banks</w:t>
            </w:r>
          </w:p>
        </w:tc>
        <w:tc>
          <w:tcPr>
            <w:tcW w:w="1622" w:type="dxa"/>
          </w:tcPr>
          <w:p w14:paraId="6A5AC6F3"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£5m</w:t>
            </w:r>
          </w:p>
        </w:tc>
      </w:tr>
      <w:tr w:rsidR="00AB49BC" w:rsidRPr="00D26131" w14:paraId="4199D131" w14:textId="77777777" w:rsidTr="006F57FC">
        <w:tc>
          <w:tcPr>
            <w:tcW w:w="4678" w:type="dxa"/>
          </w:tcPr>
          <w:p w14:paraId="0EC6F4F1" w14:textId="77777777" w:rsidR="00AB49BC" w:rsidRPr="008013B1" w:rsidRDefault="00AB49BC" w:rsidP="006F57FC">
            <w:pPr>
              <w:spacing w:before="120" w:after="120"/>
              <w:rPr>
                <w:rFonts w:cs="Arial"/>
                <w:sz w:val="22"/>
                <w:szCs w:val="22"/>
              </w:rPr>
            </w:pPr>
            <w:r w:rsidRPr="008013B1">
              <w:rPr>
                <w:rFonts w:cs="Arial"/>
                <w:sz w:val="22"/>
                <w:szCs w:val="22"/>
              </w:rPr>
              <w:t>UK Local Authorities (i)</w:t>
            </w:r>
          </w:p>
        </w:tc>
        <w:tc>
          <w:tcPr>
            <w:tcW w:w="1622" w:type="dxa"/>
          </w:tcPr>
          <w:p w14:paraId="01AF6A9E"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£40m</w:t>
            </w:r>
          </w:p>
        </w:tc>
      </w:tr>
      <w:tr w:rsidR="00AB49BC" w:rsidRPr="00D26131" w14:paraId="4F26326B" w14:textId="77777777" w:rsidTr="006F57FC">
        <w:tc>
          <w:tcPr>
            <w:tcW w:w="4678" w:type="dxa"/>
          </w:tcPr>
          <w:p w14:paraId="44FB1B92" w14:textId="77777777" w:rsidR="00AB49BC" w:rsidRPr="008013B1" w:rsidRDefault="00AB49BC" w:rsidP="006F57FC">
            <w:pPr>
              <w:spacing w:before="120" w:after="120"/>
              <w:rPr>
                <w:rFonts w:cs="Arial"/>
                <w:sz w:val="22"/>
                <w:szCs w:val="22"/>
              </w:rPr>
            </w:pPr>
            <w:r w:rsidRPr="008013B1">
              <w:rPr>
                <w:rFonts w:cs="Arial"/>
                <w:sz w:val="22"/>
                <w:szCs w:val="22"/>
              </w:rPr>
              <w:t>UK Government Debt Management Office</w:t>
            </w:r>
          </w:p>
        </w:tc>
        <w:tc>
          <w:tcPr>
            <w:tcW w:w="1622" w:type="dxa"/>
          </w:tcPr>
          <w:p w14:paraId="705D878D"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Unlimited</w:t>
            </w:r>
          </w:p>
        </w:tc>
      </w:tr>
      <w:tr w:rsidR="00AB49BC" w:rsidRPr="00D26131" w14:paraId="6497BBD7" w14:textId="77777777" w:rsidTr="006F57FC">
        <w:tc>
          <w:tcPr>
            <w:tcW w:w="4678" w:type="dxa"/>
          </w:tcPr>
          <w:p w14:paraId="07691901" w14:textId="77777777" w:rsidR="00AB49BC" w:rsidRPr="008013B1" w:rsidRDefault="00AB49BC" w:rsidP="006F57FC">
            <w:pPr>
              <w:spacing w:before="120" w:after="120"/>
              <w:rPr>
                <w:rFonts w:cs="Arial"/>
                <w:sz w:val="22"/>
                <w:szCs w:val="22"/>
              </w:rPr>
            </w:pPr>
            <w:r w:rsidRPr="008013B1">
              <w:rPr>
                <w:rFonts w:cs="Arial"/>
                <w:sz w:val="22"/>
                <w:szCs w:val="22"/>
              </w:rPr>
              <w:t>UK Gilts &amp; Treasury Bills</w:t>
            </w:r>
          </w:p>
        </w:tc>
        <w:tc>
          <w:tcPr>
            <w:tcW w:w="1622" w:type="dxa"/>
          </w:tcPr>
          <w:p w14:paraId="65F0DE94"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£20m</w:t>
            </w:r>
          </w:p>
        </w:tc>
      </w:tr>
      <w:tr w:rsidR="00AB49BC" w:rsidRPr="00D26131" w14:paraId="1A293E28" w14:textId="77777777" w:rsidTr="006F57FC">
        <w:tc>
          <w:tcPr>
            <w:tcW w:w="4678" w:type="dxa"/>
          </w:tcPr>
          <w:p w14:paraId="2C0E0C69" w14:textId="77777777" w:rsidR="00AB49BC" w:rsidRPr="008013B1" w:rsidRDefault="00AB49BC" w:rsidP="006F57FC">
            <w:pPr>
              <w:spacing w:before="120" w:after="120"/>
              <w:rPr>
                <w:rFonts w:cs="Arial"/>
                <w:sz w:val="22"/>
                <w:szCs w:val="22"/>
              </w:rPr>
            </w:pPr>
            <w:r w:rsidRPr="008013B1">
              <w:rPr>
                <w:rFonts w:cs="Arial"/>
                <w:sz w:val="22"/>
                <w:szCs w:val="22"/>
              </w:rPr>
              <w:t>Government Guaranteed Institutions</w:t>
            </w:r>
          </w:p>
        </w:tc>
        <w:tc>
          <w:tcPr>
            <w:tcW w:w="1622" w:type="dxa"/>
          </w:tcPr>
          <w:p w14:paraId="31FEE1CD"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£2m</w:t>
            </w:r>
          </w:p>
        </w:tc>
      </w:tr>
      <w:tr w:rsidR="00AB49BC" w:rsidRPr="00D26131" w14:paraId="4A9E89BB" w14:textId="77777777" w:rsidTr="006F57FC">
        <w:tc>
          <w:tcPr>
            <w:tcW w:w="4678" w:type="dxa"/>
          </w:tcPr>
          <w:p w14:paraId="3B423F5A" w14:textId="77777777" w:rsidR="00AB49BC" w:rsidRPr="008013B1" w:rsidRDefault="00AB49BC" w:rsidP="006F57FC">
            <w:pPr>
              <w:spacing w:before="120" w:after="120"/>
              <w:rPr>
                <w:rFonts w:cs="Arial"/>
                <w:sz w:val="22"/>
                <w:szCs w:val="22"/>
              </w:rPr>
            </w:pPr>
            <w:r w:rsidRPr="008013B1">
              <w:rPr>
                <w:rFonts w:cs="Arial"/>
                <w:sz w:val="22"/>
                <w:szCs w:val="22"/>
              </w:rPr>
              <w:t>AAA rated Money Market Funds</w:t>
            </w:r>
          </w:p>
        </w:tc>
        <w:tc>
          <w:tcPr>
            <w:tcW w:w="1622" w:type="dxa"/>
          </w:tcPr>
          <w:p w14:paraId="778529B9"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£5m</w:t>
            </w:r>
          </w:p>
        </w:tc>
      </w:tr>
      <w:tr w:rsidR="00AB49BC" w:rsidRPr="00D26131" w14:paraId="13934D95" w14:textId="77777777" w:rsidTr="006F57FC">
        <w:tc>
          <w:tcPr>
            <w:tcW w:w="4678" w:type="dxa"/>
          </w:tcPr>
          <w:p w14:paraId="3F169796" w14:textId="77777777" w:rsidR="00AB49BC" w:rsidRPr="008013B1" w:rsidRDefault="00AB49BC" w:rsidP="006F57FC">
            <w:pPr>
              <w:spacing w:before="120" w:after="120"/>
              <w:rPr>
                <w:rFonts w:cs="Arial"/>
                <w:sz w:val="22"/>
                <w:szCs w:val="22"/>
              </w:rPr>
            </w:pPr>
            <w:r w:rsidRPr="008013B1">
              <w:rPr>
                <w:rFonts w:cs="Arial"/>
                <w:sz w:val="22"/>
                <w:szCs w:val="22"/>
              </w:rPr>
              <w:t>Council’s Own Banker (ii)</w:t>
            </w:r>
          </w:p>
        </w:tc>
        <w:tc>
          <w:tcPr>
            <w:tcW w:w="1622" w:type="dxa"/>
          </w:tcPr>
          <w:p w14:paraId="60C2285C" w14:textId="77777777" w:rsidR="00AB49BC" w:rsidRPr="008013B1" w:rsidRDefault="00AB49BC" w:rsidP="006F57FC">
            <w:pPr>
              <w:spacing w:before="120" w:after="120"/>
              <w:ind w:right="249"/>
              <w:jc w:val="right"/>
              <w:rPr>
                <w:rFonts w:cs="Arial"/>
                <w:sz w:val="22"/>
                <w:szCs w:val="22"/>
              </w:rPr>
            </w:pPr>
            <w:r w:rsidRPr="008013B1">
              <w:rPr>
                <w:rFonts w:cs="Arial"/>
                <w:sz w:val="22"/>
                <w:szCs w:val="22"/>
              </w:rPr>
              <w:t>£5m</w:t>
            </w:r>
          </w:p>
        </w:tc>
      </w:tr>
    </w:tbl>
    <w:p w14:paraId="1513FFC9" w14:textId="77777777" w:rsidR="00AB49BC" w:rsidRPr="00D26131" w:rsidRDefault="00AB49BC" w:rsidP="00AB49BC">
      <w:pPr>
        <w:tabs>
          <w:tab w:val="left" w:pos="1440"/>
        </w:tabs>
        <w:ind w:left="1440" w:hanging="693"/>
        <w:rPr>
          <w:rFonts w:cs="Arial"/>
          <w:sz w:val="22"/>
          <w:szCs w:val="22"/>
          <w:highlight w:val="yellow"/>
        </w:rPr>
      </w:pPr>
    </w:p>
    <w:p w14:paraId="3B486D67" w14:textId="77777777" w:rsidR="00AB49BC" w:rsidRPr="00D26131" w:rsidRDefault="00AB49BC" w:rsidP="00AB49BC">
      <w:pPr>
        <w:tabs>
          <w:tab w:val="left" w:pos="1260"/>
        </w:tabs>
        <w:ind w:left="1260" w:hanging="540"/>
        <w:rPr>
          <w:rFonts w:cs="Arial"/>
          <w:sz w:val="16"/>
          <w:szCs w:val="16"/>
          <w:highlight w:val="yellow"/>
        </w:rPr>
      </w:pPr>
      <w:r w:rsidRPr="008013B1">
        <w:rPr>
          <w:rFonts w:cs="Arial"/>
          <w:sz w:val="22"/>
          <w:szCs w:val="22"/>
        </w:rPr>
        <w:t>(i)</w:t>
      </w:r>
      <w:r w:rsidRPr="008013B1">
        <w:rPr>
          <w:rFonts w:cs="Arial"/>
          <w:sz w:val="22"/>
          <w:szCs w:val="22"/>
        </w:rPr>
        <w:tab/>
      </w:r>
      <w:r w:rsidRPr="008013B1">
        <w:rPr>
          <w:rStyle w:val="BodyTextChar"/>
          <w:sz w:val="22"/>
        </w:rPr>
        <w:t>No individual limit will be applied on lending to a UK local authority, other than it must not exceed the relevant sector limit of £40m.</w:t>
      </w:r>
      <w:r w:rsidRPr="008013B1">
        <w:rPr>
          <w:rStyle w:val="BodyTextChar"/>
          <w:sz w:val="22"/>
        </w:rPr>
        <w:br/>
      </w:r>
    </w:p>
    <w:p w14:paraId="6499E8C6" w14:textId="77777777" w:rsidR="00AB49BC" w:rsidRPr="003B66D5" w:rsidRDefault="00AB49BC" w:rsidP="00AB49BC">
      <w:pPr>
        <w:numPr>
          <w:ilvl w:val="0"/>
          <w:numId w:val="7"/>
        </w:numPr>
        <w:tabs>
          <w:tab w:val="clear" w:pos="2160"/>
          <w:tab w:val="left" w:pos="1260"/>
          <w:tab w:val="num" w:pos="1800"/>
        </w:tabs>
        <w:ind w:left="1260" w:hanging="540"/>
        <w:rPr>
          <w:rFonts w:cs="Arial"/>
          <w:sz w:val="16"/>
          <w:szCs w:val="16"/>
        </w:rPr>
      </w:pPr>
      <w:r w:rsidRPr="003B66D5">
        <w:rPr>
          <w:rStyle w:val="BodyTextChar"/>
          <w:sz w:val="22"/>
        </w:rPr>
        <w:t>Further to Sections 5.4 and 5.5, if the rating of the Council’s own banker falls below the criteria, the time limit on money deposited with the bank will be reduced to an overnight basis.</w:t>
      </w:r>
      <w:r w:rsidRPr="003B66D5">
        <w:rPr>
          <w:rFonts w:cs="Arial"/>
          <w:sz w:val="22"/>
          <w:szCs w:val="22"/>
        </w:rPr>
        <w:br/>
        <w:t xml:space="preserve"> </w:t>
      </w:r>
    </w:p>
    <w:p w14:paraId="7F83E465" w14:textId="77777777" w:rsidR="00AB49BC" w:rsidRDefault="00AB49BC" w:rsidP="00AB49BC">
      <w:pPr>
        <w:pStyle w:val="BodyText"/>
        <w:numPr>
          <w:ilvl w:val="3"/>
          <w:numId w:val="22"/>
        </w:numPr>
        <w:rPr>
          <w:rFonts w:ascii="Arial" w:hAnsi="Arial" w:cs="Arial"/>
          <w:spacing w:val="-5"/>
          <w:sz w:val="22"/>
          <w:szCs w:val="22"/>
        </w:rPr>
      </w:pPr>
      <w:r w:rsidRPr="003B66D5">
        <w:rPr>
          <w:rFonts w:ascii="Arial" w:hAnsi="Arial" w:cs="Arial"/>
          <w:spacing w:val="-5"/>
          <w:sz w:val="22"/>
          <w:szCs w:val="22"/>
        </w:rPr>
        <w:t>As mentioned earlier, the treasury function manages the funds of the Council, any subsidiary organisations, the Pension Fund and the Common Good and Trust Funds. When applying the limits set out in the table above, these limits will apply to the cumulative investment with an institution from the Council, the Pension Fund and the Common Good Funds and Trust Funds.</w:t>
      </w:r>
    </w:p>
    <w:p w14:paraId="39477888" w14:textId="77777777" w:rsidR="00AB49BC" w:rsidRPr="003B66D5" w:rsidRDefault="00AB49BC" w:rsidP="00AB49BC">
      <w:pPr>
        <w:pStyle w:val="BodyText"/>
        <w:rPr>
          <w:rFonts w:ascii="Arial" w:hAnsi="Arial" w:cs="Arial"/>
          <w:spacing w:val="-5"/>
          <w:sz w:val="22"/>
          <w:szCs w:val="22"/>
        </w:rPr>
      </w:pPr>
    </w:p>
    <w:p w14:paraId="1A73DA1B" w14:textId="77777777" w:rsidR="00BC2FFD" w:rsidRDefault="00062BC5" w:rsidP="00BC2FFD">
      <w:pPr>
        <w:tabs>
          <w:tab w:val="right" w:pos="8460"/>
        </w:tabs>
        <w:ind w:left="567"/>
        <w:rPr>
          <w:rFonts w:cs="Arial"/>
          <w:b/>
          <w:iCs/>
          <w:color w:val="993366"/>
          <w:sz w:val="24"/>
          <w:szCs w:val="24"/>
        </w:rPr>
      </w:pPr>
      <w:r w:rsidRPr="003B66D5">
        <w:rPr>
          <w:rFonts w:cs="Arial"/>
          <w:b/>
          <w:iCs/>
          <w:color w:val="993366"/>
          <w:sz w:val="24"/>
          <w:szCs w:val="24"/>
        </w:rPr>
        <w:t>Group Limits</w:t>
      </w:r>
    </w:p>
    <w:p w14:paraId="61E4D2DE" w14:textId="77777777" w:rsidR="00BC2FFD" w:rsidRDefault="00BC2FFD" w:rsidP="00BC2FFD">
      <w:pPr>
        <w:tabs>
          <w:tab w:val="right" w:pos="8460"/>
        </w:tabs>
        <w:ind w:left="567"/>
        <w:rPr>
          <w:rFonts w:cs="Arial"/>
          <w:b/>
          <w:iCs/>
          <w:color w:val="993366"/>
          <w:sz w:val="24"/>
          <w:szCs w:val="24"/>
        </w:rPr>
      </w:pPr>
    </w:p>
    <w:p w14:paraId="17942B8B" w14:textId="43549437" w:rsidR="009B73F7" w:rsidRPr="00FC32FB" w:rsidRDefault="00062BC5" w:rsidP="00FC32FB">
      <w:pPr>
        <w:pStyle w:val="ListParagraph"/>
        <w:numPr>
          <w:ilvl w:val="3"/>
          <w:numId w:val="22"/>
        </w:numPr>
        <w:tabs>
          <w:tab w:val="right" w:pos="8460"/>
        </w:tabs>
        <w:rPr>
          <w:rFonts w:cs="Arial"/>
          <w:sz w:val="22"/>
          <w:szCs w:val="22"/>
        </w:rPr>
      </w:pPr>
      <w:r w:rsidRPr="00FC32FB">
        <w:rPr>
          <w:sz w:val="22"/>
          <w:szCs w:val="22"/>
        </w:rPr>
        <w:t xml:space="preserve">Limits will be applied to the overall amount lent out to institutions within the same group at any one time in order to limit group specific exposure risk, as follows, and subject to the parent company appearing on </w:t>
      </w:r>
      <w:r w:rsidR="00530132" w:rsidRPr="00FC32FB">
        <w:rPr>
          <w:sz w:val="22"/>
          <w:szCs w:val="22"/>
        </w:rPr>
        <w:t>Link</w:t>
      </w:r>
      <w:r w:rsidRPr="00FC32FB">
        <w:rPr>
          <w:sz w:val="22"/>
          <w:szCs w:val="22"/>
        </w:rPr>
        <w:t xml:space="preserve"> </w:t>
      </w:r>
      <w:r w:rsidR="00EF2AE8" w:rsidRPr="00FC32FB">
        <w:rPr>
          <w:sz w:val="22"/>
          <w:szCs w:val="22"/>
        </w:rPr>
        <w:t>Groups</w:t>
      </w:r>
      <w:r w:rsidRPr="00FC32FB">
        <w:rPr>
          <w:sz w:val="22"/>
          <w:szCs w:val="22"/>
        </w:rPr>
        <w:t>’ creditworthiness list:</w:t>
      </w:r>
      <w:r w:rsidRPr="00FC32FB">
        <w:rPr>
          <w:sz w:val="22"/>
          <w:szCs w:val="22"/>
        </w:rPr>
        <w:tab/>
      </w:r>
      <w:r w:rsidRPr="00FC32FB">
        <w:rPr>
          <w:sz w:val="22"/>
          <w:szCs w:val="22"/>
        </w:rPr>
        <w:br/>
      </w:r>
      <w:r w:rsidRPr="00FC32FB">
        <w:rPr>
          <w:sz w:val="22"/>
          <w:szCs w:val="22"/>
        </w:rPr>
        <w:br/>
      </w:r>
      <w:r w:rsidRPr="00FC32FB">
        <w:rPr>
          <w:b/>
          <w:sz w:val="22"/>
          <w:szCs w:val="22"/>
        </w:rPr>
        <w:t>Group of Banks</w:t>
      </w:r>
      <w:r w:rsidRPr="00FC32FB">
        <w:rPr>
          <w:b/>
          <w:sz w:val="22"/>
          <w:szCs w:val="22"/>
        </w:rPr>
        <w:tab/>
        <w:t>£10m</w:t>
      </w:r>
      <w:r w:rsidRPr="00FC32FB">
        <w:rPr>
          <w:sz w:val="22"/>
          <w:szCs w:val="22"/>
        </w:rPr>
        <w:tab/>
      </w:r>
    </w:p>
    <w:p w14:paraId="2A572ED7" w14:textId="77777777" w:rsidR="002D1ED4" w:rsidRPr="00D26131" w:rsidRDefault="002D1ED4" w:rsidP="00773407">
      <w:pPr>
        <w:tabs>
          <w:tab w:val="right" w:pos="8460"/>
        </w:tabs>
        <w:ind w:left="567"/>
        <w:rPr>
          <w:b/>
          <w:iCs/>
          <w:color w:val="993366"/>
          <w:sz w:val="24"/>
          <w:szCs w:val="24"/>
          <w:highlight w:val="yellow"/>
        </w:rPr>
      </w:pPr>
    </w:p>
    <w:p w14:paraId="6DACC28C" w14:textId="77777777" w:rsidR="00062BC5" w:rsidRPr="003B66D5" w:rsidRDefault="00062BC5" w:rsidP="00773407">
      <w:pPr>
        <w:tabs>
          <w:tab w:val="right" w:pos="8460"/>
        </w:tabs>
        <w:ind w:left="567"/>
        <w:rPr>
          <w:rFonts w:cs="Arial"/>
          <w:iCs/>
          <w:sz w:val="22"/>
          <w:szCs w:val="22"/>
        </w:rPr>
      </w:pPr>
      <w:r w:rsidRPr="003B66D5">
        <w:rPr>
          <w:b/>
          <w:iCs/>
          <w:color w:val="993366"/>
          <w:sz w:val="24"/>
          <w:szCs w:val="24"/>
        </w:rPr>
        <w:t>Council’s Own Banker</w:t>
      </w:r>
      <w:r w:rsidRPr="003B66D5">
        <w:rPr>
          <w:b/>
          <w:iCs/>
          <w:color w:val="993366"/>
          <w:sz w:val="24"/>
          <w:szCs w:val="24"/>
        </w:rPr>
        <w:br/>
      </w:r>
    </w:p>
    <w:p w14:paraId="17B069E6" w14:textId="42BB7273" w:rsidR="00062BC5" w:rsidRPr="00FC32FB" w:rsidRDefault="00062BC5" w:rsidP="00FC32FB">
      <w:pPr>
        <w:pStyle w:val="ListParagraph"/>
        <w:numPr>
          <w:ilvl w:val="3"/>
          <w:numId w:val="22"/>
        </w:numPr>
        <w:tabs>
          <w:tab w:val="right" w:pos="8460"/>
        </w:tabs>
        <w:rPr>
          <w:rFonts w:cs="Arial"/>
          <w:sz w:val="22"/>
          <w:szCs w:val="22"/>
        </w:rPr>
      </w:pPr>
      <w:r w:rsidRPr="00FC32FB">
        <w:rPr>
          <w:sz w:val="22"/>
          <w:szCs w:val="22"/>
        </w:rPr>
        <w:t>The Council’s own banker (</w:t>
      </w:r>
      <w:r w:rsidR="001314A3" w:rsidRPr="00FC32FB">
        <w:rPr>
          <w:sz w:val="22"/>
          <w:szCs w:val="22"/>
        </w:rPr>
        <w:t xml:space="preserve">currently </w:t>
      </w:r>
      <w:r w:rsidR="00EF2AE8" w:rsidRPr="00FC32FB">
        <w:rPr>
          <w:sz w:val="22"/>
          <w:szCs w:val="22"/>
        </w:rPr>
        <w:t xml:space="preserve">Royal </w:t>
      </w:r>
      <w:r w:rsidR="001314A3" w:rsidRPr="00FC32FB">
        <w:rPr>
          <w:sz w:val="22"/>
          <w:szCs w:val="22"/>
        </w:rPr>
        <w:t>Bank of Scotland</w:t>
      </w:r>
      <w:r w:rsidR="00EF2AE8" w:rsidRPr="00FC32FB">
        <w:rPr>
          <w:sz w:val="22"/>
          <w:szCs w:val="22"/>
        </w:rPr>
        <w:t xml:space="preserve">) </w:t>
      </w:r>
      <w:r w:rsidRPr="00FC32FB">
        <w:rPr>
          <w:sz w:val="22"/>
          <w:szCs w:val="22"/>
        </w:rPr>
        <w:t xml:space="preserve">will be maintained on the Council’s counterparty list in situations where rating changes may mean this is below the above criteria. This is to allow the Council to continue to operate normal current account banking facilities and overnight and short-term investment facilities.  However, </w:t>
      </w:r>
      <w:r w:rsidR="00184DB7" w:rsidRPr="00FC32FB">
        <w:rPr>
          <w:sz w:val="22"/>
          <w:szCs w:val="22"/>
        </w:rPr>
        <w:t>if</w:t>
      </w:r>
      <w:r w:rsidRPr="00FC32FB">
        <w:rPr>
          <w:sz w:val="22"/>
          <w:szCs w:val="22"/>
        </w:rPr>
        <w:t xml:space="preserve"> the rating does change below the criteria, officers will review the situation carefully and identify any appropriate action required to manage the risk that this change creates for the Council.   </w:t>
      </w:r>
    </w:p>
    <w:p w14:paraId="65DB6BE7" w14:textId="77777777" w:rsidR="00835E18" w:rsidRPr="003B66D5" w:rsidRDefault="00835E18" w:rsidP="00FC132F">
      <w:pPr>
        <w:rPr>
          <w:rFonts w:cs="Arial"/>
          <w:b/>
          <w:color w:val="993366"/>
          <w:sz w:val="28"/>
          <w:szCs w:val="28"/>
        </w:rPr>
      </w:pPr>
    </w:p>
    <w:p w14:paraId="458369A7" w14:textId="77777777" w:rsidR="00062BC5" w:rsidRPr="003B66D5" w:rsidRDefault="00062BC5" w:rsidP="00776C91">
      <w:pPr>
        <w:numPr>
          <w:ilvl w:val="1"/>
          <w:numId w:val="16"/>
        </w:numPr>
        <w:tabs>
          <w:tab w:val="num" w:pos="540"/>
          <w:tab w:val="num" w:pos="2160"/>
        </w:tabs>
        <w:ind w:left="540" w:hanging="540"/>
        <w:rPr>
          <w:rFonts w:cs="Arial"/>
          <w:b/>
          <w:color w:val="993366"/>
          <w:sz w:val="24"/>
          <w:szCs w:val="24"/>
        </w:rPr>
      </w:pPr>
      <w:r w:rsidRPr="003B66D5">
        <w:rPr>
          <w:rFonts w:cs="Arial"/>
          <w:b/>
          <w:iCs/>
          <w:color w:val="993366"/>
          <w:sz w:val="24"/>
          <w:szCs w:val="24"/>
        </w:rPr>
        <w:t>Types of Investments</w:t>
      </w:r>
      <w:r w:rsidRPr="003B66D5">
        <w:rPr>
          <w:rFonts w:cs="Arial"/>
          <w:b/>
          <w:color w:val="993366"/>
          <w:sz w:val="24"/>
          <w:szCs w:val="24"/>
        </w:rPr>
        <w:br/>
      </w:r>
    </w:p>
    <w:p w14:paraId="5D78F625" w14:textId="0DB3A708" w:rsidR="00062BC5" w:rsidRDefault="00062BC5" w:rsidP="00FC32FB">
      <w:pPr>
        <w:pStyle w:val="BodyText"/>
        <w:numPr>
          <w:ilvl w:val="2"/>
          <w:numId w:val="16"/>
        </w:numPr>
        <w:rPr>
          <w:rFonts w:ascii="Arial" w:hAnsi="Arial" w:cs="Arial"/>
          <w:iCs/>
          <w:sz w:val="22"/>
          <w:szCs w:val="22"/>
        </w:rPr>
      </w:pPr>
      <w:r w:rsidRPr="003B66D5">
        <w:rPr>
          <w:rFonts w:ascii="Arial" w:hAnsi="Arial" w:cs="Arial"/>
          <w:iCs/>
          <w:sz w:val="22"/>
          <w:szCs w:val="22"/>
        </w:rPr>
        <w:t xml:space="preserve">For institutions on the approved counterparty list, investments will be restricted to safer instruments (such as deposits). Currently this involves the use of money market funds, the </w:t>
      </w:r>
      <w:r w:rsidR="00FC32FB">
        <w:rPr>
          <w:rFonts w:ascii="Arial" w:hAnsi="Arial" w:cs="Arial"/>
          <w:iCs/>
          <w:sz w:val="22"/>
          <w:szCs w:val="22"/>
        </w:rPr>
        <w:t>Debt Management Account Deposit Facility (</w:t>
      </w:r>
      <w:r w:rsidRPr="003B66D5">
        <w:rPr>
          <w:rFonts w:ascii="Arial" w:hAnsi="Arial" w:cs="Arial"/>
          <w:iCs/>
          <w:sz w:val="22"/>
          <w:szCs w:val="22"/>
        </w:rPr>
        <w:t>DMADF</w:t>
      </w:r>
      <w:r w:rsidR="00FC32FB">
        <w:rPr>
          <w:rFonts w:ascii="Arial" w:hAnsi="Arial" w:cs="Arial"/>
          <w:iCs/>
          <w:sz w:val="22"/>
          <w:szCs w:val="22"/>
        </w:rPr>
        <w:t>)</w:t>
      </w:r>
      <w:r w:rsidRPr="003B66D5">
        <w:rPr>
          <w:rFonts w:ascii="Arial" w:hAnsi="Arial" w:cs="Arial"/>
          <w:iCs/>
          <w:sz w:val="22"/>
          <w:szCs w:val="22"/>
        </w:rPr>
        <w:t xml:space="preserve"> and institutions with higher credit ratings than the minimum permissible rating outlined in the investment strategy, </w:t>
      </w:r>
      <w:r w:rsidR="00C43721" w:rsidRPr="003B66D5">
        <w:rPr>
          <w:rFonts w:ascii="Arial" w:hAnsi="Arial" w:cs="Arial"/>
          <w:iCs/>
          <w:sz w:val="22"/>
          <w:szCs w:val="22"/>
        </w:rPr>
        <w:t>as well as the Council’s own bank</w:t>
      </w:r>
      <w:r w:rsidRPr="003B66D5">
        <w:rPr>
          <w:rFonts w:ascii="Arial" w:hAnsi="Arial" w:cs="Arial"/>
          <w:iCs/>
          <w:sz w:val="22"/>
          <w:szCs w:val="22"/>
        </w:rPr>
        <w:t xml:space="preserve">. </w:t>
      </w:r>
    </w:p>
    <w:p w14:paraId="3915A04E" w14:textId="77777777" w:rsidR="00FC32FB" w:rsidRPr="003B66D5" w:rsidRDefault="00FC32FB" w:rsidP="00FC32FB">
      <w:pPr>
        <w:pStyle w:val="BodyText"/>
        <w:ind w:left="567"/>
        <w:rPr>
          <w:rFonts w:ascii="Arial" w:hAnsi="Arial" w:cs="Arial"/>
          <w:iCs/>
          <w:sz w:val="22"/>
          <w:szCs w:val="22"/>
        </w:rPr>
      </w:pPr>
    </w:p>
    <w:p w14:paraId="0487D86A" w14:textId="77777777" w:rsidR="00062BC5" w:rsidRPr="003B66D5" w:rsidRDefault="00062BC5" w:rsidP="00AB4704">
      <w:pPr>
        <w:pStyle w:val="BodyText"/>
        <w:ind w:left="720" w:hanging="720"/>
        <w:rPr>
          <w:rFonts w:ascii="Arial" w:hAnsi="Arial" w:cs="Arial"/>
          <w:iCs/>
          <w:sz w:val="22"/>
          <w:szCs w:val="22"/>
        </w:rPr>
      </w:pPr>
    </w:p>
    <w:p w14:paraId="6A860E5B" w14:textId="1BE87A9C" w:rsidR="00062BC5" w:rsidRPr="003B66D5" w:rsidRDefault="00062BC5" w:rsidP="005675DE">
      <w:pPr>
        <w:pStyle w:val="BodyText"/>
        <w:numPr>
          <w:ilvl w:val="3"/>
          <w:numId w:val="7"/>
        </w:numPr>
        <w:tabs>
          <w:tab w:val="clear" w:pos="3960"/>
          <w:tab w:val="num" w:pos="567"/>
        </w:tabs>
        <w:spacing w:after="120"/>
        <w:ind w:left="567" w:hanging="720"/>
        <w:rPr>
          <w:rFonts w:ascii="Arial" w:hAnsi="Arial" w:cs="Arial"/>
          <w:iCs/>
          <w:sz w:val="22"/>
          <w:szCs w:val="22"/>
        </w:rPr>
      </w:pPr>
      <w:r w:rsidRPr="003B66D5">
        <w:rPr>
          <w:rFonts w:ascii="Arial" w:hAnsi="Arial" w:cs="Arial"/>
          <w:iCs/>
          <w:sz w:val="22"/>
          <w:szCs w:val="22"/>
        </w:rPr>
        <w:t xml:space="preserve">Where appropriate, investments will be made through approved brokers. The current list </w:t>
      </w:r>
      <w:r w:rsidR="005675DE">
        <w:rPr>
          <w:rFonts w:ascii="Arial" w:hAnsi="Arial" w:cs="Arial"/>
          <w:iCs/>
          <w:sz w:val="22"/>
          <w:szCs w:val="22"/>
        </w:rPr>
        <w:t xml:space="preserve">of </w:t>
      </w:r>
      <w:r w:rsidRPr="003B66D5">
        <w:rPr>
          <w:rFonts w:ascii="Arial" w:hAnsi="Arial" w:cs="Arial"/>
          <w:iCs/>
          <w:sz w:val="22"/>
          <w:szCs w:val="22"/>
        </w:rPr>
        <w:t>approved brokers comprises:</w:t>
      </w:r>
    </w:p>
    <w:p w14:paraId="33E1AD93" w14:textId="77777777" w:rsidR="00E01823" w:rsidRPr="003B66D5" w:rsidRDefault="00E01823" w:rsidP="00776C91">
      <w:pPr>
        <w:pStyle w:val="BodyText"/>
        <w:numPr>
          <w:ilvl w:val="3"/>
          <w:numId w:val="14"/>
        </w:numPr>
        <w:tabs>
          <w:tab w:val="clear" w:pos="540"/>
          <w:tab w:val="num" w:pos="1260"/>
        </w:tabs>
        <w:ind w:left="1260" w:hanging="540"/>
        <w:rPr>
          <w:rFonts w:ascii="Arial" w:hAnsi="Arial" w:cs="Arial"/>
          <w:iCs/>
          <w:sz w:val="22"/>
          <w:szCs w:val="22"/>
        </w:rPr>
      </w:pPr>
      <w:r w:rsidRPr="003B66D5">
        <w:rPr>
          <w:rFonts w:ascii="Arial" w:hAnsi="Arial" w:cs="Arial"/>
          <w:iCs/>
          <w:sz w:val="22"/>
          <w:szCs w:val="22"/>
        </w:rPr>
        <w:t>BGC Brokers L.P.</w:t>
      </w:r>
    </w:p>
    <w:p w14:paraId="73CCA52F" w14:textId="77777777" w:rsidR="00062BC5" w:rsidRPr="003B66D5" w:rsidRDefault="00062BC5" w:rsidP="00776C91">
      <w:pPr>
        <w:pStyle w:val="BodyText"/>
        <w:numPr>
          <w:ilvl w:val="3"/>
          <w:numId w:val="14"/>
        </w:numPr>
        <w:tabs>
          <w:tab w:val="clear" w:pos="540"/>
          <w:tab w:val="num" w:pos="1260"/>
        </w:tabs>
        <w:ind w:left="1260" w:hanging="540"/>
        <w:rPr>
          <w:rFonts w:ascii="Arial" w:hAnsi="Arial" w:cs="Arial"/>
          <w:iCs/>
          <w:sz w:val="22"/>
          <w:szCs w:val="22"/>
        </w:rPr>
      </w:pPr>
      <w:r w:rsidRPr="003B66D5">
        <w:rPr>
          <w:rFonts w:ascii="Arial" w:hAnsi="Arial" w:cs="Arial"/>
          <w:iCs/>
          <w:sz w:val="22"/>
          <w:szCs w:val="22"/>
        </w:rPr>
        <w:t>ICAP Securities Limited</w:t>
      </w:r>
    </w:p>
    <w:p w14:paraId="0CE9F28A" w14:textId="77777777" w:rsidR="00062BC5" w:rsidRPr="003B66D5" w:rsidRDefault="00062BC5" w:rsidP="00776C91">
      <w:pPr>
        <w:pStyle w:val="BodyText"/>
        <w:numPr>
          <w:ilvl w:val="3"/>
          <w:numId w:val="14"/>
        </w:numPr>
        <w:tabs>
          <w:tab w:val="clear" w:pos="540"/>
          <w:tab w:val="num" w:pos="1260"/>
        </w:tabs>
        <w:ind w:left="1260" w:hanging="540"/>
        <w:rPr>
          <w:rFonts w:ascii="Arial" w:hAnsi="Arial" w:cs="Arial"/>
          <w:iCs/>
          <w:sz w:val="22"/>
          <w:szCs w:val="22"/>
        </w:rPr>
      </w:pPr>
      <w:r w:rsidRPr="003B66D5">
        <w:rPr>
          <w:rFonts w:ascii="Arial" w:hAnsi="Arial" w:cs="Arial"/>
          <w:iCs/>
          <w:sz w:val="22"/>
          <w:szCs w:val="22"/>
        </w:rPr>
        <w:t>Sterling International Brokers Limited</w:t>
      </w:r>
    </w:p>
    <w:p w14:paraId="060A525B" w14:textId="77777777" w:rsidR="00E01823" w:rsidRPr="003B66D5" w:rsidRDefault="00062BC5" w:rsidP="00933E79">
      <w:pPr>
        <w:pStyle w:val="BodyText"/>
        <w:numPr>
          <w:ilvl w:val="3"/>
          <w:numId w:val="14"/>
        </w:numPr>
        <w:tabs>
          <w:tab w:val="clear" w:pos="540"/>
          <w:tab w:val="num" w:pos="1260"/>
        </w:tabs>
        <w:ind w:left="1260" w:hanging="540"/>
        <w:rPr>
          <w:rFonts w:ascii="Arial" w:hAnsi="Arial" w:cs="Arial"/>
          <w:iCs/>
          <w:sz w:val="22"/>
          <w:szCs w:val="22"/>
        </w:rPr>
      </w:pPr>
      <w:r w:rsidRPr="003B66D5">
        <w:rPr>
          <w:rFonts w:ascii="Arial" w:hAnsi="Arial" w:cs="Arial"/>
          <w:iCs/>
          <w:sz w:val="22"/>
          <w:szCs w:val="22"/>
        </w:rPr>
        <w:t>Tradition (UK) Limited</w:t>
      </w:r>
    </w:p>
    <w:p w14:paraId="550625B4" w14:textId="77777777" w:rsidR="00062BC5" w:rsidRPr="003B66D5" w:rsidRDefault="00062BC5" w:rsidP="00770869">
      <w:pPr>
        <w:rPr>
          <w:rFonts w:cs="Arial"/>
          <w:b/>
          <w:color w:val="993366"/>
          <w:sz w:val="28"/>
          <w:szCs w:val="28"/>
        </w:rPr>
      </w:pPr>
    </w:p>
    <w:p w14:paraId="67E15084" w14:textId="77777777" w:rsidR="00062BC5" w:rsidRPr="003B66D5" w:rsidRDefault="00062BC5" w:rsidP="00776C91">
      <w:pPr>
        <w:numPr>
          <w:ilvl w:val="1"/>
          <w:numId w:val="16"/>
        </w:numPr>
        <w:tabs>
          <w:tab w:val="num" w:pos="540"/>
          <w:tab w:val="num" w:pos="2160"/>
        </w:tabs>
        <w:ind w:left="540" w:hanging="540"/>
        <w:rPr>
          <w:rFonts w:cs="Arial"/>
          <w:b/>
          <w:color w:val="993366"/>
          <w:sz w:val="24"/>
          <w:szCs w:val="24"/>
        </w:rPr>
      </w:pPr>
      <w:r w:rsidRPr="003B66D5">
        <w:rPr>
          <w:rFonts w:cs="Arial"/>
          <w:b/>
          <w:iCs/>
          <w:color w:val="993366"/>
          <w:sz w:val="24"/>
          <w:szCs w:val="24"/>
        </w:rPr>
        <w:t>Investment Strategy and bank rate projections</w:t>
      </w:r>
      <w:r w:rsidRPr="003B66D5">
        <w:rPr>
          <w:rFonts w:cs="Arial"/>
          <w:b/>
          <w:color w:val="993366"/>
          <w:sz w:val="24"/>
          <w:szCs w:val="24"/>
        </w:rPr>
        <w:br/>
      </w:r>
    </w:p>
    <w:p w14:paraId="49DAC7E5" w14:textId="77777777" w:rsidR="00062BC5" w:rsidRPr="003B66D5" w:rsidRDefault="00062BC5" w:rsidP="00570BF0">
      <w:pPr>
        <w:ind w:left="720"/>
        <w:rPr>
          <w:rFonts w:cs="Arial"/>
          <w:noProof/>
          <w:sz w:val="22"/>
          <w:szCs w:val="22"/>
        </w:rPr>
      </w:pPr>
      <w:r w:rsidRPr="003B66D5">
        <w:rPr>
          <w:rFonts w:cs="Arial"/>
          <w:b/>
          <w:noProof/>
          <w:color w:val="993366"/>
          <w:sz w:val="24"/>
          <w:szCs w:val="24"/>
        </w:rPr>
        <w:t>In-house funds</w:t>
      </w:r>
      <w:r w:rsidRPr="003B66D5">
        <w:rPr>
          <w:rFonts w:cs="Arial"/>
          <w:i/>
          <w:noProof/>
          <w:sz w:val="24"/>
          <w:szCs w:val="24"/>
        </w:rPr>
        <w:br/>
      </w:r>
    </w:p>
    <w:p w14:paraId="69338444" w14:textId="655AE193" w:rsidR="004A259B" w:rsidRPr="003B66D5" w:rsidRDefault="00062BC5" w:rsidP="00776C91">
      <w:pPr>
        <w:numPr>
          <w:ilvl w:val="3"/>
          <w:numId w:val="1"/>
        </w:numPr>
        <w:tabs>
          <w:tab w:val="clear" w:pos="3600"/>
          <w:tab w:val="num" w:pos="720"/>
        </w:tabs>
        <w:ind w:left="720" w:hanging="720"/>
        <w:rPr>
          <w:rFonts w:cs="Arial"/>
          <w:noProof/>
          <w:sz w:val="22"/>
          <w:szCs w:val="22"/>
        </w:rPr>
      </w:pPr>
      <w:r w:rsidRPr="003B66D5">
        <w:rPr>
          <w:rFonts w:cs="Arial"/>
          <w:noProof/>
          <w:sz w:val="22"/>
          <w:szCs w:val="22"/>
        </w:rPr>
        <w:t xml:space="preserve">Investments will be made with reference to the core balance and cash flow requirements and the outlook for short-term interest rates (i.e. rates for investments up to 12 months).  </w:t>
      </w:r>
      <w:r w:rsidR="00497C8E" w:rsidRPr="003B66D5">
        <w:rPr>
          <w:rFonts w:eastAsia="Calibri" w:cs="Arial"/>
          <w:color w:val="0D0D0D" w:themeColor="text1" w:themeTint="F2"/>
          <w:sz w:val="22"/>
          <w:szCs w:val="22"/>
        </w:rPr>
        <w:t xml:space="preserve">Greater returns are usually obtainable by investing for longer periods. While most cash balances are required </w:t>
      </w:r>
      <w:r w:rsidR="00184DB7" w:rsidRPr="003B66D5">
        <w:rPr>
          <w:rFonts w:eastAsia="Calibri" w:cs="Arial"/>
          <w:color w:val="0D0D0D" w:themeColor="text1" w:themeTint="F2"/>
          <w:sz w:val="22"/>
          <w:szCs w:val="22"/>
        </w:rPr>
        <w:t>to</w:t>
      </w:r>
      <w:r w:rsidR="00497C8E" w:rsidRPr="003B66D5">
        <w:rPr>
          <w:rFonts w:eastAsia="Calibri" w:cs="Arial"/>
          <w:color w:val="0D0D0D" w:themeColor="text1" w:themeTint="F2"/>
          <w:sz w:val="22"/>
          <w:szCs w:val="22"/>
        </w:rPr>
        <w:t xml:space="preserve"> manage the ups and downs of cash flow, where cash sums can be identified that could be invested for longer periods, the value to be obtained from longer term investments will be carefully assessed</w:t>
      </w:r>
      <w:r w:rsidR="004A259B" w:rsidRPr="003B66D5">
        <w:rPr>
          <w:rFonts w:cs="Arial"/>
          <w:noProof/>
          <w:sz w:val="22"/>
          <w:szCs w:val="22"/>
        </w:rPr>
        <w:t>.</w:t>
      </w:r>
    </w:p>
    <w:p w14:paraId="78660A01" w14:textId="77777777" w:rsidR="004A259B" w:rsidRPr="003B66D5" w:rsidRDefault="004A259B" w:rsidP="004A259B">
      <w:pPr>
        <w:ind w:left="720"/>
        <w:rPr>
          <w:rFonts w:cs="Arial"/>
          <w:noProof/>
          <w:sz w:val="22"/>
          <w:szCs w:val="22"/>
        </w:rPr>
      </w:pPr>
    </w:p>
    <w:p w14:paraId="7D9AB861" w14:textId="77777777" w:rsidR="004A259B" w:rsidRPr="003B66D5" w:rsidRDefault="004A259B" w:rsidP="005B34C4">
      <w:pPr>
        <w:pStyle w:val="ListParagraph"/>
        <w:numPr>
          <w:ilvl w:val="0"/>
          <w:numId w:val="44"/>
        </w:numPr>
        <w:rPr>
          <w:rFonts w:eastAsia="Calibri" w:cs="Arial"/>
          <w:color w:val="0D0D0D" w:themeColor="text1" w:themeTint="F2"/>
          <w:spacing w:val="0"/>
          <w:sz w:val="22"/>
          <w:szCs w:val="22"/>
          <w:lang w:eastAsia="en-GB"/>
        </w:rPr>
      </w:pPr>
      <w:r w:rsidRPr="003B66D5">
        <w:rPr>
          <w:rFonts w:eastAsia="Calibri" w:cs="Arial"/>
          <w:color w:val="0D0D0D" w:themeColor="text1" w:themeTint="F2"/>
          <w:spacing w:val="0"/>
          <w:sz w:val="22"/>
          <w:szCs w:val="22"/>
          <w:lang w:eastAsia="en-GB"/>
        </w:rPr>
        <w:t>If it is thought that Bank Rate is likely to rise significantly within the time horizon being considered, then consideration will be given to keeping most investments as being short term or variable.</w:t>
      </w:r>
    </w:p>
    <w:p w14:paraId="33A0505C" w14:textId="77777777" w:rsidR="00062BC5" w:rsidRPr="003B66D5" w:rsidRDefault="004A259B" w:rsidP="005B34C4">
      <w:pPr>
        <w:pStyle w:val="ListParagraph"/>
        <w:numPr>
          <w:ilvl w:val="0"/>
          <w:numId w:val="44"/>
        </w:numPr>
        <w:rPr>
          <w:rFonts w:cs="Arial"/>
          <w:noProof/>
          <w:sz w:val="22"/>
          <w:szCs w:val="22"/>
        </w:rPr>
      </w:pPr>
      <w:r w:rsidRPr="003B66D5">
        <w:rPr>
          <w:rFonts w:eastAsia="Calibri" w:cs="Arial"/>
          <w:color w:val="0D0D0D" w:themeColor="text1" w:themeTint="F2"/>
          <w:spacing w:val="0"/>
          <w:sz w:val="22"/>
          <w:szCs w:val="22"/>
          <w:lang w:eastAsia="en-GB"/>
        </w:rPr>
        <w:t>Conversely, if it is thought that Bank Rate is likely to fall within that time period, consideration will be given to locking in higher rates currently obtainable, for longer periods.</w:t>
      </w:r>
      <w:r w:rsidR="00062BC5" w:rsidRPr="003B66D5">
        <w:rPr>
          <w:rFonts w:cs="Arial"/>
          <w:noProof/>
          <w:sz w:val="22"/>
          <w:szCs w:val="22"/>
        </w:rPr>
        <w:br/>
      </w:r>
    </w:p>
    <w:p w14:paraId="28379B49" w14:textId="77777777" w:rsidR="00062BC5" w:rsidRPr="00BA7339" w:rsidRDefault="00A84249" w:rsidP="00570BF0">
      <w:pPr>
        <w:ind w:left="720"/>
        <w:rPr>
          <w:rFonts w:cs="Arial"/>
          <w:noProof/>
          <w:color w:val="993366"/>
          <w:sz w:val="22"/>
          <w:szCs w:val="22"/>
        </w:rPr>
      </w:pPr>
      <w:r w:rsidRPr="00BA7339">
        <w:rPr>
          <w:rFonts w:cs="Arial"/>
          <w:b/>
          <w:noProof/>
          <w:color w:val="993366"/>
          <w:sz w:val="24"/>
          <w:szCs w:val="24"/>
        </w:rPr>
        <w:t>Investment returns expectations</w:t>
      </w:r>
      <w:r w:rsidR="00062BC5" w:rsidRPr="00BA7339">
        <w:rPr>
          <w:rFonts w:cs="Arial"/>
          <w:noProof/>
          <w:color w:val="993366"/>
          <w:sz w:val="24"/>
          <w:szCs w:val="24"/>
        </w:rPr>
        <w:t xml:space="preserve"> </w:t>
      </w:r>
      <w:r w:rsidR="00062BC5" w:rsidRPr="00BA7339">
        <w:rPr>
          <w:rFonts w:cs="Arial"/>
          <w:noProof/>
          <w:color w:val="993366"/>
          <w:sz w:val="24"/>
          <w:szCs w:val="24"/>
        </w:rPr>
        <w:br/>
      </w:r>
    </w:p>
    <w:p w14:paraId="784D0C65" w14:textId="73DDE666" w:rsidR="00062BC5" w:rsidRPr="00BA7339" w:rsidRDefault="00BA7339" w:rsidP="00776C91">
      <w:pPr>
        <w:numPr>
          <w:ilvl w:val="3"/>
          <w:numId w:val="1"/>
        </w:numPr>
        <w:tabs>
          <w:tab w:val="clear" w:pos="3600"/>
          <w:tab w:val="num" w:pos="720"/>
        </w:tabs>
        <w:ind w:left="720" w:hanging="720"/>
        <w:rPr>
          <w:rFonts w:cs="Arial"/>
          <w:noProof/>
          <w:sz w:val="22"/>
          <w:szCs w:val="22"/>
        </w:rPr>
      </w:pPr>
      <w:r w:rsidRPr="00BA7339">
        <w:rPr>
          <w:rFonts w:cs="Arial"/>
          <w:color w:val="0D0D0D" w:themeColor="text1" w:themeTint="F2"/>
          <w:sz w:val="22"/>
          <w:szCs w:val="22"/>
          <w:lang w:eastAsia="en-GB"/>
        </w:rPr>
        <w:t>The curre</w:t>
      </w:r>
      <w:r>
        <w:rPr>
          <w:rFonts w:cs="Arial"/>
          <w:color w:val="0D0D0D" w:themeColor="text1" w:themeTint="F2"/>
          <w:sz w:val="22"/>
          <w:szCs w:val="22"/>
          <w:lang w:eastAsia="en-GB"/>
        </w:rPr>
        <w:t>nt forecast shown in paragraph 4</w:t>
      </w:r>
      <w:r w:rsidRPr="00BA7339">
        <w:rPr>
          <w:rFonts w:cs="Arial"/>
          <w:color w:val="0D0D0D" w:themeColor="text1" w:themeTint="F2"/>
          <w:sz w:val="22"/>
          <w:szCs w:val="22"/>
          <w:lang w:eastAsia="en-GB"/>
        </w:rPr>
        <w:t xml:space="preserve">.3, includes a forecast for Bank Rate to </w:t>
      </w:r>
      <w:r w:rsidR="00184DB7">
        <w:rPr>
          <w:rFonts w:cs="Arial"/>
          <w:color w:val="0D0D0D" w:themeColor="text1" w:themeTint="F2"/>
          <w:sz w:val="22"/>
          <w:szCs w:val="22"/>
          <w:lang w:eastAsia="en-GB"/>
        </w:rPr>
        <w:t>have peaked</w:t>
      </w:r>
      <w:r w:rsidRPr="00BA7339">
        <w:rPr>
          <w:rFonts w:cs="Arial"/>
          <w:color w:val="0D0D0D" w:themeColor="text1" w:themeTint="F2"/>
          <w:sz w:val="22"/>
          <w:szCs w:val="22"/>
          <w:lang w:eastAsia="en-GB"/>
        </w:rPr>
        <w:t xml:space="preserve"> </w:t>
      </w:r>
      <w:r w:rsidR="00184DB7">
        <w:rPr>
          <w:rFonts w:cs="Arial"/>
          <w:color w:val="0D0D0D" w:themeColor="text1" w:themeTint="F2"/>
          <w:sz w:val="22"/>
          <w:szCs w:val="22"/>
          <w:lang w:eastAsia="en-GB"/>
        </w:rPr>
        <w:t>5.25</w:t>
      </w:r>
      <w:r w:rsidRPr="00BA7339">
        <w:rPr>
          <w:rFonts w:cs="Arial"/>
          <w:color w:val="0D0D0D" w:themeColor="text1" w:themeTint="F2"/>
          <w:sz w:val="22"/>
          <w:szCs w:val="22"/>
          <w:lang w:eastAsia="en-GB"/>
        </w:rPr>
        <w:t>% in Q</w:t>
      </w:r>
      <w:r w:rsidR="00184DB7">
        <w:rPr>
          <w:rFonts w:cs="Arial"/>
          <w:color w:val="0D0D0D" w:themeColor="text1" w:themeTint="F2"/>
          <w:sz w:val="22"/>
          <w:szCs w:val="22"/>
          <w:lang w:eastAsia="en-GB"/>
        </w:rPr>
        <w:t>4</w:t>
      </w:r>
      <w:r w:rsidRPr="00BA7339">
        <w:rPr>
          <w:rFonts w:cs="Arial"/>
          <w:color w:val="0D0D0D" w:themeColor="text1" w:themeTint="F2"/>
          <w:sz w:val="22"/>
          <w:szCs w:val="22"/>
          <w:lang w:eastAsia="en-GB"/>
        </w:rPr>
        <w:t xml:space="preserve"> 2023</w:t>
      </w:r>
      <w:r w:rsidR="00184DB7">
        <w:rPr>
          <w:rFonts w:cs="Arial"/>
          <w:color w:val="0D0D0D" w:themeColor="text1" w:themeTint="F2"/>
          <w:sz w:val="22"/>
          <w:szCs w:val="22"/>
          <w:lang w:eastAsia="en-GB"/>
        </w:rPr>
        <w:t>.</w:t>
      </w:r>
      <w:r w:rsidR="00062BC5" w:rsidRPr="00BA7339">
        <w:rPr>
          <w:rFonts w:cs="Arial"/>
          <w:noProof/>
          <w:sz w:val="22"/>
          <w:szCs w:val="22"/>
        </w:rPr>
        <w:br/>
      </w:r>
    </w:p>
    <w:p w14:paraId="3EE16678" w14:textId="6C06D348" w:rsidR="00417B2B" w:rsidRPr="003B66D5" w:rsidRDefault="00BA7339" w:rsidP="00776C91">
      <w:pPr>
        <w:numPr>
          <w:ilvl w:val="3"/>
          <w:numId w:val="1"/>
        </w:numPr>
        <w:tabs>
          <w:tab w:val="clear" w:pos="3600"/>
          <w:tab w:val="num" w:pos="720"/>
        </w:tabs>
        <w:ind w:left="720" w:hanging="720"/>
        <w:rPr>
          <w:rFonts w:cs="Arial"/>
          <w:b/>
          <w:noProof/>
          <w:color w:val="993366"/>
          <w:sz w:val="24"/>
          <w:szCs w:val="24"/>
        </w:rPr>
      </w:pPr>
      <w:r w:rsidRPr="00D07ABD">
        <w:rPr>
          <w:rFonts w:cs="Arial"/>
          <w:color w:val="0D0D0D" w:themeColor="text1" w:themeTint="F2"/>
          <w:sz w:val="22"/>
          <w:szCs w:val="22"/>
        </w:rPr>
        <w:t>The suggested budgeted investment earnings rates for returns on investments placed for periods up to about three months during each financial year are as follows</w:t>
      </w:r>
      <w:r w:rsidR="00EF2AE8" w:rsidRPr="003B66D5">
        <w:rPr>
          <w:rFonts w:cs="Arial"/>
          <w:color w:val="0D0D0D" w:themeColor="text1" w:themeTint="F2"/>
          <w:sz w:val="22"/>
          <w:szCs w:val="22"/>
        </w:rPr>
        <w:t>:</w:t>
      </w:r>
    </w:p>
    <w:p w14:paraId="6824D319" w14:textId="77777777" w:rsidR="00417B2B" w:rsidRPr="00D26131" w:rsidRDefault="00417B2B" w:rsidP="000473B0">
      <w:pPr>
        <w:ind w:left="1985"/>
        <w:rPr>
          <w:rFonts w:cs="Arial"/>
          <w:noProof/>
          <w:sz w:val="22"/>
          <w:szCs w:val="22"/>
          <w:highlight w:val="yellow"/>
        </w:rPr>
      </w:pPr>
    </w:p>
    <w:tbl>
      <w:tblPr>
        <w:tblStyle w:val="DefaultTable"/>
        <w:tblW w:w="5670" w:type="dxa"/>
        <w:tblInd w:w="1094" w:type="dxa"/>
        <w:tblLook w:val="04A0" w:firstRow="1" w:lastRow="0" w:firstColumn="1" w:lastColumn="0" w:noHBand="0" w:noVBand="1"/>
      </w:tblPr>
      <w:tblGrid>
        <w:gridCol w:w="3418"/>
        <w:gridCol w:w="2252"/>
      </w:tblGrid>
      <w:tr w:rsidR="00184DB7" w:rsidRPr="00FD7C04" w14:paraId="05A8F8E3" w14:textId="77777777" w:rsidTr="00184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2D2C7774" w14:textId="77777777" w:rsidR="00184DB7" w:rsidRPr="00FD7C04" w:rsidRDefault="00184DB7" w:rsidP="006B508A">
            <w:pPr>
              <w:spacing w:before="120" w:after="120"/>
              <w:jc w:val="center"/>
              <w:rPr>
                <w:rFonts w:cs="Arial"/>
                <w:spacing w:val="0"/>
              </w:rPr>
            </w:pPr>
            <w:r w:rsidRPr="00FD7C04">
              <w:rPr>
                <w:rFonts w:cs="Arial"/>
                <w:spacing w:val="0"/>
              </w:rPr>
              <w:t>Average earnings in each year</w:t>
            </w:r>
          </w:p>
        </w:tc>
        <w:tc>
          <w:tcPr>
            <w:tcW w:w="2252" w:type="dxa"/>
          </w:tcPr>
          <w:p w14:paraId="1DEF7004" w14:textId="77777777" w:rsidR="00184DB7" w:rsidRPr="00FD7C04" w:rsidRDefault="00184DB7" w:rsidP="006B508A">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pacing w:val="0"/>
              </w:rPr>
            </w:pPr>
          </w:p>
        </w:tc>
      </w:tr>
      <w:tr w:rsidR="00184DB7" w:rsidRPr="00FD7C04" w14:paraId="6625314C"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3E60CF1E"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2023/24 (residual)</w:t>
            </w:r>
          </w:p>
        </w:tc>
        <w:tc>
          <w:tcPr>
            <w:tcW w:w="2252" w:type="dxa"/>
          </w:tcPr>
          <w:p w14:paraId="22F683A6"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highlight w:val="yellow"/>
              </w:rPr>
            </w:pPr>
            <w:r w:rsidRPr="00FD7C04">
              <w:rPr>
                <w:rFonts w:cs="Arial"/>
                <w:color w:val="0D0D0D"/>
                <w:spacing w:val="0"/>
              </w:rPr>
              <w:t>5.30%</w:t>
            </w:r>
          </w:p>
        </w:tc>
      </w:tr>
      <w:tr w:rsidR="00184DB7" w:rsidRPr="00FD7C04" w14:paraId="201A9326"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3BE12114"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2024/25</w:t>
            </w:r>
          </w:p>
        </w:tc>
        <w:tc>
          <w:tcPr>
            <w:tcW w:w="2252" w:type="dxa"/>
          </w:tcPr>
          <w:p w14:paraId="46BEC865"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highlight w:val="yellow"/>
              </w:rPr>
            </w:pPr>
            <w:r w:rsidRPr="00FD7C04">
              <w:rPr>
                <w:rFonts w:cs="Arial"/>
                <w:color w:val="0D0D0D"/>
                <w:spacing w:val="0"/>
              </w:rPr>
              <w:t>4.</w:t>
            </w:r>
            <w:r>
              <w:rPr>
                <w:rFonts w:cs="Arial"/>
                <w:color w:val="0D0D0D"/>
                <w:spacing w:val="0"/>
              </w:rPr>
              <w:t>55</w:t>
            </w:r>
            <w:r w:rsidRPr="00FD7C04">
              <w:rPr>
                <w:rFonts w:cs="Arial"/>
                <w:color w:val="0D0D0D"/>
                <w:spacing w:val="0"/>
              </w:rPr>
              <w:t>%</w:t>
            </w:r>
          </w:p>
        </w:tc>
      </w:tr>
      <w:tr w:rsidR="00184DB7" w:rsidRPr="00FD7C04" w14:paraId="462C0337"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368BE515"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2025/26</w:t>
            </w:r>
          </w:p>
        </w:tc>
        <w:tc>
          <w:tcPr>
            <w:tcW w:w="2252" w:type="dxa"/>
          </w:tcPr>
          <w:p w14:paraId="2FE02D06" w14:textId="77777777" w:rsidR="00184DB7" w:rsidRPr="00FD7C04" w:rsidRDefault="00184DB7" w:rsidP="006B508A">
            <w:pPr>
              <w:spacing w:before="120" w:after="120"/>
              <w:cnfStyle w:val="000000000000" w:firstRow="0" w:lastRow="0" w:firstColumn="0" w:lastColumn="0" w:oddVBand="0" w:evenVBand="0" w:oddHBand="0" w:evenHBand="0" w:firstRowFirstColumn="0" w:firstRowLastColumn="0" w:lastRowFirstColumn="0" w:lastRowLastColumn="0"/>
              <w:rPr>
                <w:rFonts w:cs="Arial"/>
                <w:color w:val="0D0D0D"/>
                <w:spacing w:val="0"/>
                <w:highlight w:val="yellow"/>
              </w:rPr>
            </w:pPr>
            <w:r w:rsidRPr="00FD7C04">
              <w:rPr>
                <w:rFonts w:cs="Arial"/>
                <w:color w:val="0D0D0D"/>
                <w:spacing w:val="0"/>
              </w:rPr>
              <w:t xml:space="preserve">             3.</w:t>
            </w:r>
            <w:r>
              <w:rPr>
                <w:rFonts w:cs="Arial"/>
                <w:color w:val="0D0D0D"/>
                <w:spacing w:val="0"/>
              </w:rPr>
              <w:t>1</w:t>
            </w:r>
            <w:r w:rsidRPr="00FD7C04">
              <w:rPr>
                <w:rFonts w:cs="Arial"/>
                <w:color w:val="0D0D0D"/>
                <w:spacing w:val="0"/>
              </w:rPr>
              <w:t>0%</w:t>
            </w:r>
          </w:p>
        </w:tc>
      </w:tr>
      <w:tr w:rsidR="00184DB7" w:rsidRPr="00FD7C04" w14:paraId="43F575B1"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21842C20"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2026/27</w:t>
            </w:r>
          </w:p>
        </w:tc>
        <w:tc>
          <w:tcPr>
            <w:tcW w:w="2252" w:type="dxa"/>
          </w:tcPr>
          <w:p w14:paraId="669D849D"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highlight w:val="yellow"/>
              </w:rPr>
            </w:pPr>
            <w:r w:rsidRPr="00FD7C04">
              <w:rPr>
                <w:rFonts w:cs="Arial"/>
                <w:color w:val="0D0D0D"/>
                <w:spacing w:val="0"/>
              </w:rPr>
              <w:t>3.00%</w:t>
            </w:r>
          </w:p>
        </w:tc>
      </w:tr>
      <w:tr w:rsidR="00184DB7" w:rsidRPr="00FD7C04" w14:paraId="6D781CC9"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3AB0EE67"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2027/28</w:t>
            </w:r>
          </w:p>
        </w:tc>
        <w:tc>
          <w:tcPr>
            <w:tcW w:w="2252" w:type="dxa"/>
          </w:tcPr>
          <w:p w14:paraId="30B6BCDC"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rPr>
            </w:pPr>
            <w:r w:rsidRPr="00FD7C04">
              <w:rPr>
                <w:rFonts w:cs="Arial"/>
                <w:color w:val="0D0D0D"/>
                <w:spacing w:val="0"/>
              </w:rPr>
              <w:t>3.25%</w:t>
            </w:r>
          </w:p>
        </w:tc>
      </w:tr>
      <w:tr w:rsidR="00184DB7" w:rsidRPr="00FD7C04" w14:paraId="51A1F5A5"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33F53532"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Years 6 to 10</w:t>
            </w:r>
          </w:p>
        </w:tc>
        <w:tc>
          <w:tcPr>
            <w:tcW w:w="2252" w:type="dxa"/>
          </w:tcPr>
          <w:p w14:paraId="61068179"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rPr>
            </w:pPr>
            <w:r w:rsidRPr="00FD7C04">
              <w:rPr>
                <w:rFonts w:cs="Arial"/>
                <w:color w:val="0D0D0D"/>
                <w:spacing w:val="0"/>
              </w:rPr>
              <w:t>3.25%</w:t>
            </w:r>
          </w:p>
        </w:tc>
      </w:tr>
      <w:tr w:rsidR="00184DB7" w:rsidRPr="00FD7C04" w14:paraId="159E75A7" w14:textId="77777777" w:rsidTr="00184DB7">
        <w:tc>
          <w:tcPr>
            <w:cnfStyle w:val="001000000000" w:firstRow="0" w:lastRow="0" w:firstColumn="1" w:lastColumn="0" w:oddVBand="0" w:evenVBand="0" w:oddHBand="0" w:evenHBand="0" w:firstRowFirstColumn="0" w:firstRowLastColumn="0" w:lastRowFirstColumn="0" w:lastRowLastColumn="0"/>
            <w:tcW w:w="3418" w:type="dxa"/>
          </w:tcPr>
          <w:p w14:paraId="4D5989FE" w14:textId="77777777" w:rsidR="00184DB7" w:rsidRPr="00FD7C04" w:rsidRDefault="00184DB7" w:rsidP="006B508A">
            <w:pPr>
              <w:spacing w:before="120" w:after="120"/>
              <w:jc w:val="center"/>
              <w:rPr>
                <w:rFonts w:cs="Arial"/>
                <w:color w:val="0D0D0D"/>
                <w:spacing w:val="0"/>
              </w:rPr>
            </w:pPr>
            <w:r w:rsidRPr="00FD7C04">
              <w:rPr>
                <w:rFonts w:cs="Arial"/>
                <w:color w:val="0D0D0D"/>
                <w:spacing w:val="0"/>
              </w:rPr>
              <w:t>Years 10+</w:t>
            </w:r>
          </w:p>
        </w:tc>
        <w:tc>
          <w:tcPr>
            <w:tcW w:w="2252" w:type="dxa"/>
          </w:tcPr>
          <w:p w14:paraId="7F0FA0F3" w14:textId="77777777" w:rsidR="00184DB7" w:rsidRPr="00FD7C04" w:rsidRDefault="00184DB7" w:rsidP="006B508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D0D0D"/>
                <w:spacing w:val="0"/>
              </w:rPr>
            </w:pPr>
            <w:r w:rsidRPr="00FD7C04">
              <w:rPr>
                <w:rFonts w:cs="Arial"/>
                <w:color w:val="0D0D0D"/>
                <w:spacing w:val="0"/>
              </w:rPr>
              <w:t>3.25%</w:t>
            </w:r>
          </w:p>
        </w:tc>
      </w:tr>
    </w:tbl>
    <w:p w14:paraId="5F36E26B" w14:textId="77777777" w:rsidR="00E87DE0" w:rsidRPr="00D26131" w:rsidRDefault="00E87DE0" w:rsidP="00E87DE0">
      <w:pPr>
        <w:ind w:left="720"/>
        <w:rPr>
          <w:rFonts w:cs="Arial"/>
          <w:b/>
          <w:noProof/>
          <w:color w:val="993366"/>
          <w:sz w:val="22"/>
          <w:szCs w:val="22"/>
          <w:highlight w:val="yellow"/>
        </w:rPr>
      </w:pPr>
    </w:p>
    <w:p w14:paraId="1CFF21D2" w14:textId="77777777" w:rsidR="00EA52CA" w:rsidRDefault="00EA52CA" w:rsidP="00D71752">
      <w:pPr>
        <w:rPr>
          <w:rFonts w:cs="Arial"/>
          <w:b/>
          <w:noProof/>
          <w:color w:val="993366"/>
          <w:sz w:val="24"/>
          <w:szCs w:val="24"/>
        </w:rPr>
      </w:pPr>
    </w:p>
    <w:p w14:paraId="49E37ABE" w14:textId="77777777" w:rsidR="00EA52CA" w:rsidRDefault="00EA52CA" w:rsidP="00D71752">
      <w:pPr>
        <w:rPr>
          <w:rFonts w:cs="Arial"/>
          <w:b/>
          <w:noProof/>
          <w:color w:val="993366"/>
          <w:sz w:val="24"/>
          <w:szCs w:val="24"/>
        </w:rPr>
      </w:pPr>
    </w:p>
    <w:p w14:paraId="15CD3DAE" w14:textId="77777777" w:rsidR="00EA52CA" w:rsidRDefault="00EA52CA" w:rsidP="00D71752">
      <w:pPr>
        <w:rPr>
          <w:rFonts w:cs="Arial"/>
          <w:b/>
          <w:noProof/>
          <w:color w:val="993366"/>
          <w:sz w:val="24"/>
          <w:szCs w:val="24"/>
        </w:rPr>
      </w:pPr>
    </w:p>
    <w:p w14:paraId="60DA8417" w14:textId="77777777" w:rsidR="00EA52CA" w:rsidRDefault="00EA52CA" w:rsidP="00D71752">
      <w:pPr>
        <w:rPr>
          <w:rFonts w:cs="Arial"/>
          <w:b/>
          <w:noProof/>
          <w:color w:val="993366"/>
          <w:sz w:val="24"/>
          <w:szCs w:val="24"/>
        </w:rPr>
      </w:pPr>
    </w:p>
    <w:p w14:paraId="39896A97" w14:textId="77777777" w:rsidR="00EA52CA" w:rsidRDefault="00EA52CA" w:rsidP="00D71752">
      <w:pPr>
        <w:rPr>
          <w:rFonts w:cs="Arial"/>
          <w:b/>
          <w:noProof/>
          <w:color w:val="993366"/>
          <w:sz w:val="24"/>
          <w:szCs w:val="24"/>
        </w:rPr>
      </w:pPr>
    </w:p>
    <w:p w14:paraId="7197C6F9" w14:textId="77777777" w:rsidR="00EA52CA" w:rsidRDefault="00EA52CA" w:rsidP="00D71752">
      <w:pPr>
        <w:rPr>
          <w:rFonts w:cs="Arial"/>
          <w:b/>
          <w:noProof/>
          <w:color w:val="993366"/>
          <w:sz w:val="24"/>
          <w:szCs w:val="24"/>
        </w:rPr>
      </w:pPr>
    </w:p>
    <w:p w14:paraId="6705606C" w14:textId="77777777" w:rsidR="00EA52CA" w:rsidRDefault="00EA52CA" w:rsidP="00D71752">
      <w:pPr>
        <w:rPr>
          <w:rFonts w:cs="Arial"/>
          <w:b/>
          <w:noProof/>
          <w:color w:val="993366"/>
          <w:sz w:val="24"/>
          <w:szCs w:val="24"/>
        </w:rPr>
      </w:pPr>
    </w:p>
    <w:p w14:paraId="417FD341" w14:textId="77777777" w:rsidR="00EA52CA" w:rsidRDefault="00EA52CA" w:rsidP="00D71752">
      <w:pPr>
        <w:rPr>
          <w:rFonts w:cs="Arial"/>
          <w:b/>
          <w:noProof/>
          <w:color w:val="993366"/>
          <w:sz w:val="24"/>
          <w:szCs w:val="24"/>
        </w:rPr>
      </w:pPr>
    </w:p>
    <w:p w14:paraId="02CA3D62" w14:textId="77777777" w:rsidR="00EA52CA" w:rsidRDefault="00EA52CA" w:rsidP="00D71752">
      <w:pPr>
        <w:rPr>
          <w:rFonts w:cs="Arial"/>
          <w:b/>
          <w:noProof/>
          <w:color w:val="993366"/>
          <w:sz w:val="24"/>
          <w:szCs w:val="24"/>
        </w:rPr>
      </w:pPr>
    </w:p>
    <w:p w14:paraId="5799179C" w14:textId="5FD829D8" w:rsidR="00062BC5" w:rsidRPr="003B66D5" w:rsidRDefault="00062BC5" w:rsidP="00D71752">
      <w:pPr>
        <w:rPr>
          <w:rFonts w:cs="Arial"/>
          <w:b/>
          <w:noProof/>
          <w:color w:val="993366"/>
          <w:sz w:val="24"/>
          <w:szCs w:val="24"/>
        </w:rPr>
      </w:pPr>
      <w:r w:rsidRPr="003B66D5">
        <w:rPr>
          <w:rFonts w:cs="Arial"/>
          <w:b/>
          <w:noProof/>
          <w:color w:val="993366"/>
          <w:sz w:val="24"/>
          <w:szCs w:val="24"/>
        </w:rPr>
        <w:t>Investment Trea</w:t>
      </w:r>
      <w:r w:rsidR="00CB02F6" w:rsidRPr="003B66D5">
        <w:rPr>
          <w:rFonts w:cs="Arial"/>
          <w:b/>
          <w:noProof/>
          <w:color w:val="993366"/>
          <w:sz w:val="24"/>
          <w:szCs w:val="24"/>
        </w:rPr>
        <w:t>sury Indicator a</w:t>
      </w:r>
      <w:r w:rsidRPr="003B66D5">
        <w:rPr>
          <w:rFonts w:cs="Arial"/>
          <w:b/>
          <w:noProof/>
          <w:color w:val="993366"/>
          <w:sz w:val="24"/>
          <w:szCs w:val="24"/>
        </w:rPr>
        <w:t xml:space="preserve">nd Limit (Treasury Indicator TI-5) </w:t>
      </w:r>
    </w:p>
    <w:p w14:paraId="272B955D" w14:textId="77777777" w:rsidR="00062BC5" w:rsidRPr="003B66D5" w:rsidRDefault="00062BC5" w:rsidP="00D71752">
      <w:pPr>
        <w:rPr>
          <w:rFonts w:cs="Arial"/>
          <w:b/>
          <w:noProof/>
          <w:color w:val="993366"/>
          <w:sz w:val="24"/>
          <w:szCs w:val="24"/>
        </w:rPr>
      </w:pPr>
    </w:p>
    <w:p w14:paraId="4E0DD485" w14:textId="313B0E87" w:rsidR="00FD5F3C" w:rsidRPr="005834B9" w:rsidRDefault="00417B2B" w:rsidP="00776C91">
      <w:pPr>
        <w:numPr>
          <w:ilvl w:val="3"/>
          <w:numId w:val="1"/>
        </w:numPr>
        <w:tabs>
          <w:tab w:val="clear" w:pos="3600"/>
          <w:tab w:val="num" w:pos="720"/>
        </w:tabs>
        <w:ind w:left="720" w:hanging="720"/>
        <w:rPr>
          <w:rFonts w:cs="Arial"/>
          <w:sz w:val="22"/>
          <w:szCs w:val="22"/>
        </w:rPr>
      </w:pPr>
      <w:r w:rsidRPr="005834B9">
        <w:rPr>
          <w:rFonts w:cs="Arial"/>
          <w:noProof/>
          <w:color w:val="000000"/>
          <w:sz w:val="22"/>
          <w:szCs w:val="22"/>
        </w:rPr>
        <w:t>T</w:t>
      </w:r>
      <w:r w:rsidR="00FC32FB">
        <w:rPr>
          <w:rFonts w:cs="Arial"/>
          <w:noProof/>
          <w:color w:val="000000"/>
          <w:sz w:val="22"/>
          <w:szCs w:val="22"/>
        </w:rPr>
        <w:t>his indicator is concerned with t</w:t>
      </w:r>
      <w:r w:rsidRPr="005834B9">
        <w:rPr>
          <w:rFonts w:cs="Arial"/>
          <w:noProof/>
          <w:color w:val="000000"/>
          <w:sz w:val="22"/>
          <w:szCs w:val="22"/>
        </w:rPr>
        <w:t>otal principal funds invested for greater than 365 days.  These limits are set with regard to the Council’s liquidity requirements and to reduce the need for early sale of</w:t>
      </w:r>
      <w:r w:rsidR="000B1F1F" w:rsidRPr="005834B9">
        <w:rPr>
          <w:rFonts w:cs="Arial"/>
          <w:noProof/>
          <w:color w:val="000000"/>
          <w:sz w:val="22"/>
          <w:szCs w:val="22"/>
        </w:rPr>
        <w:t xml:space="preserve"> an</w:t>
      </w:r>
      <w:r w:rsidRPr="005834B9">
        <w:rPr>
          <w:rFonts w:cs="Arial"/>
          <w:noProof/>
          <w:color w:val="000000"/>
          <w:sz w:val="22"/>
          <w:szCs w:val="22"/>
        </w:rPr>
        <w:t xml:space="preserve"> investment, and are based </w:t>
      </w:r>
      <w:r w:rsidR="000B1F1F" w:rsidRPr="005834B9">
        <w:rPr>
          <w:rFonts w:cs="Arial"/>
          <w:noProof/>
          <w:color w:val="000000"/>
          <w:sz w:val="22"/>
          <w:szCs w:val="22"/>
        </w:rPr>
        <w:t>o</w:t>
      </w:r>
      <w:r w:rsidRPr="005834B9">
        <w:rPr>
          <w:rFonts w:cs="Arial"/>
          <w:noProof/>
          <w:color w:val="000000"/>
          <w:sz w:val="22"/>
          <w:szCs w:val="22"/>
        </w:rPr>
        <w:t>n the availability of funds after each year end.</w:t>
      </w:r>
    </w:p>
    <w:p w14:paraId="304B143C" w14:textId="77777777" w:rsidR="00EA52CA" w:rsidRPr="005834B9" w:rsidRDefault="00EA52CA" w:rsidP="00EA52CA">
      <w:pPr>
        <w:rPr>
          <w:rFonts w:cs="Arial"/>
          <w:sz w:val="22"/>
          <w:szCs w:val="22"/>
        </w:rPr>
      </w:pPr>
    </w:p>
    <w:p w14:paraId="7F35DEC0" w14:textId="23C3083F" w:rsidR="00062BC5" w:rsidRPr="005834B9" w:rsidRDefault="00417B2B" w:rsidP="00CB02F6">
      <w:pPr>
        <w:rPr>
          <w:rFonts w:cs="Arial"/>
          <w:sz w:val="22"/>
          <w:szCs w:val="22"/>
        </w:rPr>
      </w:pPr>
      <w:r w:rsidRPr="005834B9">
        <w:rPr>
          <w:rFonts w:cs="Arial"/>
          <w:sz w:val="22"/>
          <w:szCs w:val="22"/>
        </w:rPr>
        <w:t>The Council is asked to approve the treasury indicator and limit:</w:t>
      </w:r>
    </w:p>
    <w:p w14:paraId="50AF64E9" w14:textId="77777777" w:rsidR="00062BC5" w:rsidRPr="005834B9" w:rsidRDefault="00062BC5" w:rsidP="005A2A46">
      <w:pPr>
        <w:jc w:val="both"/>
        <w:rPr>
          <w:rFonts w:cs="Arial"/>
          <w:noProof/>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1417"/>
        <w:gridCol w:w="1418"/>
        <w:gridCol w:w="1417"/>
        <w:gridCol w:w="1276"/>
        <w:gridCol w:w="1276"/>
      </w:tblGrid>
      <w:tr w:rsidR="00EA52CA" w:rsidRPr="005834B9" w14:paraId="0377719B" w14:textId="0C9D6676" w:rsidTr="00EA52CA">
        <w:tc>
          <w:tcPr>
            <w:tcW w:w="10632" w:type="dxa"/>
            <w:gridSpan w:val="7"/>
            <w:shd w:val="clear" w:color="auto" w:fill="C0C0C0"/>
          </w:tcPr>
          <w:p w14:paraId="0D707464" w14:textId="7B79AD42" w:rsidR="00EA52CA" w:rsidRPr="005834B9" w:rsidRDefault="00EA52CA" w:rsidP="00655B24">
            <w:pPr>
              <w:pStyle w:val="BodyText"/>
              <w:jc w:val="center"/>
              <w:rPr>
                <w:rFonts w:ascii="Arial" w:hAnsi="Arial" w:cs="Arial"/>
                <w:b/>
                <w:bCs/>
                <w:sz w:val="22"/>
                <w:szCs w:val="22"/>
              </w:rPr>
            </w:pPr>
            <w:r w:rsidRPr="005834B9">
              <w:rPr>
                <w:rFonts w:ascii="Arial" w:hAnsi="Arial" w:cs="Arial"/>
                <w:b/>
                <w:bCs/>
                <w:sz w:val="22"/>
                <w:szCs w:val="22"/>
              </w:rPr>
              <w:t xml:space="preserve">Maximum principal sums invested for longer than 365 </w:t>
            </w:r>
            <w:proofErr w:type="gramStart"/>
            <w:r w:rsidRPr="005834B9">
              <w:rPr>
                <w:rFonts w:ascii="Arial" w:hAnsi="Arial" w:cs="Arial"/>
                <w:b/>
                <w:bCs/>
                <w:sz w:val="22"/>
                <w:szCs w:val="22"/>
              </w:rPr>
              <w:t>days  (</w:t>
            </w:r>
            <w:proofErr w:type="gramEnd"/>
            <w:r w:rsidRPr="005834B9">
              <w:rPr>
                <w:rFonts w:ascii="Arial" w:hAnsi="Arial" w:cs="Arial"/>
                <w:b/>
                <w:bCs/>
                <w:sz w:val="22"/>
                <w:szCs w:val="22"/>
              </w:rPr>
              <w:t>TI-5)</w:t>
            </w:r>
          </w:p>
        </w:tc>
      </w:tr>
      <w:tr w:rsidR="00EA52CA" w:rsidRPr="005834B9" w14:paraId="373B3A25" w14:textId="2E2DEAA9" w:rsidTr="00EA52CA">
        <w:tc>
          <w:tcPr>
            <w:tcW w:w="2410" w:type="dxa"/>
            <w:shd w:val="clear" w:color="auto" w:fill="C0C0C0"/>
          </w:tcPr>
          <w:p w14:paraId="184DEE33" w14:textId="77777777" w:rsidR="00EA52CA" w:rsidRPr="005834B9" w:rsidRDefault="00EA52CA" w:rsidP="00FB4DFE">
            <w:pPr>
              <w:pStyle w:val="BodyText"/>
              <w:jc w:val="center"/>
              <w:rPr>
                <w:rFonts w:ascii="Arial" w:hAnsi="Arial" w:cs="Arial"/>
                <w:b/>
                <w:bCs/>
                <w:sz w:val="22"/>
                <w:szCs w:val="22"/>
              </w:rPr>
            </w:pPr>
            <w:r w:rsidRPr="005834B9">
              <w:rPr>
                <w:rFonts w:ascii="Arial" w:hAnsi="Arial" w:cs="Arial"/>
                <w:b/>
                <w:sz w:val="22"/>
                <w:szCs w:val="22"/>
              </w:rPr>
              <w:t>£m</w:t>
            </w:r>
          </w:p>
        </w:tc>
        <w:tc>
          <w:tcPr>
            <w:tcW w:w="1418" w:type="dxa"/>
            <w:shd w:val="clear" w:color="auto" w:fill="C0C0C0"/>
          </w:tcPr>
          <w:p w14:paraId="00B7D86C" w14:textId="77777777"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2023/24</w:t>
            </w:r>
          </w:p>
        </w:tc>
        <w:tc>
          <w:tcPr>
            <w:tcW w:w="1417" w:type="dxa"/>
            <w:shd w:val="clear" w:color="auto" w:fill="C0C0C0"/>
          </w:tcPr>
          <w:p w14:paraId="27F65C10" w14:textId="77777777"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2024/25</w:t>
            </w:r>
          </w:p>
        </w:tc>
        <w:tc>
          <w:tcPr>
            <w:tcW w:w="1418" w:type="dxa"/>
            <w:shd w:val="clear" w:color="auto" w:fill="C0C0C0"/>
          </w:tcPr>
          <w:p w14:paraId="31368777" w14:textId="77777777"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2025/26</w:t>
            </w:r>
          </w:p>
        </w:tc>
        <w:tc>
          <w:tcPr>
            <w:tcW w:w="1417" w:type="dxa"/>
            <w:shd w:val="clear" w:color="auto" w:fill="C0C0C0"/>
          </w:tcPr>
          <w:p w14:paraId="13F7A14F" w14:textId="77777777"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2026/27</w:t>
            </w:r>
          </w:p>
        </w:tc>
        <w:tc>
          <w:tcPr>
            <w:tcW w:w="1276" w:type="dxa"/>
            <w:shd w:val="clear" w:color="auto" w:fill="C0C0C0"/>
          </w:tcPr>
          <w:p w14:paraId="1DF410F5" w14:textId="77777777"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2027/28</w:t>
            </w:r>
          </w:p>
        </w:tc>
        <w:tc>
          <w:tcPr>
            <w:tcW w:w="1276" w:type="dxa"/>
            <w:shd w:val="clear" w:color="auto" w:fill="C0C0C0"/>
          </w:tcPr>
          <w:p w14:paraId="32901011" w14:textId="57B5ABB8" w:rsidR="00EA52CA" w:rsidRPr="005834B9" w:rsidRDefault="00EA52CA" w:rsidP="00AD1357">
            <w:pPr>
              <w:pStyle w:val="BodyText"/>
              <w:jc w:val="center"/>
              <w:rPr>
                <w:rFonts w:ascii="Arial" w:hAnsi="Arial" w:cs="Arial"/>
                <w:b/>
                <w:bCs/>
                <w:sz w:val="22"/>
                <w:szCs w:val="22"/>
              </w:rPr>
            </w:pPr>
            <w:r w:rsidRPr="005834B9">
              <w:rPr>
                <w:rFonts w:ascii="Arial" w:hAnsi="Arial" w:cs="Arial"/>
                <w:b/>
                <w:bCs/>
                <w:sz w:val="22"/>
                <w:szCs w:val="22"/>
              </w:rPr>
              <w:t>2028/29</w:t>
            </w:r>
          </w:p>
        </w:tc>
      </w:tr>
      <w:tr w:rsidR="00EA52CA" w:rsidRPr="005834B9" w14:paraId="635E42E3" w14:textId="5BC51844" w:rsidTr="00EA52CA">
        <w:tc>
          <w:tcPr>
            <w:tcW w:w="2410" w:type="dxa"/>
          </w:tcPr>
          <w:p w14:paraId="763262EF" w14:textId="77777777" w:rsidR="00EA52CA" w:rsidRPr="005834B9" w:rsidRDefault="00EA52CA" w:rsidP="00EA52CA">
            <w:pPr>
              <w:pStyle w:val="BodyText"/>
              <w:rPr>
                <w:rFonts w:ascii="Arial" w:hAnsi="Arial" w:cs="Arial"/>
                <w:bCs/>
                <w:sz w:val="22"/>
                <w:szCs w:val="22"/>
              </w:rPr>
            </w:pPr>
            <w:r w:rsidRPr="005834B9">
              <w:rPr>
                <w:rFonts w:ascii="Arial" w:hAnsi="Arial" w:cs="Arial"/>
                <w:bCs/>
                <w:sz w:val="22"/>
                <w:szCs w:val="22"/>
              </w:rPr>
              <w:t>Principal sums invested for longer than 365 days</w:t>
            </w:r>
          </w:p>
        </w:tc>
        <w:tc>
          <w:tcPr>
            <w:tcW w:w="1418" w:type="dxa"/>
            <w:vAlign w:val="center"/>
          </w:tcPr>
          <w:p w14:paraId="060A69E8" w14:textId="77777777"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c>
          <w:tcPr>
            <w:tcW w:w="1417" w:type="dxa"/>
            <w:vAlign w:val="center"/>
          </w:tcPr>
          <w:p w14:paraId="588D9F27" w14:textId="77777777"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c>
          <w:tcPr>
            <w:tcW w:w="1418" w:type="dxa"/>
            <w:vAlign w:val="center"/>
          </w:tcPr>
          <w:p w14:paraId="4C1F8C02" w14:textId="77777777"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c>
          <w:tcPr>
            <w:tcW w:w="1417" w:type="dxa"/>
            <w:vAlign w:val="center"/>
          </w:tcPr>
          <w:p w14:paraId="714B17B1" w14:textId="77777777"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c>
          <w:tcPr>
            <w:tcW w:w="1276" w:type="dxa"/>
            <w:vAlign w:val="center"/>
          </w:tcPr>
          <w:p w14:paraId="68D8E1E0" w14:textId="77777777"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c>
          <w:tcPr>
            <w:tcW w:w="1276" w:type="dxa"/>
            <w:vAlign w:val="center"/>
          </w:tcPr>
          <w:p w14:paraId="3340DC78" w14:textId="311A311E" w:rsidR="00EA52CA" w:rsidRPr="005834B9" w:rsidRDefault="00EA52CA" w:rsidP="00EA52CA">
            <w:pPr>
              <w:pStyle w:val="BodyText"/>
              <w:jc w:val="center"/>
              <w:rPr>
                <w:rFonts w:ascii="Arial" w:hAnsi="Arial" w:cs="Arial"/>
                <w:sz w:val="22"/>
                <w:szCs w:val="22"/>
              </w:rPr>
            </w:pPr>
            <w:r w:rsidRPr="005834B9">
              <w:rPr>
                <w:rFonts w:ascii="Arial" w:hAnsi="Arial" w:cs="Arial"/>
                <w:sz w:val="22"/>
                <w:szCs w:val="22"/>
              </w:rPr>
              <w:t>20%</w:t>
            </w:r>
          </w:p>
        </w:tc>
      </w:tr>
    </w:tbl>
    <w:p w14:paraId="5AA20852" w14:textId="472B7051" w:rsidR="00EA52CA" w:rsidRPr="005834B9" w:rsidRDefault="00EA52CA" w:rsidP="00EA52CA">
      <w:pPr>
        <w:tabs>
          <w:tab w:val="num" w:pos="2700"/>
        </w:tabs>
        <w:ind w:left="540"/>
        <w:rPr>
          <w:rFonts w:cs="Arial"/>
          <w:b/>
          <w:color w:val="993366"/>
          <w:sz w:val="24"/>
          <w:szCs w:val="24"/>
        </w:rPr>
      </w:pPr>
    </w:p>
    <w:p w14:paraId="3238E99D" w14:textId="28081F35" w:rsidR="002D20B4" w:rsidRPr="005834B9" w:rsidRDefault="00062BC5" w:rsidP="00EA52CA">
      <w:pPr>
        <w:numPr>
          <w:ilvl w:val="3"/>
          <w:numId w:val="1"/>
        </w:numPr>
        <w:tabs>
          <w:tab w:val="clear" w:pos="3600"/>
          <w:tab w:val="num" w:pos="567"/>
          <w:tab w:val="num" w:pos="720"/>
          <w:tab w:val="num" w:pos="2700"/>
        </w:tabs>
        <w:ind w:left="540" w:hanging="540"/>
        <w:rPr>
          <w:rFonts w:cs="Arial"/>
          <w:b/>
          <w:color w:val="993366"/>
          <w:sz w:val="24"/>
          <w:szCs w:val="24"/>
        </w:rPr>
      </w:pPr>
      <w:r w:rsidRPr="005834B9">
        <w:rPr>
          <w:rFonts w:cs="Arial"/>
          <w:noProof/>
          <w:sz w:val="22"/>
          <w:szCs w:val="22"/>
          <w:lang w:eastAsia="en-GB"/>
        </w:rPr>
        <w:t xml:space="preserve">For positive cash balances and in order to maintain liquidity, the Council will seek to use overnight investment accounts, short term (&lt; 1 month) notice accounts, money market funds and short-dated deposits (overnight to three months).  </w:t>
      </w:r>
      <w:r w:rsidRPr="005834B9">
        <w:rPr>
          <w:rFonts w:cs="Arial"/>
          <w:noProof/>
          <w:sz w:val="22"/>
          <w:szCs w:val="22"/>
          <w:lang w:eastAsia="en-GB"/>
        </w:rPr>
        <w:br/>
      </w:r>
    </w:p>
    <w:p w14:paraId="4C66FC22" w14:textId="77777777" w:rsidR="00062BC5" w:rsidRPr="005834B9" w:rsidRDefault="00CB02F6" w:rsidP="00776C91">
      <w:pPr>
        <w:numPr>
          <w:ilvl w:val="1"/>
          <w:numId w:val="16"/>
        </w:numPr>
        <w:tabs>
          <w:tab w:val="num" w:pos="540"/>
          <w:tab w:val="num" w:pos="2160"/>
        </w:tabs>
        <w:ind w:left="540" w:hanging="540"/>
        <w:rPr>
          <w:rFonts w:cs="Arial"/>
          <w:b/>
          <w:color w:val="993366"/>
          <w:sz w:val="24"/>
          <w:szCs w:val="24"/>
        </w:rPr>
      </w:pPr>
      <w:r w:rsidRPr="005834B9">
        <w:rPr>
          <w:rFonts w:cs="Arial"/>
          <w:b/>
          <w:iCs/>
          <w:color w:val="993366"/>
          <w:sz w:val="24"/>
          <w:szCs w:val="24"/>
        </w:rPr>
        <w:t xml:space="preserve">Investment </w:t>
      </w:r>
      <w:r w:rsidR="00062BC5" w:rsidRPr="005834B9">
        <w:rPr>
          <w:rFonts w:cs="Arial"/>
          <w:b/>
          <w:iCs/>
          <w:color w:val="993366"/>
          <w:sz w:val="24"/>
          <w:szCs w:val="24"/>
        </w:rPr>
        <w:t>Risk Benchmarking</w:t>
      </w:r>
      <w:r w:rsidR="00062BC5" w:rsidRPr="005834B9">
        <w:rPr>
          <w:rFonts w:cs="Arial"/>
          <w:b/>
          <w:color w:val="993366"/>
          <w:sz w:val="24"/>
          <w:szCs w:val="24"/>
        </w:rPr>
        <w:t xml:space="preserve"> </w:t>
      </w:r>
    </w:p>
    <w:p w14:paraId="25E384DC" w14:textId="77777777" w:rsidR="00062BC5" w:rsidRPr="005834B9" w:rsidRDefault="00062BC5" w:rsidP="00865D76">
      <w:pPr>
        <w:ind w:left="567"/>
        <w:rPr>
          <w:rFonts w:cs="Arial"/>
          <w:iCs/>
          <w:sz w:val="22"/>
          <w:szCs w:val="22"/>
        </w:rPr>
      </w:pPr>
    </w:p>
    <w:p w14:paraId="246CC3F7" w14:textId="77777777" w:rsidR="00673F84" w:rsidRPr="005834B9" w:rsidRDefault="00673F84" w:rsidP="00673F84">
      <w:pPr>
        <w:pStyle w:val="body"/>
        <w:ind w:left="540"/>
      </w:pPr>
      <w:r w:rsidRPr="005834B9">
        <w:t>These benchmarks are simple guides to maximum risk, so they may be breached from time to time, depending on movements in interest rates and counterparty criteria.  The purpose of the benchmark is that officers will monitor the current and trend position and amend the operational strategy to manage risk as conditions change.  Any breach of the benchmarks will be reported, with supporting reasons in the mid-year or Annual Report.</w:t>
      </w:r>
    </w:p>
    <w:p w14:paraId="7BA69E9D" w14:textId="77777777" w:rsidR="00FA5486" w:rsidRPr="005834B9" w:rsidRDefault="00FA5486" w:rsidP="00865D76">
      <w:pPr>
        <w:rPr>
          <w:rFonts w:cs="Arial"/>
          <w:iCs/>
          <w:szCs w:val="22"/>
        </w:rPr>
      </w:pPr>
    </w:p>
    <w:p w14:paraId="421FDC9B" w14:textId="77777777" w:rsidR="00062BC5" w:rsidRPr="005834B9" w:rsidRDefault="00062BC5" w:rsidP="000B1F1F">
      <w:pPr>
        <w:pStyle w:val="ListParagraph"/>
        <w:numPr>
          <w:ilvl w:val="2"/>
          <w:numId w:val="16"/>
        </w:numPr>
        <w:rPr>
          <w:rFonts w:cs="Arial"/>
          <w:b/>
          <w:iCs/>
          <w:color w:val="993366"/>
          <w:sz w:val="24"/>
          <w:szCs w:val="24"/>
        </w:rPr>
      </w:pPr>
      <w:r w:rsidRPr="005834B9">
        <w:rPr>
          <w:rFonts w:cs="Arial"/>
          <w:b/>
          <w:iCs/>
          <w:color w:val="993366"/>
          <w:sz w:val="24"/>
          <w:szCs w:val="24"/>
        </w:rPr>
        <w:t>Security</w:t>
      </w:r>
    </w:p>
    <w:p w14:paraId="5B5EEB9E" w14:textId="77777777" w:rsidR="000B1F1F" w:rsidRPr="005834B9" w:rsidRDefault="000B1F1F" w:rsidP="000B1F1F">
      <w:pPr>
        <w:pStyle w:val="ListParagraph"/>
        <w:ind w:left="567"/>
        <w:rPr>
          <w:rFonts w:cs="Arial"/>
          <w:b/>
          <w:iCs/>
          <w:color w:val="993366"/>
          <w:sz w:val="24"/>
          <w:szCs w:val="24"/>
        </w:rPr>
      </w:pPr>
    </w:p>
    <w:p w14:paraId="6381E6E9" w14:textId="572A10D3" w:rsidR="00062BC5" w:rsidRPr="005834B9" w:rsidRDefault="00062BC5" w:rsidP="000B1F1F">
      <w:pPr>
        <w:ind w:left="539"/>
        <w:rPr>
          <w:rFonts w:cs="Arial"/>
          <w:iCs/>
          <w:color w:val="993366"/>
          <w:sz w:val="24"/>
          <w:szCs w:val="24"/>
        </w:rPr>
      </w:pPr>
      <w:r w:rsidRPr="005834B9">
        <w:rPr>
          <w:rFonts w:cs="Arial"/>
          <w:iCs/>
          <w:sz w:val="22"/>
          <w:szCs w:val="22"/>
        </w:rPr>
        <w:t xml:space="preserve">The Council’s </w:t>
      </w:r>
      <w:proofErr w:type="gramStart"/>
      <w:r w:rsidRPr="005834B9">
        <w:rPr>
          <w:rFonts w:cs="Arial"/>
          <w:b/>
          <w:iCs/>
          <w:sz w:val="22"/>
          <w:szCs w:val="22"/>
        </w:rPr>
        <w:t>maximum</w:t>
      </w:r>
      <w:r w:rsidRPr="005834B9">
        <w:rPr>
          <w:rFonts w:cs="Arial"/>
          <w:iCs/>
          <w:sz w:val="22"/>
          <w:szCs w:val="22"/>
        </w:rPr>
        <w:t xml:space="preserve"> security</w:t>
      </w:r>
      <w:proofErr w:type="gramEnd"/>
      <w:r w:rsidRPr="005834B9">
        <w:rPr>
          <w:rFonts w:cs="Arial"/>
          <w:iCs/>
          <w:sz w:val="22"/>
          <w:szCs w:val="22"/>
        </w:rPr>
        <w:t xml:space="preserve"> risk for the current portfolio, when compared</w:t>
      </w:r>
      <w:r w:rsidR="00FE01C8" w:rsidRPr="005834B9">
        <w:rPr>
          <w:rFonts w:cs="Arial"/>
          <w:iCs/>
          <w:sz w:val="22"/>
          <w:szCs w:val="22"/>
        </w:rPr>
        <w:t xml:space="preserve"> to historic default tables, is:</w:t>
      </w:r>
    </w:p>
    <w:p w14:paraId="098462AC" w14:textId="77777777" w:rsidR="00062BC5" w:rsidRPr="005834B9" w:rsidRDefault="00062BC5" w:rsidP="00FE01C8">
      <w:pPr>
        <w:rPr>
          <w:rFonts w:cs="Arial"/>
          <w:iCs/>
          <w:sz w:val="22"/>
          <w:szCs w:val="22"/>
        </w:rPr>
      </w:pPr>
    </w:p>
    <w:p w14:paraId="36CA14C9" w14:textId="4005B169" w:rsidR="00062BC5" w:rsidRPr="005834B9" w:rsidRDefault="00FE01C8" w:rsidP="00C67F8C">
      <w:pPr>
        <w:ind w:firstLine="720"/>
        <w:rPr>
          <w:rFonts w:cs="Arial"/>
          <w:iCs/>
          <w:sz w:val="22"/>
          <w:szCs w:val="22"/>
        </w:rPr>
      </w:pPr>
      <w:r w:rsidRPr="005834B9">
        <w:rPr>
          <w:rFonts w:cs="Arial"/>
          <w:b/>
          <w:bCs/>
          <w:iCs/>
          <w:sz w:val="22"/>
          <w:szCs w:val="22"/>
        </w:rPr>
        <w:t>0.0</w:t>
      </w:r>
      <w:r w:rsidR="00A4393D" w:rsidRPr="005834B9">
        <w:rPr>
          <w:rFonts w:cs="Arial"/>
          <w:b/>
          <w:bCs/>
          <w:iCs/>
          <w:sz w:val="22"/>
          <w:szCs w:val="22"/>
        </w:rPr>
        <w:t>0</w:t>
      </w:r>
      <w:r w:rsidRPr="005834B9">
        <w:rPr>
          <w:rFonts w:cs="Arial"/>
          <w:b/>
          <w:bCs/>
          <w:iCs/>
          <w:sz w:val="22"/>
          <w:szCs w:val="22"/>
        </w:rPr>
        <w:t>2</w:t>
      </w:r>
      <w:r w:rsidR="00062BC5" w:rsidRPr="005834B9">
        <w:rPr>
          <w:rFonts w:cs="Arial"/>
          <w:b/>
          <w:bCs/>
          <w:iCs/>
          <w:sz w:val="22"/>
          <w:szCs w:val="22"/>
        </w:rPr>
        <w:t>% his</w:t>
      </w:r>
      <w:r w:rsidR="00062BC5" w:rsidRPr="005834B9">
        <w:rPr>
          <w:rFonts w:cs="Arial"/>
          <w:b/>
          <w:bCs/>
          <w:sz w:val="22"/>
          <w:szCs w:val="22"/>
        </w:rPr>
        <w:t>toric risk of default when compared to the whole portfolio.</w:t>
      </w:r>
    </w:p>
    <w:p w14:paraId="018C349F" w14:textId="77777777" w:rsidR="00062BC5" w:rsidRPr="005834B9" w:rsidRDefault="00062BC5" w:rsidP="00054C4E">
      <w:pPr>
        <w:ind w:left="720"/>
        <w:rPr>
          <w:rFonts w:cs="Arial"/>
          <w:iCs/>
          <w:szCs w:val="22"/>
        </w:rPr>
      </w:pPr>
    </w:p>
    <w:p w14:paraId="7ACB63D1" w14:textId="77777777" w:rsidR="00062BC5" w:rsidRPr="005834B9" w:rsidRDefault="00062BC5" w:rsidP="00770869">
      <w:pPr>
        <w:ind w:left="540" w:hanging="540"/>
        <w:rPr>
          <w:rFonts w:cs="Arial"/>
          <w:iCs/>
          <w:color w:val="993366"/>
          <w:sz w:val="24"/>
          <w:szCs w:val="24"/>
        </w:rPr>
      </w:pPr>
      <w:r w:rsidRPr="005834B9">
        <w:rPr>
          <w:rFonts w:cs="Arial"/>
          <w:b/>
          <w:iCs/>
          <w:color w:val="993366"/>
          <w:sz w:val="24"/>
          <w:szCs w:val="24"/>
        </w:rPr>
        <w:t>b)</w:t>
      </w:r>
      <w:r w:rsidRPr="005834B9">
        <w:rPr>
          <w:rFonts w:cs="Arial"/>
          <w:b/>
          <w:iCs/>
          <w:color w:val="993366"/>
          <w:sz w:val="24"/>
          <w:szCs w:val="24"/>
        </w:rPr>
        <w:tab/>
        <w:t>Liquidity</w:t>
      </w:r>
      <w:r w:rsidRPr="005834B9">
        <w:rPr>
          <w:rFonts w:cs="Arial"/>
          <w:b/>
          <w:iCs/>
          <w:color w:val="993366"/>
          <w:sz w:val="24"/>
          <w:szCs w:val="24"/>
        </w:rPr>
        <w:br/>
      </w:r>
    </w:p>
    <w:p w14:paraId="67C141A2" w14:textId="77777777" w:rsidR="00062BC5" w:rsidRPr="005834B9" w:rsidRDefault="00062BC5" w:rsidP="00770869">
      <w:pPr>
        <w:ind w:left="540"/>
        <w:rPr>
          <w:rFonts w:cs="Arial"/>
          <w:iCs/>
          <w:sz w:val="22"/>
          <w:szCs w:val="22"/>
        </w:rPr>
      </w:pPr>
      <w:r w:rsidRPr="005834B9">
        <w:rPr>
          <w:rFonts w:cs="Arial"/>
          <w:iCs/>
          <w:sz w:val="22"/>
          <w:szCs w:val="22"/>
        </w:rPr>
        <w:t>In respect of this area the Council seeks to maintain:</w:t>
      </w:r>
      <w:r w:rsidRPr="005834B9">
        <w:rPr>
          <w:rFonts w:cs="Arial"/>
          <w:iCs/>
          <w:sz w:val="22"/>
          <w:szCs w:val="22"/>
        </w:rPr>
        <w:br/>
      </w:r>
    </w:p>
    <w:p w14:paraId="7BFFE134" w14:textId="614F14DD" w:rsidR="00062BC5" w:rsidRPr="005834B9" w:rsidRDefault="00062BC5" w:rsidP="00776C91">
      <w:pPr>
        <w:numPr>
          <w:ilvl w:val="0"/>
          <w:numId w:val="17"/>
        </w:numPr>
        <w:tabs>
          <w:tab w:val="clear" w:pos="720"/>
          <w:tab w:val="num" w:pos="1440"/>
          <w:tab w:val="left" w:pos="2700"/>
          <w:tab w:val="right" w:pos="2880"/>
        </w:tabs>
        <w:ind w:left="1440"/>
        <w:rPr>
          <w:rFonts w:cs="Arial"/>
          <w:iCs/>
          <w:sz w:val="22"/>
          <w:szCs w:val="22"/>
        </w:rPr>
      </w:pPr>
      <w:r w:rsidRPr="005834B9">
        <w:rPr>
          <w:rFonts w:cs="Arial"/>
          <w:iCs/>
          <w:sz w:val="22"/>
          <w:szCs w:val="22"/>
        </w:rPr>
        <w:t>Bank Overdraft:</w:t>
      </w:r>
      <w:r w:rsidRPr="005834B9">
        <w:rPr>
          <w:rFonts w:cs="Arial"/>
          <w:iCs/>
          <w:sz w:val="22"/>
          <w:szCs w:val="22"/>
        </w:rPr>
        <w:tab/>
        <w:t>£</w:t>
      </w:r>
      <w:r w:rsidR="004362CB" w:rsidRPr="005834B9">
        <w:rPr>
          <w:rFonts w:cs="Arial"/>
          <w:iCs/>
          <w:sz w:val="22"/>
          <w:szCs w:val="22"/>
        </w:rPr>
        <w:t>2</w:t>
      </w:r>
      <w:r w:rsidR="002A3395" w:rsidRPr="005834B9">
        <w:rPr>
          <w:rFonts w:cs="Arial"/>
          <w:iCs/>
          <w:sz w:val="22"/>
          <w:szCs w:val="22"/>
        </w:rPr>
        <w:t>,00</w:t>
      </w:r>
      <w:r w:rsidRPr="005834B9">
        <w:rPr>
          <w:rFonts w:cs="Arial"/>
          <w:iCs/>
          <w:sz w:val="22"/>
          <w:szCs w:val="22"/>
        </w:rPr>
        <w:t>0,000</w:t>
      </w:r>
      <w:r w:rsidRPr="005834B9">
        <w:rPr>
          <w:rFonts w:cs="Arial"/>
          <w:iCs/>
          <w:sz w:val="22"/>
          <w:szCs w:val="22"/>
        </w:rPr>
        <w:br/>
      </w:r>
    </w:p>
    <w:p w14:paraId="226F83AD" w14:textId="77777777" w:rsidR="00062BC5" w:rsidRPr="005834B9" w:rsidRDefault="00062BC5" w:rsidP="00776C91">
      <w:pPr>
        <w:numPr>
          <w:ilvl w:val="2"/>
          <w:numId w:val="17"/>
        </w:numPr>
        <w:tabs>
          <w:tab w:val="clear" w:pos="2160"/>
          <w:tab w:val="num" w:pos="1440"/>
          <w:tab w:val="right" w:pos="5040"/>
        </w:tabs>
        <w:ind w:left="1440"/>
        <w:rPr>
          <w:rFonts w:cs="Arial"/>
          <w:iCs/>
          <w:sz w:val="22"/>
          <w:szCs w:val="22"/>
        </w:rPr>
      </w:pPr>
      <w:r w:rsidRPr="005834B9">
        <w:rPr>
          <w:rFonts w:cs="Arial"/>
          <w:iCs/>
          <w:sz w:val="22"/>
          <w:szCs w:val="22"/>
        </w:rPr>
        <w:t xml:space="preserve">Liquid </w:t>
      </w:r>
      <w:proofErr w:type="gramStart"/>
      <w:r w:rsidRPr="005834B9">
        <w:rPr>
          <w:rFonts w:cs="Arial"/>
          <w:iCs/>
          <w:sz w:val="22"/>
          <w:szCs w:val="22"/>
        </w:rPr>
        <w:t>short term</w:t>
      </w:r>
      <w:proofErr w:type="gramEnd"/>
      <w:r w:rsidRPr="005834B9">
        <w:rPr>
          <w:rFonts w:cs="Arial"/>
          <w:iCs/>
          <w:sz w:val="22"/>
          <w:szCs w:val="22"/>
        </w:rPr>
        <w:t xml:space="preserve"> deposits of at least £</w:t>
      </w:r>
      <w:r w:rsidR="00FB4DFE" w:rsidRPr="005834B9">
        <w:rPr>
          <w:rFonts w:cs="Arial"/>
          <w:iCs/>
          <w:sz w:val="22"/>
          <w:szCs w:val="22"/>
        </w:rPr>
        <w:t>1</w:t>
      </w:r>
      <w:r w:rsidRPr="005834B9">
        <w:rPr>
          <w:rFonts w:cs="Arial"/>
          <w:iCs/>
          <w:sz w:val="22"/>
          <w:szCs w:val="22"/>
        </w:rPr>
        <w:t>,</w:t>
      </w:r>
      <w:r w:rsidR="00FB4DFE" w:rsidRPr="005834B9">
        <w:rPr>
          <w:rFonts w:cs="Arial"/>
          <w:iCs/>
          <w:sz w:val="22"/>
          <w:szCs w:val="22"/>
        </w:rPr>
        <w:t>5</w:t>
      </w:r>
      <w:r w:rsidRPr="005834B9">
        <w:rPr>
          <w:rFonts w:cs="Arial"/>
          <w:iCs/>
          <w:sz w:val="22"/>
          <w:szCs w:val="22"/>
        </w:rPr>
        <w:t>00,000 available with a week’s notice.</w:t>
      </w:r>
      <w:r w:rsidRPr="005834B9">
        <w:rPr>
          <w:rFonts w:cs="Arial"/>
          <w:iCs/>
          <w:sz w:val="22"/>
          <w:szCs w:val="22"/>
        </w:rPr>
        <w:br/>
      </w:r>
    </w:p>
    <w:p w14:paraId="2B1B3A06" w14:textId="1A14727F" w:rsidR="00062BC5" w:rsidRPr="005834B9" w:rsidRDefault="00062BC5" w:rsidP="00776C91">
      <w:pPr>
        <w:numPr>
          <w:ilvl w:val="2"/>
          <w:numId w:val="17"/>
        </w:numPr>
        <w:tabs>
          <w:tab w:val="clear" w:pos="2160"/>
          <w:tab w:val="num" w:pos="1440"/>
          <w:tab w:val="right" w:pos="5040"/>
        </w:tabs>
        <w:ind w:left="1440"/>
        <w:rPr>
          <w:rFonts w:cs="Arial"/>
          <w:iCs/>
          <w:sz w:val="22"/>
          <w:szCs w:val="22"/>
        </w:rPr>
      </w:pPr>
      <w:r w:rsidRPr="005834B9">
        <w:rPr>
          <w:rFonts w:cs="Arial"/>
          <w:iCs/>
          <w:sz w:val="22"/>
          <w:szCs w:val="22"/>
        </w:rPr>
        <w:t xml:space="preserve">Weighted Average Life is </w:t>
      </w:r>
      <w:r w:rsidRPr="005834B9">
        <w:rPr>
          <w:rFonts w:cs="Arial"/>
          <w:b/>
          <w:iCs/>
          <w:sz w:val="22"/>
          <w:szCs w:val="22"/>
        </w:rPr>
        <w:t>expected to be 0.5 years</w:t>
      </w:r>
      <w:r w:rsidRPr="005834B9">
        <w:rPr>
          <w:rFonts w:cs="Arial"/>
          <w:iCs/>
          <w:sz w:val="22"/>
          <w:szCs w:val="22"/>
        </w:rPr>
        <w:t xml:space="preserve"> (equivalent to </w:t>
      </w:r>
      <w:proofErr w:type="gramStart"/>
      <w:r w:rsidRPr="005834B9">
        <w:rPr>
          <w:rFonts w:cs="Arial"/>
          <w:iCs/>
          <w:sz w:val="22"/>
          <w:szCs w:val="22"/>
        </w:rPr>
        <w:t>an</w:t>
      </w:r>
      <w:proofErr w:type="gramEnd"/>
      <w:r w:rsidRPr="005834B9">
        <w:rPr>
          <w:rFonts w:cs="Arial"/>
          <w:iCs/>
          <w:sz w:val="22"/>
          <w:szCs w:val="22"/>
        </w:rPr>
        <w:t xml:space="preserve"> weighted average life of 6 months), with a </w:t>
      </w:r>
      <w:r w:rsidRPr="005834B9">
        <w:rPr>
          <w:rFonts w:cs="Arial"/>
          <w:b/>
          <w:iCs/>
          <w:sz w:val="22"/>
          <w:szCs w:val="22"/>
        </w:rPr>
        <w:t>maximum of 1.00 years</w:t>
      </w:r>
    </w:p>
    <w:p w14:paraId="4E8DB82B" w14:textId="77777777" w:rsidR="00062BC5" w:rsidRPr="005834B9" w:rsidRDefault="00062BC5" w:rsidP="00513B8B">
      <w:pPr>
        <w:tabs>
          <w:tab w:val="right" w:pos="1440"/>
        </w:tabs>
        <w:ind w:left="1440" w:hanging="720"/>
        <w:rPr>
          <w:rFonts w:cs="Arial"/>
          <w:b/>
          <w:iCs/>
          <w:color w:val="993366"/>
          <w:sz w:val="24"/>
          <w:szCs w:val="24"/>
        </w:rPr>
      </w:pPr>
    </w:p>
    <w:p w14:paraId="2DDF281B" w14:textId="77777777" w:rsidR="00062BC5" w:rsidRPr="005834B9" w:rsidRDefault="00062BC5" w:rsidP="00770869">
      <w:pPr>
        <w:tabs>
          <w:tab w:val="right" w:pos="720"/>
        </w:tabs>
        <w:ind w:left="540" w:hanging="540"/>
        <w:rPr>
          <w:rFonts w:cs="Arial"/>
          <w:iCs/>
          <w:color w:val="993366"/>
          <w:sz w:val="24"/>
          <w:szCs w:val="24"/>
        </w:rPr>
      </w:pPr>
      <w:r w:rsidRPr="005834B9">
        <w:rPr>
          <w:rFonts w:cs="Arial"/>
          <w:b/>
          <w:iCs/>
          <w:color w:val="993366"/>
          <w:sz w:val="24"/>
          <w:szCs w:val="24"/>
        </w:rPr>
        <w:t>c)</w:t>
      </w:r>
      <w:r w:rsidRPr="005834B9">
        <w:rPr>
          <w:rFonts w:cs="Arial"/>
          <w:b/>
          <w:iCs/>
          <w:color w:val="993366"/>
          <w:sz w:val="24"/>
          <w:szCs w:val="24"/>
        </w:rPr>
        <w:tab/>
        <w:t>Yield</w:t>
      </w:r>
      <w:r w:rsidRPr="005834B9">
        <w:rPr>
          <w:rFonts w:cs="Arial"/>
          <w:b/>
          <w:iCs/>
          <w:color w:val="993366"/>
          <w:sz w:val="24"/>
          <w:szCs w:val="24"/>
        </w:rPr>
        <w:br/>
      </w:r>
    </w:p>
    <w:p w14:paraId="65126F85" w14:textId="256B4224" w:rsidR="00062BC5" w:rsidRPr="005834B9" w:rsidRDefault="00062BC5" w:rsidP="00770869">
      <w:pPr>
        <w:tabs>
          <w:tab w:val="right" w:pos="5040"/>
        </w:tabs>
        <w:ind w:left="540"/>
        <w:rPr>
          <w:rFonts w:cs="Arial"/>
          <w:b/>
          <w:iCs/>
          <w:sz w:val="22"/>
          <w:szCs w:val="22"/>
        </w:rPr>
      </w:pPr>
      <w:r w:rsidRPr="005834B9">
        <w:rPr>
          <w:rFonts w:cs="Arial"/>
          <w:iCs/>
          <w:sz w:val="22"/>
          <w:szCs w:val="22"/>
        </w:rPr>
        <w:t>Local measures of yield are:</w:t>
      </w:r>
      <w:r w:rsidRPr="005834B9">
        <w:rPr>
          <w:rFonts w:cs="Arial"/>
          <w:iCs/>
          <w:sz w:val="22"/>
          <w:szCs w:val="22"/>
        </w:rPr>
        <w:br/>
      </w:r>
      <w:r w:rsidRPr="005834B9">
        <w:rPr>
          <w:rFonts w:cs="Arial"/>
          <w:iCs/>
          <w:sz w:val="22"/>
          <w:szCs w:val="22"/>
        </w:rPr>
        <w:br/>
      </w:r>
      <w:r w:rsidRPr="005834B9">
        <w:rPr>
          <w:rFonts w:cs="Arial"/>
          <w:iCs/>
          <w:sz w:val="22"/>
          <w:szCs w:val="22"/>
        </w:rPr>
        <w:tab/>
        <w:t xml:space="preserve">Investments – </w:t>
      </w:r>
      <w:r w:rsidR="00850EA6" w:rsidRPr="00D26131">
        <w:rPr>
          <w:rFonts w:cs="Arial"/>
          <w:b/>
          <w:iCs/>
          <w:sz w:val="22"/>
          <w:szCs w:val="22"/>
        </w:rPr>
        <w:t xml:space="preserve">Internal returns above the 365 </w:t>
      </w:r>
      <w:proofErr w:type="gramStart"/>
      <w:r w:rsidR="00850EA6" w:rsidRPr="00D26131">
        <w:rPr>
          <w:rFonts w:cs="Arial"/>
          <w:b/>
          <w:iCs/>
          <w:sz w:val="22"/>
          <w:szCs w:val="22"/>
        </w:rPr>
        <w:t>day</w:t>
      </w:r>
      <w:proofErr w:type="gramEnd"/>
      <w:r w:rsidR="00850EA6" w:rsidRPr="00D26131">
        <w:rPr>
          <w:rFonts w:cs="Arial"/>
          <w:b/>
          <w:iCs/>
          <w:sz w:val="22"/>
          <w:szCs w:val="22"/>
        </w:rPr>
        <w:t xml:space="preserve"> backward looking SONIA (Sterling</w:t>
      </w:r>
      <w:r w:rsidR="00850EA6">
        <w:rPr>
          <w:rFonts w:cs="Arial"/>
          <w:b/>
          <w:iCs/>
          <w:sz w:val="22"/>
          <w:szCs w:val="22"/>
        </w:rPr>
        <w:t xml:space="preserve"> </w:t>
      </w:r>
      <w:r w:rsidR="00850EA6" w:rsidRPr="00D26131">
        <w:rPr>
          <w:rFonts w:cs="Arial"/>
          <w:b/>
          <w:iCs/>
          <w:sz w:val="22"/>
          <w:szCs w:val="22"/>
        </w:rPr>
        <w:t>Overnight Index Average) uncompounded rate</w:t>
      </w:r>
      <w:r w:rsidR="00850EA6" w:rsidRPr="005834B9">
        <w:rPr>
          <w:rFonts w:cs="Arial"/>
          <w:b/>
          <w:iCs/>
          <w:sz w:val="22"/>
          <w:szCs w:val="22"/>
        </w:rPr>
        <w:t xml:space="preserve"> </w:t>
      </w:r>
    </w:p>
    <w:p w14:paraId="0F4D27BF" w14:textId="77777777" w:rsidR="00B2405D" w:rsidRPr="005834B9" w:rsidRDefault="00B2405D" w:rsidP="00770869">
      <w:pPr>
        <w:tabs>
          <w:tab w:val="right" w:pos="5040"/>
        </w:tabs>
        <w:ind w:left="540"/>
        <w:rPr>
          <w:rFonts w:cs="Arial"/>
          <w:iCs/>
          <w:sz w:val="22"/>
          <w:szCs w:val="22"/>
        </w:rPr>
      </w:pPr>
    </w:p>
    <w:p w14:paraId="1DFA897B" w14:textId="2E5236F0" w:rsidR="00483399" w:rsidRPr="005675DE" w:rsidRDefault="00EA52CA" w:rsidP="00EA52CA">
      <w:pPr>
        <w:tabs>
          <w:tab w:val="left" w:pos="567"/>
          <w:tab w:val="right" w:pos="5040"/>
        </w:tabs>
        <w:ind w:left="540"/>
        <w:rPr>
          <w:rFonts w:cs="Arial"/>
          <w:iCs/>
          <w:sz w:val="22"/>
          <w:szCs w:val="22"/>
        </w:rPr>
      </w:pPr>
      <w:r w:rsidRPr="005834B9">
        <w:rPr>
          <w:rFonts w:cs="Arial"/>
          <w:iCs/>
          <w:sz w:val="22"/>
          <w:szCs w:val="22"/>
        </w:rPr>
        <w:tab/>
      </w:r>
      <w:r w:rsidR="00062BC5" w:rsidRPr="005675DE">
        <w:rPr>
          <w:rFonts w:cs="Arial"/>
          <w:iCs/>
          <w:sz w:val="22"/>
          <w:szCs w:val="22"/>
        </w:rPr>
        <w:t>At the end of the financial year, the</w:t>
      </w:r>
      <w:r w:rsidRPr="005675DE">
        <w:rPr>
          <w:rFonts w:cs="Arial"/>
          <w:iCs/>
          <w:sz w:val="22"/>
          <w:szCs w:val="22"/>
        </w:rPr>
        <w:t xml:space="preserve"> Council</w:t>
      </w:r>
      <w:r w:rsidR="00062BC5" w:rsidRPr="005675DE">
        <w:rPr>
          <w:rFonts w:cs="Arial"/>
          <w:iCs/>
          <w:sz w:val="22"/>
          <w:szCs w:val="22"/>
        </w:rPr>
        <w:t xml:space="preserve"> will report on its investment activity as part of the </w:t>
      </w:r>
      <w:r w:rsidR="00E53A98" w:rsidRPr="005675DE">
        <w:rPr>
          <w:rFonts w:cs="Arial"/>
          <w:iCs/>
          <w:sz w:val="22"/>
          <w:szCs w:val="22"/>
        </w:rPr>
        <w:t>A</w:t>
      </w:r>
      <w:r w:rsidR="00062BC5" w:rsidRPr="005675DE">
        <w:rPr>
          <w:rFonts w:cs="Arial"/>
          <w:iCs/>
          <w:sz w:val="22"/>
          <w:szCs w:val="22"/>
        </w:rPr>
        <w:t xml:space="preserve">nnual </w:t>
      </w:r>
      <w:r w:rsidR="00E53A98" w:rsidRPr="005675DE">
        <w:rPr>
          <w:rFonts w:cs="Arial"/>
          <w:iCs/>
          <w:sz w:val="22"/>
          <w:szCs w:val="22"/>
        </w:rPr>
        <w:t>T</w:t>
      </w:r>
      <w:r w:rsidR="00062BC5" w:rsidRPr="005675DE">
        <w:rPr>
          <w:rFonts w:cs="Arial"/>
          <w:iCs/>
          <w:sz w:val="22"/>
          <w:szCs w:val="22"/>
        </w:rPr>
        <w:t xml:space="preserve">reasury </w:t>
      </w:r>
      <w:r w:rsidR="00E53A98" w:rsidRPr="005675DE">
        <w:rPr>
          <w:rFonts w:cs="Arial"/>
          <w:iCs/>
          <w:sz w:val="22"/>
          <w:szCs w:val="22"/>
        </w:rPr>
        <w:t>R</w:t>
      </w:r>
      <w:r w:rsidR="00062BC5" w:rsidRPr="005675DE">
        <w:rPr>
          <w:rFonts w:cs="Arial"/>
          <w:iCs/>
          <w:sz w:val="22"/>
          <w:szCs w:val="22"/>
        </w:rPr>
        <w:t>eport.</w:t>
      </w:r>
    </w:p>
    <w:p w14:paraId="144C1165" w14:textId="77777777" w:rsidR="00EA52CA" w:rsidRPr="005675DE" w:rsidRDefault="00EA52CA" w:rsidP="00EA52CA">
      <w:pPr>
        <w:tabs>
          <w:tab w:val="left" w:pos="2160"/>
          <w:tab w:val="right" w:pos="5040"/>
        </w:tabs>
        <w:rPr>
          <w:rFonts w:cs="Arial"/>
          <w:iCs/>
          <w:sz w:val="22"/>
          <w:szCs w:val="22"/>
        </w:rPr>
      </w:pPr>
    </w:p>
    <w:p w14:paraId="30599600" w14:textId="77777777" w:rsidR="00EA52CA" w:rsidRPr="005675DE" w:rsidRDefault="00EA52CA" w:rsidP="00EA52CA">
      <w:pPr>
        <w:tabs>
          <w:tab w:val="left" w:pos="2160"/>
          <w:tab w:val="right" w:pos="5040"/>
        </w:tabs>
        <w:rPr>
          <w:rFonts w:cs="Arial"/>
          <w:iCs/>
          <w:sz w:val="22"/>
          <w:szCs w:val="22"/>
        </w:rPr>
      </w:pPr>
    </w:p>
    <w:p w14:paraId="5859C4D9" w14:textId="77777777" w:rsidR="00EA52CA" w:rsidRPr="005675DE" w:rsidRDefault="00EA52CA" w:rsidP="00EA52CA">
      <w:pPr>
        <w:tabs>
          <w:tab w:val="left" w:pos="2160"/>
          <w:tab w:val="right" w:pos="5040"/>
        </w:tabs>
        <w:rPr>
          <w:rFonts w:cs="Arial"/>
          <w:iCs/>
          <w:sz w:val="22"/>
          <w:szCs w:val="22"/>
        </w:rPr>
      </w:pPr>
    </w:p>
    <w:p w14:paraId="1A67F842" w14:textId="77777777" w:rsidR="00EA52CA" w:rsidRPr="005675DE" w:rsidRDefault="00EA52CA" w:rsidP="00EA52CA">
      <w:pPr>
        <w:tabs>
          <w:tab w:val="left" w:pos="2160"/>
          <w:tab w:val="right" w:pos="5040"/>
        </w:tabs>
        <w:rPr>
          <w:rFonts w:cs="Arial"/>
          <w:iCs/>
          <w:sz w:val="22"/>
          <w:szCs w:val="22"/>
        </w:rPr>
      </w:pPr>
    </w:p>
    <w:p w14:paraId="7034371A" w14:textId="77777777" w:rsidR="00EF12E1" w:rsidRPr="005675DE" w:rsidRDefault="00EF12E1" w:rsidP="00EF12E1">
      <w:pPr>
        <w:rPr>
          <w:rFonts w:cs="Arial"/>
          <w:b/>
          <w:iCs/>
          <w:color w:val="993366"/>
          <w:sz w:val="28"/>
          <w:szCs w:val="28"/>
        </w:rPr>
      </w:pPr>
    </w:p>
    <w:p w14:paraId="4BF2A572" w14:textId="7FBB800A" w:rsidR="00062BC5" w:rsidRPr="005675DE" w:rsidRDefault="00062BC5" w:rsidP="00EF12E1">
      <w:pPr>
        <w:numPr>
          <w:ilvl w:val="0"/>
          <w:numId w:val="20"/>
        </w:numPr>
        <w:tabs>
          <w:tab w:val="clear" w:pos="360"/>
        </w:tabs>
        <w:ind w:left="540" w:hanging="540"/>
        <w:rPr>
          <w:rFonts w:cs="Arial"/>
          <w:b/>
          <w:iCs/>
          <w:color w:val="993366"/>
          <w:sz w:val="28"/>
          <w:szCs w:val="28"/>
        </w:rPr>
      </w:pPr>
      <w:r w:rsidRPr="005675DE">
        <w:rPr>
          <w:rFonts w:cs="Arial"/>
          <w:b/>
          <w:bCs/>
          <w:noProof/>
          <w:color w:val="993366"/>
          <w:sz w:val="28"/>
          <w:szCs w:val="28"/>
        </w:rPr>
        <w:t>Performance Indicators</w:t>
      </w:r>
      <w:r w:rsidRPr="005675DE">
        <w:rPr>
          <w:rFonts w:cs="Arial"/>
          <w:b/>
          <w:iCs/>
          <w:color w:val="993366"/>
          <w:sz w:val="28"/>
          <w:szCs w:val="28"/>
        </w:rPr>
        <w:br/>
      </w:r>
    </w:p>
    <w:p w14:paraId="36C1E859" w14:textId="77777777" w:rsidR="00062BC5" w:rsidRPr="003B66D5" w:rsidRDefault="00062BC5" w:rsidP="005B34C4">
      <w:pPr>
        <w:pStyle w:val="BodyText"/>
        <w:numPr>
          <w:ilvl w:val="1"/>
          <w:numId w:val="23"/>
        </w:numPr>
        <w:tabs>
          <w:tab w:val="num" w:pos="2160"/>
        </w:tabs>
        <w:rPr>
          <w:rFonts w:ascii="Arial" w:hAnsi="Arial" w:cs="Arial"/>
          <w:sz w:val="22"/>
          <w:szCs w:val="22"/>
        </w:rPr>
      </w:pPr>
      <w:r w:rsidRPr="005675DE">
        <w:rPr>
          <w:rFonts w:ascii="Arial" w:hAnsi="Arial" w:cs="Arial"/>
          <w:sz w:val="22"/>
          <w:szCs w:val="22"/>
        </w:rPr>
        <w:t>The</w:t>
      </w:r>
      <w:r w:rsidRPr="003B66D5">
        <w:rPr>
          <w:rFonts w:ascii="Arial" w:hAnsi="Arial" w:cs="Arial"/>
          <w:sz w:val="22"/>
          <w:szCs w:val="22"/>
        </w:rPr>
        <w:t xml:space="preserve"> CIPFA Code requires the Council to set performance indicators to assess the adequacy of the treasury function over the year.  These are distinct historic indicators, as opposed to the prudential indicators, which are predominantly forward looking.  </w:t>
      </w:r>
      <w:r w:rsidRPr="003B66D5">
        <w:rPr>
          <w:rFonts w:ascii="Arial" w:hAnsi="Arial" w:cs="Arial"/>
          <w:sz w:val="22"/>
          <w:szCs w:val="22"/>
        </w:rPr>
        <w:br/>
      </w:r>
    </w:p>
    <w:p w14:paraId="47FB6151" w14:textId="75D15110" w:rsidR="00062BC5" w:rsidRPr="00E51B6F" w:rsidRDefault="00062BC5" w:rsidP="00E51B6F">
      <w:pPr>
        <w:pStyle w:val="BodyText"/>
        <w:numPr>
          <w:ilvl w:val="1"/>
          <w:numId w:val="23"/>
        </w:numPr>
        <w:tabs>
          <w:tab w:val="num" w:pos="2160"/>
        </w:tabs>
        <w:rPr>
          <w:rFonts w:ascii="Arial" w:hAnsi="Arial" w:cs="Arial"/>
          <w:color w:val="993366"/>
        </w:rPr>
      </w:pPr>
      <w:r w:rsidRPr="00E51B6F">
        <w:rPr>
          <w:rFonts w:ascii="Arial" w:hAnsi="Arial" w:cs="Arial"/>
          <w:b/>
          <w:color w:val="993366"/>
        </w:rPr>
        <w:t>Debt Performance Indicators</w:t>
      </w:r>
    </w:p>
    <w:p w14:paraId="11D1491B" w14:textId="77777777" w:rsidR="00062BC5" w:rsidRPr="002F481A" w:rsidRDefault="00062BC5" w:rsidP="00DF145D">
      <w:pPr>
        <w:pStyle w:val="BodyText"/>
        <w:tabs>
          <w:tab w:val="num" w:pos="540"/>
          <w:tab w:val="num" w:pos="1667"/>
          <w:tab w:val="num" w:pos="2160"/>
          <w:tab w:val="num" w:pos="3240"/>
        </w:tabs>
        <w:rPr>
          <w:rFonts w:ascii="Arial" w:hAnsi="Arial" w:cs="Arial"/>
          <w:sz w:val="22"/>
          <w:szCs w:val="22"/>
        </w:rPr>
      </w:pPr>
    </w:p>
    <w:p w14:paraId="24EE3AC5" w14:textId="621D485D" w:rsidR="00062BC5" w:rsidRPr="002F481A" w:rsidRDefault="00062BC5" w:rsidP="005B34C4">
      <w:pPr>
        <w:pStyle w:val="BodyText"/>
        <w:numPr>
          <w:ilvl w:val="3"/>
          <w:numId w:val="23"/>
        </w:numPr>
        <w:tabs>
          <w:tab w:val="num" w:pos="3240"/>
        </w:tabs>
        <w:rPr>
          <w:rFonts w:ascii="Arial" w:hAnsi="Arial" w:cs="Arial"/>
          <w:sz w:val="22"/>
          <w:szCs w:val="22"/>
        </w:rPr>
      </w:pPr>
      <w:r w:rsidRPr="002F481A">
        <w:rPr>
          <w:rFonts w:ascii="Arial" w:hAnsi="Arial" w:cs="Arial"/>
          <w:sz w:val="22"/>
          <w:szCs w:val="22"/>
        </w:rPr>
        <w:t xml:space="preserve">Average “Pool Rate” charged by the Loans Fund compared to Scottish Local Authority average Pool Rate.  </w:t>
      </w:r>
      <w:r w:rsidRPr="002F481A">
        <w:rPr>
          <w:rFonts w:ascii="Arial" w:hAnsi="Arial" w:cs="Arial"/>
          <w:sz w:val="22"/>
          <w:szCs w:val="22"/>
        </w:rPr>
        <w:br/>
      </w:r>
      <w:r w:rsidRPr="002F481A">
        <w:rPr>
          <w:rFonts w:ascii="Arial" w:hAnsi="Arial" w:cs="Arial"/>
          <w:sz w:val="22"/>
          <w:szCs w:val="22"/>
        </w:rPr>
        <w:br/>
        <w:t xml:space="preserve">Target is to be at or below the Scottish Average for </w:t>
      </w:r>
      <w:r w:rsidR="00597ACC" w:rsidRPr="002F481A">
        <w:rPr>
          <w:rFonts w:ascii="Arial" w:hAnsi="Arial" w:cs="Arial"/>
          <w:sz w:val="22"/>
          <w:szCs w:val="22"/>
        </w:rPr>
        <w:t>202</w:t>
      </w:r>
      <w:r w:rsidR="00CF51AD">
        <w:rPr>
          <w:rFonts w:ascii="Arial" w:hAnsi="Arial" w:cs="Arial"/>
          <w:sz w:val="22"/>
          <w:szCs w:val="22"/>
        </w:rPr>
        <w:t>3</w:t>
      </w:r>
      <w:r w:rsidR="00E814D5" w:rsidRPr="002F481A">
        <w:rPr>
          <w:rFonts w:ascii="Arial" w:hAnsi="Arial" w:cs="Arial"/>
          <w:sz w:val="22"/>
          <w:szCs w:val="22"/>
        </w:rPr>
        <w:t>/</w:t>
      </w:r>
      <w:r w:rsidR="00FB4DFE" w:rsidRPr="002F481A">
        <w:rPr>
          <w:rFonts w:ascii="Arial" w:hAnsi="Arial" w:cs="Arial"/>
          <w:sz w:val="22"/>
          <w:szCs w:val="22"/>
        </w:rPr>
        <w:t>2</w:t>
      </w:r>
      <w:r w:rsidR="00CF51AD">
        <w:rPr>
          <w:rFonts w:ascii="Arial" w:hAnsi="Arial" w:cs="Arial"/>
          <w:sz w:val="22"/>
          <w:szCs w:val="22"/>
        </w:rPr>
        <w:t>4</w:t>
      </w:r>
      <w:r w:rsidRPr="002F481A">
        <w:rPr>
          <w:rFonts w:ascii="Arial" w:hAnsi="Arial" w:cs="Arial"/>
          <w:sz w:val="22"/>
          <w:szCs w:val="22"/>
        </w:rPr>
        <w:t>.</w:t>
      </w:r>
      <w:r w:rsidRPr="002F481A">
        <w:rPr>
          <w:rFonts w:ascii="Arial" w:hAnsi="Arial" w:cs="Arial"/>
          <w:sz w:val="22"/>
          <w:szCs w:val="22"/>
        </w:rPr>
        <w:br/>
      </w:r>
    </w:p>
    <w:p w14:paraId="6251669D" w14:textId="3438F8A1" w:rsidR="00062BC5" w:rsidRPr="002F481A" w:rsidRDefault="00062BC5" w:rsidP="005B34C4">
      <w:pPr>
        <w:pStyle w:val="BodyText"/>
        <w:numPr>
          <w:ilvl w:val="3"/>
          <w:numId w:val="23"/>
        </w:numPr>
        <w:tabs>
          <w:tab w:val="num" w:pos="3240"/>
        </w:tabs>
        <w:rPr>
          <w:rFonts w:ascii="Arial" w:hAnsi="Arial" w:cs="Arial"/>
          <w:sz w:val="22"/>
          <w:szCs w:val="22"/>
        </w:rPr>
      </w:pPr>
      <w:r w:rsidRPr="002F481A">
        <w:rPr>
          <w:rFonts w:ascii="Arial" w:hAnsi="Arial" w:cs="Arial"/>
          <w:sz w:val="22"/>
          <w:szCs w:val="22"/>
        </w:rPr>
        <w:t>Average borrowing rate movement year on year</w:t>
      </w:r>
      <w:r w:rsidRPr="002F481A">
        <w:rPr>
          <w:rFonts w:ascii="Arial" w:hAnsi="Arial" w:cs="Arial"/>
          <w:sz w:val="22"/>
          <w:szCs w:val="22"/>
        </w:rPr>
        <w:br/>
      </w:r>
      <w:r w:rsidRPr="002F481A">
        <w:rPr>
          <w:rFonts w:ascii="Arial" w:hAnsi="Arial" w:cs="Arial"/>
          <w:sz w:val="22"/>
          <w:szCs w:val="22"/>
        </w:rPr>
        <w:br/>
        <w:t xml:space="preserve">Target is to maintain or reduce the average borrowing rate for the Council versus </w:t>
      </w:r>
      <w:r w:rsidR="00B2405D" w:rsidRPr="002F481A">
        <w:rPr>
          <w:rFonts w:ascii="Arial" w:hAnsi="Arial" w:cs="Arial"/>
          <w:sz w:val="22"/>
          <w:szCs w:val="22"/>
        </w:rPr>
        <w:t>202</w:t>
      </w:r>
      <w:r w:rsidR="00CF51AD">
        <w:rPr>
          <w:rFonts w:ascii="Arial" w:hAnsi="Arial" w:cs="Arial"/>
          <w:sz w:val="22"/>
          <w:szCs w:val="22"/>
        </w:rPr>
        <w:t>3</w:t>
      </w:r>
      <w:r w:rsidR="00E814D5" w:rsidRPr="002F481A">
        <w:rPr>
          <w:rFonts w:ascii="Arial" w:hAnsi="Arial" w:cs="Arial"/>
          <w:sz w:val="22"/>
          <w:szCs w:val="22"/>
        </w:rPr>
        <w:t>/</w:t>
      </w:r>
      <w:r w:rsidR="00FB4DFE" w:rsidRPr="002F481A">
        <w:rPr>
          <w:rFonts w:ascii="Arial" w:hAnsi="Arial" w:cs="Arial"/>
          <w:sz w:val="22"/>
          <w:szCs w:val="22"/>
        </w:rPr>
        <w:t>2</w:t>
      </w:r>
      <w:r w:rsidR="00CF51AD">
        <w:rPr>
          <w:rFonts w:ascii="Arial" w:hAnsi="Arial" w:cs="Arial"/>
          <w:sz w:val="22"/>
          <w:szCs w:val="22"/>
        </w:rPr>
        <w:t>4</w:t>
      </w:r>
      <w:r w:rsidRPr="002F481A">
        <w:rPr>
          <w:rFonts w:ascii="Arial" w:hAnsi="Arial" w:cs="Arial"/>
          <w:sz w:val="22"/>
          <w:szCs w:val="22"/>
        </w:rPr>
        <w:t>.</w:t>
      </w:r>
      <w:r w:rsidRPr="002F481A">
        <w:rPr>
          <w:rFonts w:ascii="Arial" w:hAnsi="Arial" w:cs="Arial"/>
          <w:sz w:val="22"/>
          <w:szCs w:val="22"/>
        </w:rPr>
        <w:br/>
      </w:r>
    </w:p>
    <w:p w14:paraId="67DA8713" w14:textId="77777777" w:rsidR="00062BC5" w:rsidRPr="003B66D5" w:rsidRDefault="00062BC5" w:rsidP="005B34C4">
      <w:pPr>
        <w:pStyle w:val="BodyText"/>
        <w:numPr>
          <w:ilvl w:val="1"/>
          <w:numId w:val="23"/>
        </w:numPr>
        <w:tabs>
          <w:tab w:val="num" w:pos="1080"/>
          <w:tab w:val="num" w:pos="3240"/>
        </w:tabs>
        <w:rPr>
          <w:rFonts w:ascii="Arial" w:hAnsi="Arial" w:cs="Arial"/>
          <w:b/>
          <w:sz w:val="22"/>
          <w:szCs w:val="22"/>
        </w:rPr>
      </w:pPr>
      <w:r w:rsidRPr="00E51B6F">
        <w:rPr>
          <w:rFonts w:ascii="Arial" w:hAnsi="Arial" w:cs="Arial"/>
          <w:b/>
          <w:color w:val="993366"/>
        </w:rPr>
        <w:t>Investment Risk Benchmark Indicators</w:t>
      </w:r>
      <w:r w:rsidRPr="003B66D5">
        <w:rPr>
          <w:rFonts w:ascii="Arial" w:hAnsi="Arial" w:cs="Arial"/>
          <w:b/>
          <w:sz w:val="22"/>
          <w:szCs w:val="22"/>
        </w:rPr>
        <w:t xml:space="preserve"> </w:t>
      </w:r>
      <w:r w:rsidRPr="003B66D5">
        <w:rPr>
          <w:rFonts w:ascii="Arial" w:hAnsi="Arial" w:cs="Arial"/>
          <w:sz w:val="22"/>
          <w:szCs w:val="22"/>
        </w:rPr>
        <w:t>for Security, Liquidity and Yield, as set out in paragraph 5.</w:t>
      </w:r>
      <w:r w:rsidR="00E53A98" w:rsidRPr="003B66D5">
        <w:rPr>
          <w:rFonts w:ascii="Arial" w:hAnsi="Arial" w:cs="Arial"/>
          <w:sz w:val="22"/>
          <w:szCs w:val="22"/>
        </w:rPr>
        <w:t>8</w:t>
      </w:r>
      <w:r w:rsidRPr="003B66D5">
        <w:rPr>
          <w:rFonts w:ascii="Arial" w:hAnsi="Arial" w:cs="Arial"/>
          <w:sz w:val="22"/>
          <w:szCs w:val="22"/>
        </w:rPr>
        <w:t>.</w:t>
      </w:r>
      <w:r w:rsidRPr="003B66D5">
        <w:rPr>
          <w:rFonts w:ascii="Arial" w:hAnsi="Arial" w:cs="Arial"/>
          <w:sz w:val="22"/>
          <w:szCs w:val="22"/>
        </w:rPr>
        <w:br/>
      </w:r>
    </w:p>
    <w:p w14:paraId="457CCF46" w14:textId="77777777" w:rsidR="00062BC5" w:rsidRPr="00E51B6F" w:rsidRDefault="00062BC5" w:rsidP="005B34C4">
      <w:pPr>
        <w:pStyle w:val="BodyText"/>
        <w:numPr>
          <w:ilvl w:val="1"/>
          <w:numId w:val="23"/>
        </w:numPr>
        <w:tabs>
          <w:tab w:val="num" w:pos="1080"/>
          <w:tab w:val="num" w:pos="3240"/>
        </w:tabs>
        <w:rPr>
          <w:rFonts w:ascii="Arial" w:hAnsi="Arial" w:cs="Arial"/>
          <w:b/>
          <w:color w:val="993366"/>
        </w:rPr>
      </w:pPr>
      <w:r w:rsidRPr="00E51B6F">
        <w:rPr>
          <w:rFonts w:ascii="Arial" w:hAnsi="Arial" w:cs="Arial"/>
          <w:b/>
          <w:color w:val="993366"/>
        </w:rPr>
        <w:t>Loan</w:t>
      </w:r>
      <w:r w:rsidR="00B2405D" w:rsidRPr="00E51B6F">
        <w:rPr>
          <w:rFonts w:ascii="Arial" w:hAnsi="Arial" w:cs="Arial"/>
          <w:b/>
          <w:color w:val="993366"/>
        </w:rPr>
        <w:t>s</w:t>
      </w:r>
      <w:r w:rsidRPr="00E51B6F">
        <w:rPr>
          <w:rFonts w:ascii="Arial" w:hAnsi="Arial" w:cs="Arial"/>
          <w:b/>
          <w:color w:val="993366"/>
        </w:rPr>
        <w:t xml:space="preserve"> Charges</w:t>
      </w:r>
      <w:r w:rsidRPr="00E51B6F">
        <w:rPr>
          <w:rFonts w:ascii="Arial" w:hAnsi="Arial" w:cs="Arial"/>
          <w:b/>
          <w:color w:val="993366"/>
        </w:rPr>
        <w:br/>
      </w:r>
    </w:p>
    <w:p w14:paraId="6028956E" w14:textId="2C343424" w:rsidR="00FA5486" w:rsidRPr="003B66D5" w:rsidRDefault="00062BC5" w:rsidP="005B34C4">
      <w:pPr>
        <w:pStyle w:val="BodyText"/>
        <w:numPr>
          <w:ilvl w:val="2"/>
          <w:numId w:val="23"/>
        </w:numPr>
        <w:tabs>
          <w:tab w:val="num" w:pos="3240"/>
        </w:tabs>
        <w:spacing w:after="80"/>
        <w:rPr>
          <w:rFonts w:cs="Arial"/>
          <w:sz w:val="22"/>
          <w:szCs w:val="22"/>
        </w:rPr>
      </w:pPr>
      <w:r w:rsidRPr="003B66D5">
        <w:rPr>
          <w:rFonts w:ascii="Arial" w:hAnsi="Arial" w:cs="Arial"/>
          <w:sz w:val="22"/>
          <w:szCs w:val="22"/>
        </w:rPr>
        <w:t>Loan</w:t>
      </w:r>
      <w:r w:rsidR="00B2405D" w:rsidRPr="003B66D5">
        <w:rPr>
          <w:rFonts w:ascii="Arial" w:hAnsi="Arial" w:cs="Arial"/>
          <w:sz w:val="22"/>
          <w:szCs w:val="22"/>
        </w:rPr>
        <w:t>s</w:t>
      </w:r>
      <w:r w:rsidRPr="003B66D5">
        <w:rPr>
          <w:rFonts w:ascii="Arial" w:hAnsi="Arial" w:cs="Arial"/>
          <w:sz w:val="22"/>
          <w:szCs w:val="22"/>
        </w:rPr>
        <w:t xml:space="preserve"> Charges for </w:t>
      </w:r>
      <w:r w:rsidR="00FB4DFE" w:rsidRPr="003B66D5">
        <w:rPr>
          <w:rFonts w:ascii="Arial" w:hAnsi="Arial" w:cs="Arial"/>
          <w:sz w:val="22"/>
          <w:szCs w:val="22"/>
        </w:rPr>
        <w:t>202</w:t>
      </w:r>
      <w:r w:rsidR="00CF51AD">
        <w:rPr>
          <w:rFonts w:ascii="Arial" w:hAnsi="Arial" w:cs="Arial"/>
          <w:sz w:val="22"/>
          <w:szCs w:val="22"/>
        </w:rPr>
        <w:t>4</w:t>
      </w:r>
      <w:r w:rsidR="001F662A" w:rsidRPr="003B66D5">
        <w:rPr>
          <w:rFonts w:ascii="Arial" w:hAnsi="Arial" w:cs="Arial"/>
          <w:sz w:val="22"/>
          <w:szCs w:val="22"/>
        </w:rPr>
        <w:t>/</w:t>
      </w:r>
      <w:r w:rsidR="00FB4DFE" w:rsidRPr="003B66D5">
        <w:rPr>
          <w:rFonts w:ascii="Arial" w:hAnsi="Arial" w:cs="Arial"/>
          <w:sz w:val="22"/>
          <w:szCs w:val="22"/>
        </w:rPr>
        <w:t>2</w:t>
      </w:r>
      <w:r w:rsidR="00CF51AD">
        <w:rPr>
          <w:rFonts w:ascii="Arial" w:hAnsi="Arial" w:cs="Arial"/>
          <w:sz w:val="22"/>
          <w:szCs w:val="22"/>
        </w:rPr>
        <w:t>5</w:t>
      </w:r>
      <w:r w:rsidRPr="003B66D5">
        <w:rPr>
          <w:rFonts w:ascii="Arial" w:hAnsi="Arial" w:cs="Arial"/>
          <w:sz w:val="22"/>
          <w:szCs w:val="22"/>
        </w:rPr>
        <w:t xml:space="preserve"> are expected to be at or below the Revenue Budget estimate contained in the Council’s Financial Plans to be approved in </w:t>
      </w:r>
      <w:r w:rsidR="00AA5203" w:rsidRPr="003B66D5">
        <w:rPr>
          <w:rFonts w:ascii="Arial" w:hAnsi="Arial" w:cs="Arial"/>
          <w:sz w:val="22"/>
          <w:szCs w:val="22"/>
        </w:rPr>
        <w:t>February</w:t>
      </w:r>
      <w:r w:rsidR="00FB4DFE" w:rsidRPr="003B66D5">
        <w:rPr>
          <w:rFonts w:ascii="Arial" w:hAnsi="Arial" w:cs="Arial"/>
          <w:sz w:val="22"/>
          <w:szCs w:val="22"/>
        </w:rPr>
        <w:t xml:space="preserve"> 202</w:t>
      </w:r>
      <w:r w:rsidR="00CF51AD">
        <w:rPr>
          <w:rFonts w:ascii="Arial" w:hAnsi="Arial" w:cs="Arial"/>
          <w:sz w:val="22"/>
          <w:szCs w:val="22"/>
        </w:rPr>
        <w:t>4</w:t>
      </w:r>
      <w:r w:rsidRPr="003B66D5">
        <w:rPr>
          <w:rFonts w:ascii="Arial" w:hAnsi="Arial" w:cs="Arial"/>
          <w:sz w:val="22"/>
          <w:szCs w:val="22"/>
        </w:rPr>
        <w:t>, which are estimated as follows:</w:t>
      </w:r>
      <w:r w:rsidR="00597ACC">
        <w:rPr>
          <w:rFonts w:ascii="Arial" w:hAnsi="Arial" w:cs="Arial"/>
          <w:sz w:val="22"/>
          <w:szCs w:val="22"/>
        </w:rPr>
        <w:t xml:space="preserve"> </w:t>
      </w:r>
    </w:p>
    <w:p w14:paraId="0FF99779" w14:textId="77777777" w:rsidR="00FA5486" w:rsidRPr="00D26131" w:rsidRDefault="00FA5486" w:rsidP="00054C4E">
      <w:pPr>
        <w:pStyle w:val="BodyText"/>
        <w:spacing w:after="80"/>
        <w:rPr>
          <w:rFonts w:ascii="Arial" w:hAnsi="Arial" w:cs="Arial"/>
          <w:sz w:val="22"/>
          <w:szCs w:val="22"/>
          <w:highlight w:val="yellow"/>
        </w:rPr>
      </w:pPr>
    </w:p>
    <w:tbl>
      <w:tblPr>
        <w:tblW w:w="965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276"/>
        <w:gridCol w:w="1102"/>
        <w:gridCol w:w="1269"/>
        <w:gridCol w:w="1269"/>
        <w:gridCol w:w="1179"/>
        <w:gridCol w:w="1012"/>
      </w:tblGrid>
      <w:tr w:rsidR="00CF51AD" w:rsidRPr="00D26131" w14:paraId="5D1D7737" w14:textId="29563C66" w:rsidTr="00D12865">
        <w:trPr>
          <w:trHeight w:val="618"/>
        </w:trPr>
        <w:tc>
          <w:tcPr>
            <w:tcW w:w="2552" w:type="dxa"/>
            <w:shd w:val="clear" w:color="auto" w:fill="D9D9D9" w:themeFill="background1" w:themeFillShade="D9"/>
            <w:vAlign w:val="center"/>
          </w:tcPr>
          <w:p w14:paraId="7534AFC1" w14:textId="77777777" w:rsidR="00CF51AD" w:rsidRPr="00CA1EB4" w:rsidRDefault="00CF51AD" w:rsidP="00CF51AD">
            <w:pPr>
              <w:pStyle w:val="BodyText"/>
              <w:ind w:left="720" w:hanging="720"/>
              <w:jc w:val="center"/>
              <w:rPr>
                <w:rFonts w:ascii="Arial" w:hAnsi="Arial" w:cs="Arial"/>
                <w:sz w:val="22"/>
                <w:szCs w:val="22"/>
                <w:highlight w:val="lightGray"/>
              </w:rPr>
            </w:pPr>
            <w:r w:rsidRPr="00CA1EB4">
              <w:rPr>
                <w:rFonts w:ascii="Arial" w:hAnsi="Arial" w:cs="Arial"/>
                <w:b/>
                <w:sz w:val="22"/>
                <w:szCs w:val="22"/>
                <w:highlight w:val="lightGray"/>
              </w:rPr>
              <w:t>£m</w:t>
            </w:r>
          </w:p>
        </w:tc>
        <w:tc>
          <w:tcPr>
            <w:tcW w:w="1276" w:type="dxa"/>
            <w:shd w:val="clear" w:color="auto" w:fill="D9D9D9" w:themeFill="background1" w:themeFillShade="D9"/>
            <w:vAlign w:val="center"/>
          </w:tcPr>
          <w:p w14:paraId="0147852A" w14:textId="69BD0433"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2023/24</w:t>
            </w:r>
          </w:p>
        </w:tc>
        <w:tc>
          <w:tcPr>
            <w:tcW w:w="1102" w:type="dxa"/>
            <w:shd w:val="clear" w:color="auto" w:fill="D9D9D9" w:themeFill="background1" w:themeFillShade="D9"/>
            <w:vAlign w:val="center"/>
          </w:tcPr>
          <w:p w14:paraId="2FCC4E16" w14:textId="3227C25D"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2024/25</w:t>
            </w:r>
          </w:p>
        </w:tc>
        <w:tc>
          <w:tcPr>
            <w:tcW w:w="1269" w:type="dxa"/>
            <w:shd w:val="clear" w:color="auto" w:fill="D9D9D9" w:themeFill="background1" w:themeFillShade="D9"/>
            <w:vAlign w:val="center"/>
          </w:tcPr>
          <w:p w14:paraId="4BDC73D1" w14:textId="2AFC8416"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2025/26</w:t>
            </w:r>
          </w:p>
        </w:tc>
        <w:tc>
          <w:tcPr>
            <w:tcW w:w="1269" w:type="dxa"/>
            <w:shd w:val="clear" w:color="auto" w:fill="D9D9D9" w:themeFill="background1" w:themeFillShade="D9"/>
            <w:vAlign w:val="center"/>
          </w:tcPr>
          <w:p w14:paraId="6353E563" w14:textId="7568A898"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2026/27</w:t>
            </w:r>
          </w:p>
        </w:tc>
        <w:tc>
          <w:tcPr>
            <w:tcW w:w="1179" w:type="dxa"/>
            <w:shd w:val="clear" w:color="auto" w:fill="D9D9D9" w:themeFill="background1" w:themeFillShade="D9"/>
            <w:vAlign w:val="center"/>
          </w:tcPr>
          <w:p w14:paraId="24940200" w14:textId="2E6A25B7"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2027/28</w:t>
            </w:r>
          </w:p>
        </w:tc>
        <w:tc>
          <w:tcPr>
            <w:tcW w:w="1012" w:type="dxa"/>
            <w:shd w:val="clear" w:color="auto" w:fill="D9D9D9" w:themeFill="background1" w:themeFillShade="D9"/>
            <w:vAlign w:val="center"/>
          </w:tcPr>
          <w:p w14:paraId="532BD257" w14:textId="16261E95" w:rsidR="00CF51AD" w:rsidRPr="00CA1EB4" w:rsidRDefault="00CF51AD" w:rsidP="00CF51AD">
            <w:pPr>
              <w:pStyle w:val="BodyText"/>
              <w:ind w:left="720" w:hanging="720"/>
              <w:jc w:val="center"/>
              <w:rPr>
                <w:rFonts w:ascii="Arial" w:hAnsi="Arial" w:cs="Arial"/>
                <w:b/>
                <w:bCs/>
                <w:sz w:val="22"/>
                <w:szCs w:val="22"/>
                <w:highlight w:val="lightGray"/>
              </w:rPr>
            </w:pPr>
            <w:r w:rsidRPr="00CA1EB4">
              <w:rPr>
                <w:rFonts w:ascii="Arial" w:hAnsi="Arial" w:cs="Arial"/>
                <w:b/>
                <w:bCs/>
                <w:sz w:val="22"/>
                <w:szCs w:val="22"/>
                <w:highlight w:val="lightGray"/>
              </w:rPr>
              <w:t>202</w:t>
            </w:r>
            <w:r>
              <w:rPr>
                <w:rFonts w:ascii="Arial" w:hAnsi="Arial" w:cs="Arial"/>
                <w:b/>
                <w:bCs/>
                <w:sz w:val="22"/>
                <w:szCs w:val="22"/>
                <w:highlight w:val="lightGray"/>
              </w:rPr>
              <w:t>8</w:t>
            </w:r>
            <w:r w:rsidRPr="00CA1EB4">
              <w:rPr>
                <w:rFonts w:ascii="Arial" w:hAnsi="Arial" w:cs="Arial"/>
                <w:b/>
                <w:bCs/>
                <w:sz w:val="22"/>
                <w:szCs w:val="22"/>
                <w:highlight w:val="lightGray"/>
              </w:rPr>
              <w:t>/2</w:t>
            </w:r>
            <w:r>
              <w:rPr>
                <w:rFonts w:ascii="Arial" w:hAnsi="Arial" w:cs="Arial"/>
                <w:b/>
                <w:bCs/>
                <w:sz w:val="22"/>
                <w:szCs w:val="22"/>
                <w:highlight w:val="lightGray"/>
              </w:rPr>
              <w:t>9</w:t>
            </w:r>
          </w:p>
        </w:tc>
      </w:tr>
      <w:tr w:rsidR="00CF51AD" w:rsidRPr="00D26131" w14:paraId="6504699C" w14:textId="02E7EAB7" w:rsidTr="00D12865">
        <w:tc>
          <w:tcPr>
            <w:tcW w:w="2552" w:type="dxa"/>
          </w:tcPr>
          <w:p w14:paraId="1CA64712" w14:textId="77777777" w:rsidR="00CF51AD" w:rsidRPr="00F313E2" w:rsidRDefault="00CF51AD" w:rsidP="00CF51AD">
            <w:pPr>
              <w:pStyle w:val="BodyText"/>
              <w:spacing w:before="60" w:after="60"/>
              <w:ind w:left="720" w:hanging="720"/>
              <w:rPr>
                <w:rFonts w:ascii="Arial" w:hAnsi="Arial" w:cs="Arial"/>
                <w:b/>
                <w:sz w:val="22"/>
                <w:szCs w:val="22"/>
              </w:rPr>
            </w:pPr>
            <w:r w:rsidRPr="00F313E2">
              <w:rPr>
                <w:rFonts w:ascii="Arial" w:hAnsi="Arial" w:cs="Arial"/>
                <w:b/>
                <w:sz w:val="22"/>
                <w:szCs w:val="22"/>
              </w:rPr>
              <w:t>Total Loan Charges *</w:t>
            </w:r>
          </w:p>
        </w:tc>
        <w:tc>
          <w:tcPr>
            <w:tcW w:w="1276" w:type="dxa"/>
          </w:tcPr>
          <w:p w14:paraId="320135D0" w14:textId="5C1CC5CF" w:rsidR="00CF51AD" w:rsidRPr="00F313E2" w:rsidRDefault="00CF51AD" w:rsidP="00CF51AD">
            <w:pPr>
              <w:pStyle w:val="BodyText"/>
              <w:spacing w:before="60" w:after="60"/>
              <w:ind w:left="720" w:right="224" w:hanging="720"/>
              <w:jc w:val="right"/>
              <w:rPr>
                <w:rFonts w:ascii="Arial" w:hAnsi="Arial" w:cs="Arial"/>
                <w:b/>
                <w:sz w:val="22"/>
                <w:szCs w:val="22"/>
              </w:rPr>
            </w:pPr>
            <w:r w:rsidRPr="00F313E2">
              <w:rPr>
                <w:rFonts w:ascii="Arial" w:hAnsi="Arial" w:cs="Arial"/>
                <w:b/>
                <w:sz w:val="22"/>
                <w:szCs w:val="22"/>
              </w:rPr>
              <w:t>1</w:t>
            </w:r>
            <w:r>
              <w:rPr>
                <w:rFonts w:ascii="Arial" w:hAnsi="Arial" w:cs="Arial"/>
                <w:b/>
                <w:sz w:val="22"/>
                <w:szCs w:val="22"/>
              </w:rPr>
              <w:t>3.6</w:t>
            </w:r>
          </w:p>
        </w:tc>
        <w:tc>
          <w:tcPr>
            <w:tcW w:w="1102" w:type="dxa"/>
          </w:tcPr>
          <w:p w14:paraId="737A2FD8" w14:textId="7FE78E14" w:rsidR="00CF51AD" w:rsidRPr="00F313E2" w:rsidRDefault="00CF51AD" w:rsidP="00CF51AD">
            <w:pPr>
              <w:pStyle w:val="BodyText"/>
              <w:spacing w:before="60" w:after="60"/>
              <w:ind w:left="720" w:right="202" w:hanging="720"/>
              <w:jc w:val="right"/>
              <w:rPr>
                <w:rFonts w:ascii="Arial" w:hAnsi="Arial" w:cs="Arial"/>
                <w:b/>
                <w:sz w:val="22"/>
                <w:szCs w:val="22"/>
              </w:rPr>
            </w:pPr>
            <w:r>
              <w:rPr>
                <w:rFonts w:ascii="Arial" w:hAnsi="Arial" w:cs="Arial"/>
                <w:b/>
                <w:sz w:val="22"/>
                <w:szCs w:val="22"/>
              </w:rPr>
              <w:t>18.2</w:t>
            </w:r>
          </w:p>
        </w:tc>
        <w:tc>
          <w:tcPr>
            <w:tcW w:w="1269" w:type="dxa"/>
          </w:tcPr>
          <w:p w14:paraId="318A7605" w14:textId="1CAE7FF6" w:rsidR="00CF51AD" w:rsidRPr="00F313E2" w:rsidRDefault="00CF51AD" w:rsidP="00CF51AD">
            <w:pPr>
              <w:pStyle w:val="BodyText"/>
              <w:spacing w:before="60" w:after="60"/>
              <w:ind w:left="720" w:right="202" w:hanging="720"/>
              <w:jc w:val="right"/>
              <w:rPr>
                <w:rFonts w:ascii="Arial" w:hAnsi="Arial" w:cs="Arial"/>
                <w:b/>
                <w:sz w:val="22"/>
                <w:szCs w:val="22"/>
              </w:rPr>
            </w:pPr>
            <w:r w:rsidRPr="00F313E2">
              <w:rPr>
                <w:rFonts w:ascii="Arial" w:hAnsi="Arial" w:cs="Arial"/>
                <w:b/>
                <w:sz w:val="22"/>
                <w:szCs w:val="22"/>
              </w:rPr>
              <w:t>2</w:t>
            </w:r>
            <w:r>
              <w:rPr>
                <w:rFonts w:ascii="Arial" w:hAnsi="Arial" w:cs="Arial"/>
                <w:b/>
                <w:sz w:val="22"/>
                <w:szCs w:val="22"/>
              </w:rPr>
              <w:t>0.</w:t>
            </w:r>
            <w:r w:rsidR="00287AD9">
              <w:rPr>
                <w:rFonts w:ascii="Arial" w:hAnsi="Arial" w:cs="Arial"/>
                <w:b/>
                <w:sz w:val="22"/>
                <w:szCs w:val="22"/>
              </w:rPr>
              <w:t>9</w:t>
            </w:r>
          </w:p>
        </w:tc>
        <w:tc>
          <w:tcPr>
            <w:tcW w:w="1269" w:type="dxa"/>
          </w:tcPr>
          <w:p w14:paraId="27DE5DBB" w14:textId="71059AA1" w:rsidR="00CF51AD" w:rsidRPr="00F313E2" w:rsidRDefault="00CF51AD" w:rsidP="00CF51AD">
            <w:pPr>
              <w:pStyle w:val="BodyText"/>
              <w:spacing w:before="60" w:after="60"/>
              <w:ind w:left="720" w:right="202" w:hanging="720"/>
              <w:jc w:val="right"/>
              <w:rPr>
                <w:rFonts w:ascii="Arial" w:hAnsi="Arial" w:cs="Arial"/>
                <w:b/>
                <w:sz w:val="22"/>
                <w:szCs w:val="22"/>
              </w:rPr>
            </w:pPr>
            <w:r w:rsidRPr="00F313E2">
              <w:rPr>
                <w:rFonts w:ascii="Arial" w:hAnsi="Arial" w:cs="Arial"/>
                <w:b/>
                <w:sz w:val="22"/>
                <w:szCs w:val="22"/>
              </w:rPr>
              <w:t>2</w:t>
            </w:r>
            <w:r w:rsidR="00287AD9">
              <w:rPr>
                <w:rFonts w:ascii="Arial" w:hAnsi="Arial" w:cs="Arial"/>
                <w:b/>
                <w:sz w:val="22"/>
                <w:szCs w:val="22"/>
              </w:rPr>
              <w:t>3</w:t>
            </w:r>
            <w:r>
              <w:rPr>
                <w:rFonts w:ascii="Arial" w:hAnsi="Arial" w:cs="Arial"/>
                <w:b/>
                <w:sz w:val="22"/>
                <w:szCs w:val="22"/>
              </w:rPr>
              <w:t>.8</w:t>
            </w:r>
          </w:p>
        </w:tc>
        <w:tc>
          <w:tcPr>
            <w:tcW w:w="1179" w:type="dxa"/>
          </w:tcPr>
          <w:p w14:paraId="18BEA674" w14:textId="19749F77" w:rsidR="00CF51AD" w:rsidRPr="00F313E2" w:rsidRDefault="00CF51AD" w:rsidP="00CF51AD">
            <w:pPr>
              <w:pStyle w:val="BodyText"/>
              <w:spacing w:before="60" w:after="60"/>
              <w:ind w:left="720" w:right="202" w:hanging="720"/>
              <w:jc w:val="right"/>
              <w:rPr>
                <w:rFonts w:ascii="Arial" w:hAnsi="Arial" w:cs="Arial"/>
                <w:b/>
                <w:sz w:val="22"/>
                <w:szCs w:val="22"/>
              </w:rPr>
            </w:pPr>
            <w:r w:rsidRPr="00F313E2">
              <w:rPr>
                <w:rFonts w:ascii="Arial" w:hAnsi="Arial" w:cs="Arial"/>
                <w:b/>
                <w:sz w:val="22"/>
                <w:szCs w:val="22"/>
              </w:rPr>
              <w:t>2</w:t>
            </w:r>
            <w:r w:rsidR="00287AD9">
              <w:rPr>
                <w:rFonts w:ascii="Arial" w:hAnsi="Arial" w:cs="Arial"/>
                <w:b/>
                <w:sz w:val="22"/>
                <w:szCs w:val="22"/>
              </w:rPr>
              <w:t>5</w:t>
            </w:r>
            <w:r>
              <w:rPr>
                <w:rFonts w:ascii="Arial" w:hAnsi="Arial" w:cs="Arial"/>
                <w:b/>
                <w:sz w:val="22"/>
                <w:szCs w:val="22"/>
              </w:rPr>
              <w:t>.</w:t>
            </w:r>
            <w:r w:rsidR="00287AD9">
              <w:rPr>
                <w:rFonts w:ascii="Arial" w:hAnsi="Arial" w:cs="Arial"/>
                <w:b/>
                <w:sz w:val="22"/>
                <w:szCs w:val="22"/>
              </w:rPr>
              <w:t>7</w:t>
            </w:r>
          </w:p>
        </w:tc>
        <w:tc>
          <w:tcPr>
            <w:tcW w:w="1012" w:type="dxa"/>
          </w:tcPr>
          <w:p w14:paraId="242737DE" w14:textId="3845C3AE" w:rsidR="00CF51AD" w:rsidRPr="00F313E2" w:rsidRDefault="00CF51AD" w:rsidP="00CF51AD">
            <w:pPr>
              <w:pStyle w:val="BodyText"/>
              <w:spacing w:before="60" w:after="60"/>
              <w:ind w:left="720" w:right="202" w:hanging="720"/>
              <w:jc w:val="right"/>
              <w:rPr>
                <w:rFonts w:ascii="Arial" w:hAnsi="Arial" w:cs="Arial"/>
                <w:b/>
                <w:sz w:val="22"/>
                <w:szCs w:val="22"/>
              </w:rPr>
            </w:pPr>
            <w:r w:rsidRPr="00F313E2">
              <w:rPr>
                <w:rFonts w:ascii="Arial" w:hAnsi="Arial" w:cs="Arial"/>
                <w:b/>
                <w:sz w:val="22"/>
                <w:szCs w:val="22"/>
              </w:rPr>
              <w:t>2</w:t>
            </w:r>
            <w:r>
              <w:rPr>
                <w:rFonts w:ascii="Arial" w:hAnsi="Arial" w:cs="Arial"/>
                <w:b/>
                <w:sz w:val="22"/>
                <w:szCs w:val="22"/>
              </w:rPr>
              <w:t>6.</w:t>
            </w:r>
            <w:r w:rsidR="00287AD9">
              <w:rPr>
                <w:rFonts w:ascii="Arial" w:hAnsi="Arial" w:cs="Arial"/>
                <w:b/>
                <w:sz w:val="22"/>
                <w:szCs w:val="22"/>
              </w:rPr>
              <w:t>9</w:t>
            </w:r>
          </w:p>
        </w:tc>
      </w:tr>
    </w:tbl>
    <w:p w14:paraId="75546BB9" w14:textId="77777777" w:rsidR="00062BC5" w:rsidRPr="00F313E2" w:rsidRDefault="002F0441" w:rsidP="004361D8">
      <w:pPr>
        <w:pStyle w:val="BodyText"/>
        <w:spacing w:before="120"/>
        <w:ind w:left="720"/>
        <w:rPr>
          <w:rFonts w:ascii="Arial" w:hAnsi="Arial" w:cs="Arial"/>
          <w:i/>
          <w:sz w:val="18"/>
          <w:szCs w:val="18"/>
        </w:rPr>
      </w:pPr>
      <w:r w:rsidRPr="00F313E2">
        <w:rPr>
          <w:rFonts w:ascii="Arial" w:hAnsi="Arial" w:cs="Arial"/>
          <w:i/>
          <w:sz w:val="18"/>
          <w:szCs w:val="18"/>
        </w:rPr>
        <w:t xml:space="preserve">*The Loan Charges exclude the capital element </w:t>
      </w:r>
      <w:r w:rsidR="005323EB" w:rsidRPr="00F313E2">
        <w:rPr>
          <w:rFonts w:ascii="Arial" w:hAnsi="Arial" w:cs="Arial"/>
          <w:i/>
          <w:sz w:val="18"/>
          <w:szCs w:val="18"/>
        </w:rPr>
        <w:t>of</w:t>
      </w:r>
      <w:r w:rsidRPr="00F313E2">
        <w:rPr>
          <w:rFonts w:ascii="Arial" w:hAnsi="Arial" w:cs="Arial"/>
          <w:i/>
          <w:sz w:val="18"/>
          <w:szCs w:val="18"/>
        </w:rPr>
        <w:t xml:space="preserve"> PPP </w:t>
      </w:r>
      <w:r w:rsidR="005323EB" w:rsidRPr="00F313E2">
        <w:rPr>
          <w:rFonts w:ascii="Arial" w:hAnsi="Arial" w:cs="Arial"/>
          <w:i/>
          <w:sz w:val="18"/>
          <w:szCs w:val="18"/>
        </w:rPr>
        <w:t>repayments</w:t>
      </w:r>
      <w:r w:rsidR="004361D8" w:rsidRPr="00F313E2">
        <w:rPr>
          <w:rFonts w:ascii="Arial" w:hAnsi="Arial" w:cs="Arial"/>
          <w:i/>
          <w:sz w:val="18"/>
          <w:szCs w:val="18"/>
        </w:rPr>
        <w:t>.</w:t>
      </w:r>
      <w:r w:rsidRPr="00F313E2">
        <w:rPr>
          <w:rFonts w:ascii="Arial" w:hAnsi="Arial" w:cs="Arial"/>
          <w:i/>
          <w:sz w:val="18"/>
          <w:szCs w:val="18"/>
        </w:rPr>
        <w:t xml:space="preserve"> </w:t>
      </w:r>
    </w:p>
    <w:p w14:paraId="42B5812F" w14:textId="72FD477E" w:rsidR="002F0441" w:rsidRPr="00D26131" w:rsidRDefault="002F0441" w:rsidP="002F0441">
      <w:pPr>
        <w:pStyle w:val="BodyText"/>
        <w:ind w:left="720"/>
        <w:rPr>
          <w:rFonts w:ascii="Arial" w:hAnsi="Arial" w:cs="Arial"/>
          <w:sz w:val="22"/>
          <w:szCs w:val="22"/>
          <w:highlight w:val="yellow"/>
        </w:rPr>
      </w:pPr>
    </w:p>
    <w:p w14:paraId="4829ADFB" w14:textId="509B123C" w:rsidR="00062BC5" w:rsidRPr="003B66D5" w:rsidRDefault="009C4A26" w:rsidP="005B34C4">
      <w:pPr>
        <w:pStyle w:val="BodyText"/>
        <w:numPr>
          <w:ilvl w:val="2"/>
          <w:numId w:val="23"/>
        </w:numPr>
        <w:tabs>
          <w:tab w:val="num" w:pos="3240"/>
        </w:tabs>
        <w:rPr>
          <w:rFonts w:ascii="Arial" w:hAnsi="Arial" w:cs="Arial"/>
          <w:sz w:val="22"/>
          <w:szCs w:val="22"/>
        </w:rPr>
      </w:pPr>
      <w:r>
        <w:rPr>
          <w:rFonts w:ascii="Arial" w:hAnsi="Arial" w:cs="Arial"/>
          <w:sz w:val="22"/>
          <w:szCs w:val="22"/>
        </w:rPr>
        <w:t xml:space="preserve">The expected outturn for 2023/24 reflects the cumulative adjustment for service concession arrangements. </w:t>
      </w:r>
      <w:r w:rsidR="00062BC5" w:rsidRPr="003B66D5">
        <w:rPr>
          <w:rFonts w:ascii="Arial" w:hAnsi="Arial" w:cs="Arial"/>
          <w:sz w:val="22"/>
          <w:szCs w:val="22"/>
        </w:rPr>
        <w:t>The above budget</w:t>
      </w:r>
      <w:r>
        <w:rPr>
          <w:rFonts w:ascii="Arial" w:hAnsi="Arial" w:cs="Arial"/>
          <w:sz w:val="22"/>
          <w:szCs w:val="22"/>
        </w:rPr>
        <w:t xml:space="preserve">s </w:t>
      </w:r>
      <w:r w:rsidR="00062BC5" w:rsidRPr="003B66D5">
        <w:rPr>
          <w:rFonts w:ascii="Arial" w:hAnsi="Arial" w:cs="Arial"/>
          <w:sz w:val="22"/>
          <w:szCs w:val="22"/>
        </w:rPr>
        <w:t xml:space="preserve">exclude the revenue impact of funding the cost of the </w:t>
      </w:r>
      <w:r w:rsidR="00FC32FB">
        <w:rPr>
          <w:rFonts w:ascii="Arial" w:hAnsi="Arial" w:cs="Arial"/>
          <w:sz w:val="22"/>
          <w:szCs w:val="22"/>
        </w:rPr>
        <w:t>National Housing Trust</w:t>
      </w:r>
      <w:r>
        <w:rPr>
          <w:rFonts w:ascii="Arial" w:hAnsi="Arial" w:cs="Arial"/>
          <w:sz w:val="22"/>
          <w:szCs w:val="22"/>
        </w:rPr>
        <w:t xml:space="preserve"> </w:t>
      </w:r>
      <w:r w:rsidR="00FC32FB">
        <w:rPr>
          <w:rFonts w:ascii="Arial" w:hAnsi="Arial" w:cs="Arial"/>
          <w:sz w:val="22"/>
          <w:szCs w:val="22"/>
        </w:rPr>
        <w:t>(NHT)</w:t>
      </w:r>
      <w:r w:rsidR="00062BC5" w:rsidRPr="003B66D5">
        <w:rPr>
          <w:rFonts w:ascii="Arial" w:hAnsi="Arial" w:cs="Arial"/>
          <w:sz w:val="22"/>
          <w:szCs w:val="22"/>
        </w:rPr>
        <w:t xml:space="preserve"> and the lending to R</w:t>
      </w:r>
      <w:r w:rsidR="00FC32FB">
        <w:rPr>
          <w:rFonts w:ascii="Arial" w:hAnsi="Arial" w:cs="Arial"/>
          <w:sz w:val="22"/>
          <w:szCs w:val="22"/>
        </w:rPr>
        <w:t xml:space="preserve">egistered Social </w:t>
      </w:r>
      <w:r w:rsidR="00287AD9">
        <w:rPr>
          <w:rFonts w:ascii="Arial" w:hAnsi="Arial" w:cs="Arial"/>
          <w:sz w:val="22"/>
          <w:szCs w:val="22"/>
        </w:rPr>
        <w:t>Landlord</w:t>
      </w:r>
      <w:r w:rsidR="00287AD9" w:rsidRPr="003B66D5">
        <w:rPr>
          <w:rFonts w:ascii="Arial" w:hAnsi="Arial" w:cs="Arial"/>
          <w:sz w:val="22"/>
          <w:szCs w:val="22"/>
        </w:rPr>
        <w:t>s</w:t>
      </w:r>
      <w:r w:rsidR="00287AD9">
        <w:rPr>
          <w:rFonts w:ascii="Arial" w:hAnsi="Arial" w:cs="Arial"/>
          <w:sz w:val="22"/>
          <w:szCs w:val="22"/>
        </w:rPr>
        <w:t xml:space="preserve"> (</w:t>
      </w:r>
      <w:r w:rsidR="00622277">
        <w:rPr>
          <w:rFonts w:ascii="Arial" w:hAnsi="Arial" w:cs="Arial"/>
          <w:sz w:val="22"/>
          <w:szCs w:val="22"/>
        </w:rPr>
        <w:t>RSL)</w:t>
      </w:r>
      <w:r w:rsidR="00062BC5" w:rsidRPr="003B66D5">
        <w:rPr>
          <w:rFonts w:ascii="Arial" w:hAnsi="Arial" w:cs="Arial"/>
          <w:sz w:val="22"/>
          <w:szCs w:val="22"/>
        </w:rPr>
        <w:t xml:space="preserve"> and lending in respect of the Council-led house building programme with the Scottish Futures Trust, as these are assumed to be revenue neutral overall.</w:t>
      </w:r>
      <w:r w:rsidR="00062BC5" w:rsidRPr="003B66D5">
        <w:rPr>
          <w:rFonts w:ascii="Arial" w:hAnsi="Arial" w:cs="Arial"/>
          <w:sz w:val="22"/>
          <w:szCs w:val="22"/>
        </w:rPr>
        <w:br/>
      </w:r>
    </w:p>
    <w:p w14:paraId="02046216" w14:textId="693C95A8" w:rsidR="00062BC5" w:rsidRPr="003B66D5" w:rsidRDefault="00062BC5" w:rsidP="005B34C4">
      <w:pPr>
        <w:pStyle w:val="BodyText"/>
        <w:numPr>
          <w:ilvl w:val="1"/>
          <w:numId w:val="23"/>
        </w:numPr>
        <w:rPr>
          <w:rFonts w:ascii="Arial" w:hAnsi="Arial" w:cs="Arial"/>
          <w:sz w:val="22"/>
          <w:szCs w:val="22"/>
        </w:rPr>
      </w:pPr>
      <w:r w:rsidRPr="003B66D5">
        <w:rPr>
          <w:rFonts w:ascii="Arial" w:hAnsi="Arial" w:cs="Arial"/>
          <w:sz w:val="22"/>
          <w:szCs w:val="22"/>
        </w:rPr>
        <w:t xml:space="preserve">The indicators, based on actual performance for the year, will be included in the Treasury Management Annual Report for </w:t>
      </w:r>
      <w:r w:rsidR="00FB4DFE" w:rsidRPr="003B66D5">
        <w:rPr>
          <w:rFonts w:ascii="Arial" w:hAnsi="Arial" w:cs="Arial"/>
          <w:sz w:val="22"/>
          <w:szCs w:val="22"/>
        </w:rPr>
        <w:t>202</w:t>
      </w:r>
      <w:r w:rsidR="00CF51AD">
        <w:rPr>
          <w:rFonts w:ascii="Arial" w:hAnsi="Arial" w:cs="Arial"/>
          <w:sz w:val="22"/>
          <w:szCs w:val="22"/>
        </w:rPr>
        <w:t>4</w:t>
      </w:r>
      <w:r w:rsidR="00655B24" w:rsidRPr="003B66D5">
        <w:rPr>
          <w:rFonts w:ascii="Arial" w:hAnsi="Arial" w:cs="Arial"/>
          <w:sz w:val="22"/>
          <w:szCs w:val="22"/>
        </w:rPr>
        <w:t>/2</w:t>
      </w:r>
      <w:r w:rsidR="00CF51AD">
        <w:rPr>
          <w:rFonts w:ascii="Arial" w:hAnsi="Arial" w:cs="Arial"/>
          <w:sz w:val="22"/>
          <w:szCs w:val="22"/>
        </w:rPr>
        <w:t>5</w:t>
      </w:r>
      <w:r w:rsidRPr="003B66D5">
        <w:rPr>
          <w:rFonts w:ascii="Arial" w:hAnsi="Arial" w:cs="Arial"/>
          <w:sz w:val="22"/>
          <w:szCs w:val="22"/>
        </w:rPr>
        <w:t>.</w:t>
      </w:r>
    </w:p>
    <w:p w14:paraId="7D3388AE" w14:textId="77777777" w:rsidR="00FD5F3C" w:rsidRPr="00D26131" w:rsidRDefault="00062BC5" w:rsidP="00FD5F3C">
      <w:pPr>
        <w:tabs>
          <w:tab w:val="right" w:pos="5040"/>
        </w:tabs>
        <w:ind w:left="567"/>
        <w:rPr>
          <w:rFonts w:cs="Arial"/>
          <w:b/>
          <w:iCs/>
          <w:color w:val="993366"/>
          <w:sz w:val="28"/>
          <w:szCs w:val="28"/>
          <w:highlight w:val="yellow"/>
        </w:rPr>
      </w:pPr>
      <w:r w:rsidRPr="00D26131">
        <w:rPr>
          <w:rFonts w:cs="Arial"/>
          <w:b/>
          <w:iCs/>
          <w:color w:val="993366"/>
          <w:sz w:val="28"/>
          <w:szCs w:val="28"/>
          <w:highlight w:val="yellow"/>
        </w:rPr>
        <w:br/>
      </w:r>
    </w:p>
    <w:p w14:paraId="3D0F7F3D" w14:textId="77777777" w:rsidR="00FD5F3C" w:rsidRPr="00D26131" w:rsidRDefault="00FD5F3C">
      <w:pPr>
        <w:rPr>
          <w:rFonts w:cs="Arial"/>
          <w:b/>
          <w:iCs/>
          <w:color w:val="993366"/>
          <w:sz w:val="28"/>
          <w:szCs w:val="28"/>
          <w:highlight w:val="yellow"/>
        </w:rPr>
      </w:pPr>
      <w:r w:rsidRPr="00D26131">
        <w:rPr>
          <w:rFonts w:cs="Arial"/>
          <w:b/>
          <w:iCs/>
          <w:color w:val="993366"/>
          <w:sz w:val="28"/>
          <w:szCs w:val="28"/>
          <w:highlight w:val="yellow"/>
        </w:rPr>
        <w:br w:type="page"/>
      </w:r>
    </w:p>
    <w:p w14:paraId="169113AA" w14:textId="77777777" w:rsidR="00D142C9" w:rsidRPr="00D26131" w:rsidRDefault="00D142C9" w:rsidP="00FD5F3C">
      <w:pPr>
        <w:tabs>
          <w:tab w:val="right" w:pos="5040"/>
        </w:tabs>
        <w:ind w:left="567"/>
        <w:rPr>
          <w:rFonts w:cs="Arial"/>
          <w:b/>
          <w:iCs/>
          <w:color w:val="993366"/>
          <w:sz w:val="28"/>
          <w:szCs w:val="28"/>
          <w:highlight w:val="yellow"/>
        </w:rPr>
      </w:pPr>
    </w:p>
    <w:p w14:paraId="56AC25B1" w14:textId="77777777" w:rsidR="00062BC5" w:rsidRPr="00D26131" w:rsidRDefault="00062BC5" w:rsidP="00812B16">
      <w:pPr>
        <w:keepLines/>
        <w:ind w:left="630"/>
        <w:jc w:val="center"/>
        <w:rPr>
          <w:rFonts w:cs="Arial"/>
          <w:b/>
          <w:color w:val="993366"/>
          <w:sz w:val="52"/>
          <w:szCs w:val="52"/>
          <w:highlight w:val="yellow"/>
        </w:rPr>
      </w:pPr>
    </w:p>
    <w:p w14:paraId="252ED556" w14:textId="77777777" w:rsidR="00062BC5" w:rsidRPr="00D26131" w:rsidRDefault="00062BC5" w:rsidP="00812B16">
      <w:pPr>
        <w:keepLines/>
        <w:ind w:left="630"/>
        <w:jc w:val="center"/>
        <w:rPr>
          <w:rFonts w:cs="Arial"/>
          <w:b/>
          <w:color w:val="993366"/>
          <w:sz w:val="52"/>
          <w:szCs w:val="52"/>
          <w:highlight w:val="yellow"/>
        </w:rPr>
      </w:pPr>
    </w:p>
    <w:p w14:paraId="10BB1C83" w14:textId="77777777" w:rsidR="007E0A62" w:rsidRPr="00D26131" w:rsidRDefault="007E0A62" w:rsidP="00812B16">
      <w:pPr>
        <w:keepLines/>
        <w:ind w:left="630"/>
        <w:jc w:val="center"/>
        <w:rPr>
          <w:rFonts w:cs="Arial"/>
          <w:b/>
          <w:color w:val="993366"/>
          <w:sz w:val="52"/>
          <w:szCs w:val="52"/>
          <w:highlight w:val="yellow"/>
        </w:rPr>
      </w:pPr>
    </w:p>
    <w:p w14:paraId="75418003" w14:textId="77777777" w:rsidR="007E0A62" w:rsidRPr="00D26131" w:rsidRDefault="007E0A62" w:rsidP="00812B16">
      <w:pPr>
        <w:keepLines/>
        <w:ind w:left="630"/>
        <w:jc w:val="center"/>
        <w:rPr>
          <w:rFonts w:cs="Arial"/>
          <w:b/>
          <w:color w:val="993366"/>
          <w:sz w:val="52"/>
          <w:szCs w:val="52"/>
          <w:highlight w:val="yellow"/>
        </w:rPr>
      </w:pPr>
    </w:p>
    <w:p w14:paraId="6CD8FCA8" w14:textId="77777777" w:rsidR="007E0A62" w:rsidRPr="00D26131" w:rsidRDefault="007E0A62" w:rsidP="00812B16">
      <w:pPr>
        <w:keepLines/>
        <w:ind w:left="630"/>
        <w:jc w:val="center"/>
        <w:rPr>
          <w:rFonts w:cs="Arial"/>
          <w:b/>
          <w:color w:val="993366"/>
          <w:sz w:val="52"/>
          <w:szCs w:val="52"/>
          <w:highlight w:val="yellow"/>
        </w:rPr>
      </w:pPr>
    </w:p>
    <w:p w14:paraId="5B61A5C0" w14:textId="77777777" w:rsidR="007E0A62" w:rsidRPr="00D26131" w:rsidRDefault="007E0A62" w:rsidP="00812B16">
      <w:pPr>
        <w:keepLines/>
        <w:ind w:left="630"/>
        <w:jc w:val="center"/>
        <w:rPr>
          <w:rFonts w:cs="Arial"/>
          <w:b/>
          <w:color w:val="993366"/>
          <w:sz w:val="52"/>
          <w:szCs w:val="52"/>
          <w:highlight w:val="yellow"/>
        </w:rPr>
      </w:pPr>
    </w:p>
    <w:p w14:paraId="4C20A62B" w14:textId="77777777" w:rsidR="00062BC5" w:rsidRPr="00D26131" w:rsidRDefault="00062BC5" w:rsidP="00812B16">
      <w:pPr>
        <w:keepLines/>
        <w:ind w:left="630"/>
        <w:jc w:val="center"/>
        <w:rPr>
          <w:rFonts w:cs="Arial"/>
          <w:b/>
          <w:color w:val="993366"/>
          <w:sz w:val="52"/>
          <w:szCs w:val="52"/>
          <w:highlight w:val="yellow"/>
        </w:rPr>
      </w:pPr>
    </w:p>
    <w:p w14:paraId="1B939D49" w14:textId="77777777" w:rsidR="00062BC5" w:rsidRPr="00D26131" w:rsidRDefault="00062BC5" w:rsidP="00812B16">
      <w:pPr>
        <w:keepLines/>
        <w:ind w:left="630"/>
        <w:jc w:val="center"/>
        <w:rPr>
          <w:rFonts w:cs="Arial"/>
          <w:b/>
          <w:color w:val="993366"/>
          <w:sz w:val="52"/>
          <w:szCs w:val="52"/>
          <w:highlight w:val="yellow"/>
        </w:rPr>
      </w:pPr>
    </w:p>
    <w:p w14:paraId="0905AEF2" w14:textId="77777777" w:rsidR="00062BC5" w:rsidRPr="00D26131" w:rsidRDefault="00062BC5" w:rsidP="00812B16">
      <w:pPr>
        <w:keepLines/>
        <w:ind w:left="630"/>
        <w:jc w:val="center"/>
        <w:rPr>
          <w:rFonts w:cs="Arial"/>
          <w:b/>
          <w:color w:val="993366"/>
          <w:sz w:val="52"/>
          <w:szCs w:val="52"/>
          <w:highlight w:val="yellow"/>
        </w:rPr>
      </w:pPr>
    </w:p>
    <w:p w14:paraId="3A1540F2" w14:textId="77777777" w:rsidR="00062BC5" w:rsidRPr="00BA7339" w:rsidRDefault="00062BC5" w:rsidP="00812B16">
      <w:pPr>
        <w:keepLines/>
        <w:ind w:left="630"/>
        <w:jc w:val="center"/>
        <w:rPr>
          <w:rFonts w:cs="Arial"/>
          <w:b/>
          <w:color w:val="993366"/>
          <w:sz w:val="52"/>
          <w:szCs w:val="52"/>
        </w:rPr>
      </w:pPr>
      <w:r w:rsidRPr="00BA7339">
        <w:rPr>
          <w:rFonts w:cs="Arial"/>
          <w:b/>
          <w:color w:val="993366"/>
          <w:sz w:val="52"/>
          <w:szCs w:val="52"/>
        </w:rPr>
        <w:t>ANNEXES</w:t>
      </w:r>
    </w:p>
    <w:p w14:paraId="5C69653F" w14:textId="77777777" w:rsidR="00062BC5" w:rsidRPr="00D26131" w:rsidRDefault="00062BC5" w:rsidP="00DE46F1">
      <w:pPr>
        <w:keepLines/>
        <w:rPr>
          <w:b/>
          <w:highlight w:val="yellow"/>
        </w:rPr>
      </w:pPr>
    </w:p>
    <w:p w14:paraId="525DF9DA" w14:textId="77777777" w:rsidR="00062BC5" w:rsidRPr="00D26131" w:rsidRDefault="00062BC5" w:rsidP="00DE46F1">
      <w:pPr>
        <w:keepLines/>
        <w:rPr>
          <w:b/>
          <w:color w:val="993366"/>
          <w:sz w:val="28"/>
          <w:szCs w:val="28"/>
          <w:highlight w:val="yellow"/>
        </w:rPr>
      </w:pPr>
      <w:r w:rsidRPr="00D26131">
        <w:rPr>
          <w:b/>
          <w:highlight w:val="yellow"/>
        </w:rPr>
        <w:br w:type="page"/>
      </w:r>
    </w:p>
    <w:p w14:paraId="2ED85C88" w14:textId="77777777" w:rsidR="005B7B69" w:rsidRDefault="005B7B69" w:rsidP="00DE46F1">
      <w:pPr>
        <w:keepLines/>
        <w:rPr>
          <w:b/>
          <w:color w:val="993366"/>
          <w:sz w:val="28"/>
          <w:szCs w:val="28"/>
        </w:rPr>
      </w:pPr>
    </w:p>
    <w:p w14:paraId="7A470379" w14:textId="22F868C7" w:rsidR="00062BC5" w:rsidRPr="00CA1EB4" w:rsidRDefault="00062BC5" w:rsidP="00DE46F1">
      <w:pPr>
        <w:keepLines/>
        <w:rPr>
          <w:b/>
          <w:color w:val="993366"/>
          <w:sz w:val="28"/>
          <w:szCs w:val="28"/>
        </w:rPr>
      </w:pPr>
      <w:r w:rsidRPr="00CA1EB4">
        <w:rPr>
          <w:b/>
          <w:color w:val="993366"/>
          <w:sz w:val="28"/>
          <w:szCs w:val="28"/>
        </w:rPr>
        <w:t>ANNEX A</w:t>
      </w:r>
    </w:p>
    <w:p w14:paraId="115D2CA6" w14:textId="77777777" w:rsidR="00062BC5" w:rsidRPr="00D26131" w:rsidRDefault="00062BC5" w:rsidP="00DE46F1">
      <w:pPr>
        <w:keepLines/>
        <w:rPr>
          <w:b/>
          <w:color w:val="993366"/>
          <w:sz w:val="28"/>
          <w:szCs w:val="28"/>
          <w:highlight w:val="yellow"/>
        </w:rPr>
      </w:pPr>
      <w:r w:rsidRPr="00CA1EB4">
        <w:rPr>
          <w:b/>
          <w:color w:val="993366"/>
          <w:sz w:val="28"/>
          <w:szCs w:val="28"/>
        </w:rPr>
        <w:t>SUMMARY OF PRUDENTIAL AND TREASURY INDICATORS</w:t>
      </w:r>
    </w:p>
    <w:p w14:paraId="3E86A12A" w14:textId="77777777" w:rsidR="00062BC5" w:rsidRPr="00D26131" w:rsidRDefault="00062BC5" w:rsidP="00A624C8">
      <w:pPr>
        <w:keepLines/>
        <w:ind w:left="-284" w:right="-1"/>
        <w:rPr>
          <w:b/>
          <w:color w:val="993366"/>
          <w:sz w:val="28"/>
          <w:szCs w:val="28"/>
          <w:highlight w:val="yellow"/>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
        <w:gridCol w:w="2857"/>
        <w:gridCol w:w="709"/>
        <w:gridCol w:w="992"/>
        <w:gridCol w:w="993"/>
        <w:gridCol w:w="992"/>
        <w:gridCol w:w="992"/>
        <w:gridCol w:w="992"/>
        <w:gridCol w:w="993"/>
      </w:tblGrid>
      <w:tr w:rsidR="0013732E" w:rsidRPr="00D26131" w14:paraId="2C93381C" w14:textId="74A506CD" w:rsidTr="0013732E">
        <w:trPr>
          <w:trHeight w:val="425"/>
        </w:trPr>
        <w:tc>
          <w:tcPr>
            <w:tcW w:w="1107" w:type="dxa"/>
            <w:gridSpan w:val="2"/>
            <w:tcBorders>
              <w:right w:val="nil"/>
            </w:tcBorders>
            <w:shd w:val="clear" w:color="auto" w:fill="993366"/>
          </w:tcPr>
          <w:p w14:paraId="4DE19F53" w14:textId="77777777" w:rsidR="0013732E" w:rsidRPr="00916EA1" w:rsidRDefault="0013732E" w:rsidP="004362CB">
            <w:pPr>
              <w:keepLines/>
              <w:rPr>
                <w:rFonts w:cs="Arial"/>
                <w:b/>
                <w:color w:val="FFFFFF"/>
                <w:highlight w:val="darkMagenta"/>
              </w:rPr>
            </w:pPr>
            <w:r w:rsidRPr="00916EA1">
              <w:rPr>
                <w:rFonts w:cs="Arial"/>
                <w:b/>
                <w:color w:val="FFFFFF"/>
                <w:highlight w:val="darkMagenta"/>
              </w:rPr>
              <w:t>Indicator Ref.</w:t>
            </w:r>
          </w:p>
        </w:tc>
        <w:tc>
          <w:tcPr>
            <w:tcW w:w="2857" w:type="dxa"/>
            <w:tcBorders>
              <w:left w:val="nil"/>
              <w:right w:val="nil"/>
            </w:tcBorders>
            <w:shd w:val="clear" w:color="auto" w:fill="993366"/>
          </w:tcPr>
          <w:p w14:paraId="63AA0F89" w14:textId="77777777" w:rsidR="0013732E" w:rsidRPr="00916EA1" w:rsidRDefault="0013732E" w:rsidP="004362CB">
            <w:pPr>
              <w:keepLines/>
              <w:jc w:val="center"/>
              <w:rPr>
                <w:rFonts w:cs="Arial"/>
                <w:b/>
                <w:color w:val="FFFFFF"/>
                <w:highlight w:val="darkMagenta"/>
              </w:rPr>
            </w:pPr>
            <w:r w:rsidRPr="00916EA1">
              <w:rPr>
                <w:rFonts w:cs="Arial"/>
                <w:b/>
                <w:color w:val="FFFFFF"/>
                <w:highlight w:val="darkMagenta"/>
              </w:rPr>
              <w:t>Indicator</w:t>
            </w:r>
          </w:p>
        </w:tc>
        <w:tc>
          <w:tcPr>
            <w:tcW w:w="709" w:type="dxa"/>
            <w:tcBorders>
              <w:left w:val="nil"/>
              <w:right w:val="nil"/>
            </w:tcBorders>
            <w:shd w:val="clear" w:color="auto" w:fill="993366"/>
          </w:tcPr>
          <w:p w14:paraId="0E22F98D" w14:textId="7807D833" w:rsidR="0013732E" w:rsidRPr="00916EA1" w:rsidRDefault="0013732E" w:rsidP="004362CB">
            <w:pPr>
              <w:keepLines/>
              <w:rPr>
                <w:rFonts w:cs="Arial"/>
                <w:b/>
                <w:color w:val="FFFFFF"/>
                <w:highlight w:val="darkMagenta"/>
              </w:rPr>
            </w:pPr>
            <w:proofErr w:type="spellStart"/>
            <w:r w:rsidRPr="00916EA1">
              <w:rPr>
                <w:rFonts w:cs="Arial"/>
                <w:b/>
                <w:color w:val="FFFFFF"/>
                <w:highlight w:val="darkMagenta"/>
              </w:rPr>
              <w:t>PageRef</w:t>
            </w:r>
            <w:proofErr w:type="spellEnd"/>
            <w:r w:rsidRPr="00916EA1">
              <w:rPr>
                <w:rFonts w:cs="Arial"/>
                <w:b/>
                <w:color w:val="FFFFFF"/>
                <w:highlight w:val="darkMagenta"/>
              </w:rPr>
              <w:t>.</w:t>
            </w:r>
          </w:p>
        </w:tc>
        <w:tc>
          <w:tcPr>
            <w:tcW w:w="992" w:type="dxa"/>
            <w:tcBorders>
              <w:left w:val="nil"/>
              <w:right w:val="nil"/>
            </w:tcBorders>
            <w:shd w:val="clear" w:color="auto" w:fill="993366"/>
          </w:tcPr>
          <w:p w14:paraId="6ECC5695" w14:textId="2B429419" w:rsidR="0013732E" w:rsidRPr="00916EA1" w:rsidRDefault="0013732E" w:rsidP="00916EA1">
            <w:pPr>
              <w:keepLines/>
              <w:rPr>
                <w:rFonts w:cs="Arial"/>
                <w:b/>
                <w:color w:val="FFFFFF"/>
                <w:highlight w:val="darkMagenta"/>
              </w:rPr>
            </w:pPr>
            <w:r w:rsidRPr="00916EA1">
              <w:rPr>
                <w:rFonts w:cs="Arial"/>
                <w:b/>
                <w:color w:val="FFFFFF"/>
                <w:highlight w:val="darkMagenta"/>
              </w:rPr>
              <w:t>202</w:t>
            </w:r>
            <w:r>
              <w:rPr>
                <w:rFonts w:cs="Arial"/>
                <w:b/>
                <w:color w:val="FFFFFF"/>
                <w:highlight w:val="darkMagenta"/>
              </w:rPr>
              <w:t>3</w:t>
            </w:r>
            <w:r w:rsidRPr="00916EA1">
              <w:rPr>
                <w:rFonts w:cs="Arial"/>
                <w:b/>
                <w:color w:val="FFFFFF"/>
                <w:highlight w:val="darkMagenta"/>
              </w:rPr>
              <w:t>/2</w:t>
            </w:r>
            <w:r>
              <w:rPr>
                <w:rFonts w:cs="Arial"/>
                <w:b/>
                <w:color w:val="FFFFFF"/>
                <w:highlight w:val="darkMagenta"/>
              </w:rPr>
              <w:t>4</w:t>
            </w:r>
          </w:p>
        </w:tc>
        <w:tc>
          <w:tcPr>
            <w:tcW w:w="993" w:type="dxa"/>
            <w:tcBorders>
              <w:left w:val="nil"/>
              <w:right w:val="nil"/>
            </w:tcBorders>
            <w:shd w:val="clear" w:color="auto" w:fill="993366"/>
          </w:tcPr>
          <w:p w14:paraId="30229375" w14:textId="7A86132D" w:rsidR="0013732E" w:rsidRPr="00916EA1" w:rsidRDefault="0013732E" w:rsidP="00916EA1">
            <w:pPr>
              <w:keepLines/>
              <w:rPr>
                <w:rFonts w:cs="Arial"/>
                <w:b/>
                <w:color w:val="FFFFFF"/>
                <w:highlight w:val="darkMagenta"/>
              </w:rPr>
            </w:pPr>
            <w:r w:rsidRPr="00916EA1">
              <w:rPr>
                <w:rFonts w:cs="Arial"/>
                <w:b/>
                <w:color w:val="FFFFFF"/>
                <w:highlight w:val="darkMagenta"/>
              </w:rPr>
              <w:t>202</w:t>
            </w:r>
            <w:r>
              <w:rPr>
                <w:rFonts w:cs="Arial"/>
                <w:b/>
                <w:color w:val="FFFFFF"/>
                <w:highlight w:val="darkMagenta"/>
              </w:rPr>
              <w:t>4</w:t>
            </w:r>
            <w:r w:rsidRPr="00916EA1">
              <w:rPr>
                <w:rFonts w:cs="Arial"/>
                <w:b/>
                <w:color w:val="FFFFFF"/>
                <w:highlight w:val="darkMagenta"/>
              </w:rPr>
              <w:t>/2</w:t>
            </w:r>
            <w:r>
              <w:rPr>
                <w:rFonts w:cs="Arial"/>
                <w:b/>
                <w:color w:val="FFFFFF"/>
                <w:highlight w:val="darkMagenta"/>
              </w:rPr>
              <w:t>5</w:t>
            </w:r>
          </w:p>
        </w:tc>
        <w:tc>
          <w:tcPr>
            <w:tcW w:w="992" w:type="dxa"/>
            <w:tcBorders>
              <w:left w:val="nil"/>
              <w:right w:val="nil"/>
            </w:tcBorders>
            <w:shd w:val="clear" w:color="auto" w:fill="993366"/>
          </w:tcPr>
          <w:p w14:paraId="397FB6C3" w14:textId="0309EDE3" w:rsidR="0013732E" w:rsidRPr="00916EA1" w:rsidRDefault="0013732E" w:rsidP="00916EA1">
            <w:pPr>
              <w:keepLines/>
              <w:rPr>
                <w:rFonts w:cs="Arial"/>
                <w:b/>
                <w:color w:val="FFFFFF"/>
                <w:highlight w:val="darkMagenta"/>
              </w:rPr>
            </w:pPr>
            <w:r w:rsidRPr="00916EA1">
              <w:rPr>
                <w:rFonts w:cs="Arial"/>
                <w:b/>
                <w:color w:val="FFFFFF"/>
                <w:highlight w:val="darkMagenta"/>
              </w:rPr>
              <w:t>202</w:t>
            </w:r>
            <w:r>
              <w:rPr>
                <w:rFonts w:cs="Arial"/>
                <w:b/>
                <w:color w:val="FFFFFF"/>
                <w:highlight w:val="darkMagenta"/>
              </w:rPr>
              <w:t>5</w:t>
            </w:r>
            <w:r w:rsidRPr="00916EA1">
              <w:rPr>
                <w:rFonts w:cs="Arial"/>
                <w:b/>
                <w:color w:val="FFFFFF"/>
                <w:highlight w:val="darkMagenta"/>
              </w:rPr>
              <w:t>/2</w:t>
            </w:r>
            <w:r w:rsidR="00C8615B">
              <w:rPr>
                <w:rFonts w:cs="Arial"/>
                <w:b/>
                <w:color w:val="FFFFFF"/>
                <w:highlight w:val="darkMagenta"/>
              </w:rPr>
              <w:t>6</w:t>
            </w:r>
          </w:p>
        </w:tc>
        <w:tc>
          <w:tcPr>
            <w:tcW w:w="992" w:type="dxa"/>
            <w:tcBorders>
              <w:left w:val="nil"/>
              <w:right w:val="nil"/>
            </w:tcBorders>
            <w:shd w:val="clear" w:color="auto" w:fill="993366"/>
          </w:tcPr>
          <w:p w14:paraId="739326B6" w14:textId="7F64AAAB" w:rsidR="0013732E" w:rsidRPr="00916EA1" w:rsidRDefault="0013732E" w:rsidP="00916EA1">
            <w:pPr>
              <w:keepLines/>
              <w:rPr>
                <w:rFonts w:cs="Arial"/>
                <w:b/>
                <w:color w:val="FFFFFF"/>
                <w:highlight w:val="darkMagenta"/>
              </w:rPr>
            </w:pPr>
            <w:r w:rsidRPr="00916EA1">
              <w:rPr>
                <w:rFonts w:cs="Arial"/>
                <w:b/>
                <w:color w:val="FFFFFF"/>
                <w:highlight w:val="darkMagenta"/>
              </w:rPr>
              <w:t>202</w:t>
            </w:r>
            <w:r w:rsidR="00C8615B">
              <w:rPr>
                <w:rFonts w:cs="Arial"/>
                <w:b/>
                <w:color w:val="FFFFFF"/>
                <w:highlight w:val="darkMagenta"/>
              </w:rPr>
              <w:t>6</w:t>
            </w:r>
            <w:r w:rsidRPr="00916EA1">
              <w:rPr>
                <w:rFonts w:cs="Arial"/>
                <w:b/>
                <w:color w:val="FFFFFF"/>
                <w:highlight w:val="darkMagenta"/>
              </w:rPr>
              <w:t>/2</w:t>
            </w:r>
            <w:r w:rsidR="00C8615B">
              <w:rPr>
                <w:rFonts w:cs="Arial"/>
                <w:b/>
                <w:color w:val="FFFFFF"/>
                <w:highlight w:val="darkMagenta"/>
              </w:rPr>
              <w:t>7</w:t>
            </w:r>
          </w:p>
        </w:tc>
        <w:tc>
          <w:tcPr>
            <w:tcW w:w="992" w:type="dxa"/>
            <w:tcBorders>
              <w:left w:val="nil"/>
            </w:tcBorders>
            <w:shd w:val="clear" w:color="auto" w:fill="993366"/>
          </w:tcPr>
          <w:p w14:paraId="6F410615" w14:textId="2FD92B48" w:rsidR="0013732E" w:rsidRPr="00916EA1" w:rsidRDefault="0013732E" w:rsidP="004362CB">
            <w:pPr>
              <w:keepLines/>
              <w:jc w:val="right"/>
              <w:rPr>
                <w:rFonts w:cs="Arial"/>
                <w:b/>
                <w:color w:val="FFFFFF"/>
                <w:highlight w:val="darkMagenta"/>
              </w:rPr>
            </w:pPr>
            <w:r w:rsidRPr="00916EA1">
              <w:rPr>
                <w:rFonts w:cs="Arial"/>
                <w:b/>
                <w:color w:val="FFFFFF"/>
                <w:highlight w:val="darkMagenta"/>
              </w:rPr>
              <w:t>202</w:t>
            </w:r>
            <w:r w:rsidR="00C8615B">
              <w:rPr>
                <w:rFonts w:cs="Arial"/>
                <w:b/>
                <w:color w:val="FFFFFF"/>
                <w:highlight w:val="darkMagenta"/>
              </w:rPr>
              <w:t>7</w:t>
            </w:r>
            <w:r w:rsidRPr="00916EA1">
              <w:rPr>
                <w:rFonts w:cs="Arial"/>
                <w:b/>
                <w:color w:val="FFFFFF"/>
                <w:highlight w:val="darkMagenta"/>
              </w:rPr>
              <w:t>/2</w:t>
            </w:r>
            <w:r w:rsidR="00C8615B">
              <w:rPr>
                <w:rFonts w:cs="Arial"/>
                <w:b/>
                <w:color w:val="FFFFFF"/>
                <w:highlight w:val="darkMagenta"/>
              </w:rPr>
              <w:t>8</w:t>
            </w:r>
          </w:p>
        </w:tc>
        <w:tc>
          <w:tcPr>
            <w:tcW w:w="993" w:type="dxa"/>
            <w:tcBorders>
              <w:left w:val="nil"/>
            </w:tcBorders>
            <w:shd w:val="clear" w:color="auto" w:fill="993366"/>
          </w:tcPr>
          <w:p w14:paraId="7A02D9DC" w14:textId="6379AAD3" w:rsidR="0013732E" w:rsidRPr="00916EA1" w:rsidRDefault="0013732E" w:rsidP="00C8615B">
            <w:pPr>
              <w:keepLines/>
              <w:ind w:right="-242"/>
              <w:jc w:val="center"/>
              <w:rPr>
                <w:rFonts w:cs="Arial"/>
                <w:b/>
                <w:color w:val="FFFFFF"/>
                <w:highlight w:val="darkMagenta"/>
              </w:rPr>
            </w:pPr>
            <w:r w:rsidRPr="00916EA1">
              <w:rPr>
                <w:rFonts w:cs="Arial"/>
                <w:b/>
                <w:color w:val="FFFFFF"/>
                <w:highlight w:val="darkMagenta"/>
              </w:rPr>
              <w:t>202</w:t>
            </w:r>
            <w:r w:rsidR="00C8615B">
              <w:rPr>
                <w:rFonts w:cs="Arial"/>
                <w:b/>
                <w:color w:val="FFFFFF"/>
                <w:highlight w:val="darkMagenta"/>
              </w:rPr>
              <w:t>8</w:t>
            </w:r>
            <w:r>
              <w:rPr>
                <w:rFonts w:cs="Arial"/>
                <w:b/>
                <w:color w:val="FFFFFF"/>
                <w:highlight w:val="darkMagenta"/>
              </w:rPr>
              <w:t>/</w:t>
            </w:r>
            <w:r w:rsidRPr="00916EA1">
              <w:rPr>
                <w:rFonts w:cs="Arial"/>
                <w:b/>
                <w:color w:val="FFFFFF"/>
                <w:highlight w:val="darkMagenta"/>
              </w:rPr>
              <w:t>2</w:t>
            </w:r>
            <w:r w:rsidR="00C8615B">
              <w:rPr>
                <w:rFonts w:cs="Arial"/>
                <w:b/>
                <w:color w:val="FFFFFF"/>
                <w:highlight w:val="darkMagenta"/>
              </w:rPr>
              <w:t>9</w:t>
            </w:r>
          </w:p>
        </w:tc>
      </w:tr>
      <w:tr w:rsidR="0013732E" w:rsidRPr="00D26131" w14:paraId="6D8E746F" w14:textId="76AC1019" w:rsidTr="0013732E">
        <w:trPr>
          <w:trHeight w:val="425"/>
        </w:trPr>
        <w:tc>
          <w:tcPr>
            <w:tcW w:w="10627" w:type="dxa"/>
            <w:gridSpan w:val="10"/>
            <w:vAlign w:val="center"/>
          </w:tcPr>
          <w:p w14:paraId="41F28698" w14:textId="5C53DF81" w:rsidR="0013732E" w:rsidRPr="00916EA1" w:rsidRDefault="0013732E" w:rsidP="00653936">
            <w:pPr>
              <w:keepLines/>
              <w:rPr>
                <w:rFonts w:cs="Arial"/>
                <w:b/>
              </w:rPr>
            </w:pPr>
            <w:r w:rsidRPr="00916EA1">
              <w:rPr>
                <w:rFonts w:cs="Arial"/>
                <w:b/>
              </w:rPr>
              <w:t>PRUDENTIAL INDICATORS</w:t>
            </w:r>
          </w:p>
        </w:tc>
      </w:tr>
      <w:tr w:rsidR="0013732E" w:rsidRPr="00D26131" w14:paraId="174B7C58" w14:textId="671B6F99" w:rsidTr="0013732E">
        <w:trPr>
          <w:trHeight w:val="425"/>
        </w:trPr>
        <w:tc>
          <w:tcPr>
            <w:tcW w:w="10627" w:type="dxa"/>
            <w:gridSpan w:val="10"/>
            <w:vAlign w:val="center"/>
          </w:tcPr>
          <w:p w14:paraId="2295322D" w14:textId="4B8C8002" w:rsidR="0013732E" w:rsidRPr="00916EA1" w:rsidRDefault="0013732E" w:rsidP="00653936">
            <w:pPr>
              <w:keepLines/>
              <w:rPr>
                <w:rFonts w:cs="Arial"/>
                <w:b/>
              </w:rPr>
            </w:pPr>
            <w:r w:rsidRPr="00916EA1">
              <w:rPr>
                <w:rFonts w:cs="Arial"/>
                <w:b/>
              </w:rPr>
              <w:t>Capital Expenditure Indicator</w:t>
            </w:r>
          </w:p>
        </w:tc>
      </w:tr>
      <w:tr w:rsidR="0013732E" w:rsidRPr="00D26131" w14:paraId="09268BBC" w14:textId="749D37D4" w:rsidTr="0013732E">
        <w:trPr>
          <w:trHeight w:val="425"/>
        </w:trPr>
        <w:tc>
          <w:tcPr>
            <w:tcW w:w="704" w:type="dxa"/>
            <w:vAlign w:val="center"/>
          </w:tcPr>
          <w:p w14:paraId="45EE010D" w14:textId="77777777" w:rsidR="0013732E" w:rsidRPr="00916EA1" w:rsidRDefault="0013732E" w:rsidP="0013732E">
            <w:pPr>
              <w:keepLines/>
              <w:rPr>
                <w:rFonts w:cs="Arial"/>
              </w:rPr>
            </w:pPr>
            <w:r w:rsidRPr="00916EA1">
              <w:rPr>
                <w:rFonts w:cs="Arial"/>
              </w:rPr>
              <w:t>PI-1</w:t>
            </w:r>
          </w:p>
        </w:tc>
        <w:tc>
          <w:tcPr>
            <w:tcW w:w="3260" w:type="dxa"/>
            <w:gridSpan w:val="2"/>
            <w:vAlign w:val="center"/>
          </w:tcPr>
          <w:p w14:paraId="56AB3BB1" w14:textId="77777777" w:rsidR="0013732E" w:rsidRPr="00916EA1" w:rsidRDefault="0013732E" w:rsidP="0013732E">
            <w:pPr>
              <w:keepLines/>
              <w:rPr>
                <w:rFonts w:cs="Arial"/>
              </w:rPr>
            </w:pPr>
            <w:r w:rsidRPr="00916EA1">
              <w:rPr>
                <w:rFonts w:cs="Arial"/>
              </w:rPr>
              <w:t>Capital Expenditure Limits (£m)</w:t>
            </w:r>
          </w:p>
        </w:tc>
        <w:tc>
          <w:tcPr>
            <w:tcW w:w="709" w:type="dxa"/>
            <w:vAlign w:val="center"/>
          </w:tcPr>
          <w:p w14:paraId="021DEBB1" w14:textId="052C137B" w:rsidR="0013732E" w:rsidRPr="00916EA1" w:rsidRDefault="0013732E" w:rsidP="0013732E">
            <w:pPr>
              <w:keepLines/>
              <w:jc w:val="center"/>
              <w:rPr>
                <w:rFonts w:cs="Arial"/>
                <w:highlight w:val="yellow"/>
              </w:rPr>
            </w:pPr>
            <w:r w:rsidRPr="00916EA1">
              <w:rPr>
                <w:rFonts w:cs="Arial"/>
              </w:rPr>
              <w:t>8</w:t>
            </w:r>
          </w:p>
        </w:tc>
        <w:tc>
          <w:tcPr>
            <w:tcW w:w="992" w:type="dxa"/>
            <w:shd w:val="clear" w:color="auto" w:fill="auto"/>
            <w:vAlign w:val="center"/>
          </w:tcPr>
          <w:p w14:paraId="50E7987A" w14:textId="22BDAAFB" w:rsidR="0013732E" w:rsidRPr="00916EA1" w:rsidRDefault="00C21527" w:rsidP="0013732E">
            <w:pPr>
              <w:jc w:val="right"/>
              <w:rPr>
                <w:rFonts w:cs="Arial"/>
                <w:bCs/>
                <w:highlight w:val="yellow"/>
              </w:rPr>
            </w:pPr>
            <w:r>
              <w:rPr>
                <w:rFonts w:cs="Arial"/>
                <w:bCs/>
              </w:rPr>
              <w:t>96.9</w:t>
            </w:r>
          </w:p>
        </w:tc>
        <w:tc>
          <w:tcPr>
            <w:tcW w:w="993" w:type="dxa"/>
            <w:vAlign w:val="center"/>
          </w:tcPr>
          <w:p w14:paraId="5FD15C7C" w14:textId="7B13D47E" w:rsidR="0013732E" w:rsidRPr="00916EA1" w:rsidRDefault="0013732E" w:rsidP="0013732E">
            <w:pPr>
              <w:jc w:val="right"/>
              <w:rPr>
                <w:rFonts w:cs="Arial"/>
                <w:bCs/>
                <w:highlight w:val="yellow"/>
              </w:rPr>
            </w:pPr>
            <w:r w:rsidRPr="00916EA1">
              <w:rPr>
                <w:rFonts w:cs="Arial"/>
                <w:bCs/>
              </w:rPr>
              <w:t>12</w:t>
            </w:r>
            <w:r w:rsidR="00C21527">
              <w:rPr>
                <w:rFonts w:cs="Arial"/>
                <w:bCs/>
              </w:rPr>
              <w:t>1.2</w:t>
            </w:r>
          </w:p>
        </w:tc>
        <w:tc>
          <w:tcPr>
            <w:tcW w:w="992" w:type="dxa"/>
            <w:vAlign w:val="center"/>
          </w:tcPr>
          <w:p w14:paraId="7DD5DB8F" w14:textId="792EBCDD" w:rsidR="0013732E" w:rsidRPr="00916EA1" w:rsidRDefault="00C21527" w:rsidP="0013732E">
            <w:pPr>
              <w:jc w:val="right"/>
              <w:rPr>
                <w:rFonts w:cs="Arial"/>
                <w:bCs/>
                <w:highlight w:val="yellow"/>
              </w:rPr>
            </w:pPr>
            <w:r>
              <w:rPr>
                <w:rFonts w:cs="Arial"/>
                <w:bCs/>
              </w:rPr>
              <w:t>98.3</w:t>
            </w:r>
          </w:p>
        </w:tc>
        <w:tc>
          <w:tcPr>
            <w:tcW w:w="992" w:type="dxa"/>
            <w:shd w:val="clear" w:color="auto" w:fill="auto"/>
            <w:vAlign w:val="center"/>
          </w:tcPr>
          <w:p w14:paraId="1054E6FA" w14:textId="0FE361BB" w:rsidR="0013732E" w:rsidRPr="00916EA1" w:rsidRDefault="00C21527" w:rsidP="0013732E">
            <w:pPr>
              <w:jc w:val="right"/>
              <w:rPr>
                <w:rFonts w:cs="Arial"/>
                <w:bCs/>
                <w:highlight w:val="yellow"/>
              </w:rPr>
            </w:pPr>
            <w:r>
              <w:rPr>
                <w:rFonts w:cs="Arial"/>
                <w:bCs/>
              </w:rPr>
              <w:t>66.3</w:t>
            </w:r>
          </w:p>
        </w:tc>
        <w:tc>
          <w:tcPr>
            <w:tcW w:w="992" w:type="dxa"/>
            <w:shd w:val="clear" w:color="auto" w:fill="auto"/>
            <w:vAlign w:val="center"/>
          </w:tcPr>
          <w:p w14:paraId="242DB932" w14:textId="41DAA0EC" w:rsidR="0013732E" w:rsidRPr="00916EA1" w:rsidRDefault="0013732E" w:rsidP="0013732E">
            <w:pPr>
              <w:jc w:val="right"/>
              <w:rPr>
                <w:rFonts w:cs="Arial"/>
                <w:bCs/>
                <w:highlight w:val="yellow"/>
              </w:rPr>
            </w:pPr>
            <w:r w:rsidRPr="00916EA1">
              <w:rPr>
                <w:rFonts w:cs="Arial"/>
                <w:bCs/>
              </w:rPr>
              <w:t>5</w:t>
            </w:r>
            <w:r w:rsidR="00C21527">
              <w:rPr>
                <w:rFonts w:cs="Arial"/>
                <w:bCs/>
              </w:rPr>
              <w:t>9.6</w:t>
            </w:r>
          </w:p>
        </w:tc>
        <w:tc>
          <w:tcPr>
            <w:tcW w:w="993" w:type="dxa"/>
            <w:vAlign w:val="center"/>
          </w:tcPr>
          <w:p w14:paraId="4E73A864" w14:textId="366FE324" w:rsidR="0013732E" w:rsidRPr="00916EA1" w:rsidRDefault="00C21527" w:rsidP="0013732E">
            <w:pPr>
              <w:jc w:val="right"/>
              <w:rPr>
                <w:rFonts w:cs="Arial"/>
                <w:bCs/>
              </w:rPr>
            </w:pPr>
            <w:r>
              <w:rPr>
                <w:rFonts w:cs="Arial"/>
                <w:bCs/>
              </w:rPr>
              <w:t>24.9</w:t>
            </w:r>
          </w:p>
        </w:tc>
      </w:tr>
      <w:tr w:rsidR="0013732E" w:rsidRPr="00D26131" w14:paraId="30DC3215" w14:textId="122820DC" w:rsidTr="0013732E">
        <w:trPr>
          <w:trHeight w:val="425"/>
        </w:trPr>
        <w:tc>
          <w:tcPr>
            <w:tcW w:w="704" w:type="dxa"/>
            <w:vAlign w:val="center"/>
          </w:tcPr>
          <w:p w14:paraId="26CB533C" w14:textId="77777777" w:rsidR="0013732E" w:rsidRPr="00916EA1" w:rsidRDefault="0013732E" w:rsidP="0013732E">
            <w:pPr>
              <w:keepLines/>
              <w:rPr>
                <w:rFonts w:cs="Arial"/>
              </w:rPr>
            </w:pPr>
            <w:r w:rsidRPr="00916EA1">
              <w:rPr>
                <w:rFonts w:cs="Arial"/>
              </w:rPr>
              <w:t>PI-2</w:t>
            </w:r>
          </w:p>
        </w:tc>
        <w:tc>
          <w:tcPr>
            <w:tcW w:w="3260" w:type="dxa"/>
            <w:gridSpan w:val="2"/>
            <w:vAlign w:val="center"/>
          </w:tcPr>
          <w:p w14:paraId="6144F784" w14:textId="77777777" w:rsidR="0013732E" w:rsidRPr="00916EA1" w:rsidRDefault="0013732E" w:rsidP="0013732E">
            <w:pPr>
              <w:keepLines/>
              <w:rPr>
                <w:rFonts w:cs="Arial"/>
              </w:rPr>
            </w:pPr>
            <w:r w:rsidRPr="00916EA1">
              <w:rPr>
                <w:rFonts w:cs="Arial"/>
              </w:rPr>
              <w:t>Capital Financing Requirement (CFR) (£m)</w:t>
            </w:r>
          </w:p>
        </w:tc>
        <w:tc>
          <w:tcPr>
            <w:tcW w:w="709" w:type="dxa"/>
            <w:vAlign w:val="center"/>
          </w:tcPr>
          <w:p w14:paraId="2DD8712D" w14:textId="2EBB3559" w:rsidR="0013732E" w:rsidRPr="00916EA1" w:rsidRDefault="0013732E" w:rsidP="0013732E">
            <w:pPr>
              <w:keepLines/>
              <w:jc w:val="center"/>
              <w:rPr>
                <w:rFonts w:cs="Arial"/>
                <w:highlight w:val="yellow"/>
              </w:rPr>
            </w:pPr>
            <w:r w:rsidRPr="00916EA1">
              <w:rPr>
                <w:rFonts w:cs="Arial"/>
              </w:rPr>
              <w:t>10</w:t>
            </w:r>
          </w:p>
        </w:tc>
        <w:tc>
          <w:tcPr>
            <w:tcW w:w="992" w:type="dxa"/>
            <w:vAlign w:val="center"/>
          </w:tcPr>
          <w:p w14:paraId="637A863D" w14:textId="3B28582C" w:rsidR="0013732E" w:rsidRPr="00916EA1" w:rsidRDefault="00C21527" w:rsidP="0013732E">
            <w:pPr>
              <w:pStyle w:val="BodyText"/>
              <w:jc w:val="right"/>
              <w:rPr>
                <w:rFonts w:ascii="Arial" w:hAnsi="Arial" w:cs="Arial"/>
                <w:sz w:val="20"/>
                <w:szCs w:val="20"/>
                <w:highlight w:val="yellow"/>
                <w:lang w:val="en-GB"/>
              </w:rPr>
            </w:pPr>
            <w:r>
              <w:rPr>
                <w:rFonts w:ascii="Arial" w:hAnsi="Arial" w:cs="Arial"/>
                <w:sz w:val="20"/>
                <w:szCs w:val="20"/>
                <w:lang w:val="en-GB"/>
              </w:rPr>
              <w:t>415.5</w:t>
            </w:r>
          </w:p>
        </w:tc>
        <w:tc>
          <w:tcPr>
            <w:tcW w:w="993" w:type="dxa"/>
            <w:vAlign w:val="center"/>
          </w:tcPr>
          <w:p w14:paraId="6E7CC985" w14:textId="15AFBDAD" w:rsidR="0013732E" w:rsidRPr="00916EA1" w:rsidRDefault="0013732E" w:rsidP="0013732E">
            <w:pPr>
              <w:pStyle w:val="BodyText"/>
              <w:jc w:val="right"/>
              <w:rPr>
                <w:rFonts w:ascii="Arial" w:hAnsi="Arial" w:cs="Arial"/>
                <w:sz w:val="20"/>
                <w:szCs w:val="20"/>
                <w:highlight w:val="yellow"/>
                <w:lang w:val="en-GB"/>
              </w:rPr>
            </w:pPr>
            <w:r w:rsidRPr="00916EA1">
              <w:rPr>
                <w:rFonts w:ascii="Arial" w:hAnsi="Arial" w:cs="Arial"/>
                <w:sz w:val="20"/>
                <w:szCs w:val="20"/>
                <w:lang w:val="en-GB"/>
              </w:rPr>
              <w:t>4</w:t>
            </w:r>
            <w:r w:rsidR="00C21527">
              <w:rPr>
                <w:rFonts w:ascii="Arial" w:hAnsi="Arial" w:cs="Arial"/>
                <w:sz w:val="20"/>
                <w:szCs w:val="20"/>
                <w:lang w:val="en-GB"/>
              </w:rPr>
              <w:t>80.7</w:t>
            </w:r>
          </w:p>
        </w:tc>
        <w:tc>
          <w:tcPr>
            <w:tcW w:w="992" w:type="dxa"/>
            <w:vAlign w:val="center"/>
          </w:tcPr>
          <w:p w14:paraId="444BDAB8" w14:textId="751D8651" w:rsidR="0013732E" w:rsidRPr="00916EA1" w:rsidRDefault="00C21527" w:rsidP="0013732E">
            <w:pPr>
              <w:pStyle w:val="BodyText"/>
              <w:jc w:val="right"/>
              <w:rPr>
                <w:rFonts w:ascii="Arial" w:hAnsi="Arial" w:cs="Arial"/>
                <w:sz w:val="20"/>
                <w:szCs w:val="20"/>
                <w:highlight w:val="yellow"/>
                <w:lang w:val="en-GB"/>
              </w:rPr>
            </w:pPr>
            <w:r>
              <w:rPr>
                <w:rFonts w:ascii="Arial" w:hAnsi="Arial" w:cs="Arial"/>
                <w:sz w:val="20"/>
                <w:szCs w:val="20"/>
                <w:lang w:val="en-GB"/>
              </w:rPr>
              <w:t>532.4</w:t>
            </w:r>
          </w:p>
        </w:tc>
        <w:tc>
          <w:tcPr>
            <w:tcW w:w="992" w:type="dxa"/>
            <w:shd w:val="clear" w:color="auto" w:fill="auto"/>
            <w:vAlign w:val="center"/>
          </w:tcPr>
          <w:p w14:paraId="2D1291CC" w14:textId="04E36010" w:rsidR="0013732E" w:rsidRPr="00916EA1" w:rsidRDefault="00C21527" w:rsidP="0013732E">
            <w:pPr>
              <w:pStyle w:val="BodyText"/>
              <w:jc w:val="right"/>
              <w:rPr>
                <w:rFonts w:ascii="Arial" w:hAnsi="Arial" w:cs="Arial"/>
                <w:sz w:val="20"/>
                <w:szCs w:val="20"/>
                <w:highlight w:val="yellow"/>
                <w:lang w:val="en-GB"/>
              </w:rPr>
            </w:pPr>
            <w:r>
              <w:rPr>
                <w:rFonts w:ascii="Arial" w:hAnsi="Arial" w:cs="Arial"/>
                <w:sz w:val="20"/>
                <w:szCs w:val="20"/>
                <w:lang w:val="en-GB"/>
              </w:rPr>
              <w:t>555.3</w:t>
            </w:r>
          </w:p>
        </w:tc>
        <w:tc>
          <w:tcPr>
            <w:tcW w:w="992" w:type="dxa"/>
            <w:shd w:val="clear" w:color="auto" w:fill="auto"/>
            <w:vAlign w:val="center"/>
          </w:tcPr>
          <w:p w14:paraId="3C70077E" w14:textId="79964125" w:rsidR="0013732E" w:rsidRPr="00916EA1" w:rsidRDefault="0013732E" w:rsidP="0013732E">
            <w:pPr>
              <w:pStyle w:val="BodyText"/>
              <w:jc w:val="right"/>
              <w:rPr>
                <w:rFonts w:ascii="Arial" w:hAnsi="Arial" w:cs="Arial"/>
                <w:sz w:val="20"/>
                <w:szCs w:val="20"/>
                <w:highlight w:val="yellow"/>
                <w:lang w:val="en-GB"/>
              </w:rPr>
            </w:pPr>
            <w:r w:rsidRPr="00916EA1">
              <w:rPr>
                <w:rFonts w:ascii="Arial" w:hAnsi="Arial" w:cs="Arial"/>
                <w:sz w:val="20"/>
                <w:szCs w:val="20"/>
                <w:lang w:val="en-GB"/>
              </w:rPr>
              <w:t>5</w:t>
            </w:r>
            <w:r w:rsidR="00C21527">
              <w:rPr>
                <w:rFonts w:ascii="Arial" w:hAnsi="Arial" w:cs="Arial"/>
                <w:sz w:val="20"/>
                <w:szCs w:val="20"/>
                <w:lang w:val="en-GB"/>
              </w:rPr>
              <w:t>76.5</w:t>
            </w:r>
          </w:p>
        </w:tc>
        <w:tc>
          <w:tcPr>
            <w:tcW w:w="993" w:type="dxa"/>
            <w:vAlign w:val="center"/>
          </w:tcPr>
          <w:p w14:paraId="288156A3" w14:textId="68A7B6B4" w:rsidR="0013732E" w:rsidRPr="00916EA1" w:rsidRDefault="0013732E" w:rsidP="0013732E">
            <w:pPr>
              <w:pStyle w:val="BodyText"/>
              <w:jc w:val="right"/>
              <w:rPr>
                <w:rFonts w:ascii="Arial" w:hAnsi="Arial" w:cs="Arial"/>
                <w:sz w:val="20"/>
                <w:szCs w:val="20"/>
                <w:lang w:val="en-GB"/>
              </w:rPr>
            </w:pPr>
            <w:r w:rsidRPr="00916EA1">
              <w:rPr>
                <w:rFonts w:ascii="Arial" w:hAnsi="Arial" w:cs="Arial"/>
                <w:sz w:val="20"/>
                <w:szCs w:val="20"/>
                <w:lang w:val="en-GB"/>
              </w:rPr>
              <w:t>5</w:t>
            </w:r>
            <w:r w:rsidR="00C21527">
              <w:rPr>
                <w:rFonts w:ascii="Arial" w:hAnsi="Arial" w:cs="Arial"/>
                <w:sz w:val="20"/>
                <w:szCs w:val="20"/>
                <w:lang w:val="en-GB"/>
              </w:rPr>
              <w:t>65.3</w:t>
            </w:r>
          </w:p>
        </w:tc>
      </w:tr>
      <w:tr w:rsidR="0013732E" w:rsidRPr="008C7845" w14:paraId="0BAF911B" w14:textId="666BE430" w:rsidTr="0013732E">
        <w:trPr>
          <w:trHeight w:val="425"/>
        </w:trPr>
        <w:tc>
          <w:tcPr>
            <w:tcW w:w="10627" w:type="dxa"/>
            <w:gridSpan w:val="10"/>
            <w:vAlign w:val="center"/>
          </w:tcPr>
          <w:p w14:paraId="541DE1F9" w14:textId="5C5D2FB8" w:rsidR="0013732E" w:rsidRPr="00916EA1" w:rsidRDefault="0013732E" w:rsidP="0013732E">
            <w:pPr>
              <w:keepLines/>
              <w:rPr>
                <w:rFonts w:cs="Arial"/>
                <w:b/>
              </w:rPr>
            </w:pPr>
            <w:r w:rsidRPr="00916EA1">
              <w:rPr>
                <w:rFonts w:cs="Arial"/>
                <w:b/>
              </w:rPr>
              <w:t>Affordability Indicator</w:t>
            </w:r>
          </w:p>
        </w:tc>
      </w:tr>
      <w:tr w:rsidR="0013732E" w:rsidRPr="008C7845" w14:paraId="5B086ECB" w14:textId="0B843C95" w:rsidTr="005307A6">
        <w:trPr>
          <w:trHeight w:val="425"/>
        </w:trPr>
        <w:tc>
          <w:tcPr>
            <w:tcW w:w="704" w:type="dxa"/>
            <w:vAlign w:val="center"/>
          </w:tcPr>
          <w:p w14:paraId="695E6D1B" w14:textId="77777777" w:rsidR="0013732E" w:rsidRPr="00916EA1" w:rsidRDefault="0013732E" w:rsidP="0013732E">
            <w:pPr>
              <w:keepLines/>
              <w:rPr>
                <w:rFonts w:cs="Arial"/>
              </w:rPr>
            </w:pPr>
            <w:r w:rsidRPr="00916EA1">
              <w:rPr>
                <w:rFonts w:cs="Arial"/>
              </w:rPr>
              <w:t>PI-3</w:t>
            </w:r>
          </w:p>
        </w:tc>
        <w:tc>
          <w:tcPr>
            <w:tcW w:w="3260" w:type="dxa"/>
            <w:gridSpan w:val="2"/>
            <w:vAlign w:val="center"/>
          </w:tcPr>
          <w:p w14:paraId="668C9CC4" w14:textId="40E2D689" w:rsidR="0013732E" w:rsidRPr="00916EA1" w:rsidRDefault="0013732E" w:rsidP="0013732E">
            <w:pPr>
              <w:keepLines/>
              <w:rPr>
                <w:rFonts w:cs="Arial"/>
              </w:rPr>
            </w:pPr>
            <w:r w:rsidRPr="00916EA1">
              <w:rPr>
                <w:rFonts w:cs="Arial"/>
              </w:rPr>
              <w:t>Ratio of Financing Costs to Net Revenue (inc.</w:t>
            </w:r>
            <w:r w:rsidR="00C034A4">
              <w:rPr>
                <w:rFonts w:cs="Arial"/>
              </w:rPr>
              <w:t xml:space="preserve"> capital</w:t>
            </w:r>
            <w:r w:rsidRPr="00916EA1">
              <w:rPr>
                <w:rFonts w:cs="Arial"/>
              </w:rPr>
              <w:t xml:space="preserve"> PPP repayment costs) </w:t>
            </w:r>
          </w:p>
        </w:tc>
        <w:tc>
          <w:tcPr>
            <w:tcW w:w="709" w:type="dxa"/>
            <w:vAlign w:val="center"/>
          </w:tcPr>
          <w:p w14:paraId="3B6703FD" w14:textId="17830364" w:rsidR="00C8615B" w:rsidRPr="00916EA1" w:rsidRDefault="0013732E" w:rsidP="00C8615B">
            <w:pPr>
              <w:keepLines/>
              <w:jc w:val="center"/>
              <w:rPr>
                <w:rFonts w:cs="Arial"/>
              </w:rPr>
            </w:pPr>
            <w:r w:rsidRPr="00916EA1">
              <w:rPr>
                <w:rFonts w:cs="Arial"/>
              </w:rPr>
              <w:t>2</w:t>
            </w:r>
            <w:r w:rsidR="00C034A4">
              <w:rPr>
                <w:rFonts w:cs="Arial"/>
              </w:rPr>
              <w:t>9</w:t>
            </w:r>
          </w:p>
        </w:tc>
        <w:tc>
          <w:tcPr>
            <w:tcW w:w="992" w:type="dxa"/>
            <w:vAlign w:val="center"/>
          </w:tcPr>
          <w:p w14:paraId="7A10D341" w14:textId="34034DA1" w:rsidR="0013732E" w:rsidRPr="00916EA1" w:rsidRDefault="00C21527" w:rsidP="0013732E">
            <w:pPr>
              <w:jc w:val="right"/>
              <w:rPr>
                <w:rFonts w:cs="Arial"/>
                <w:highlight w:val="yellow"/>
              </w:rPr>
            </w:pPr>
            <w:r>
              <w:rPr>
                <w:rFonts w:cs="Arial"/>
              </w:rPr>
              <w:t>5.8</w:t>
            </w:r>
            <w:r w:rsidR="0013732E" w:rsidRPr="00916EA1">
              <w:rPr>
                <w:rFonts w:cs="Arial"/>
              </w:rPr>
              <w:t>%</w:t>
            </w:r>
          </w:p>
        </w:tc>
        <w:tc>
          <w:tcPr>
            <w:tcW w:w="993" w:type="dxa"/>
            <w:vAlign w:val="center"/>
          </w:tcPr>
          <w:p w14:paraId="7285565A" w14:textId="2B65AE19" w:rsidR="0013732E" w:rsidRPr="00916EA1" w:rsidRDefault="00C21527" w:rsidP="0013732E">
            <w:pPr>
              <w:jc w:val="right"/>
              <w:rPr>
                <w:rFonts w:cs="Arial"/>
                <w:highlight w:val="yellow"/>
              </w:rPr>
            </w:pPr>
            <w:r>
              <w:rPr>
                <w:rFonts w:cs="Arial"/>
              </w:rPr>
              <w:t>7</w:t>
            </w:r>
            <w:r w:rsidR="0013732E" w:rsidRPr="00916EA1">
              <w:rPr>
                <w:rFonts w:cs="Arial"/>
              </w:rPr>
              <w:t>.5%</w:t>
            </w:r>
          </w:p>
        </w:tc>
        <w:tc>
          <w:tcPr>
            <w:tcW w:w="992" w:type="dxa"/>
            <w:vAlign w:val="center"/>
          </w:tcPr>
          <w:p w14:paraId="004EB0B6" w14:textId="5B249BA6" w:rsidR="0013732E" w:rsidRPr="00916EA1" w:rsidRDefault="0013732E" w:rsidP="0013732E">
            <w:pPr>
              <w:jc w:val="right"/>
              <w:rPr>
                <w:rFonts w:cs="Arial"/>
                <w:highlight w:val="yellow"/>
              </w:rPr>
            </w:pPr>
            <w:r w:rsidRPr="00916EA1">
              <w:rPr>
                <w:rFonts w:cs="Arial"/>
              </w:rPr>
              <w:t>8.</w:t>
            </w:r>
            <w:r w:rsidR="00C21527">
              <w:rPr>
                <w:rFonts w:cs="Arial"/>
              </w:rPr>
              <w:t>1</w:t>
            </w:r>
            <w:r w:rsidRPr="00916EA1">
              <w:rPr>
                <w:rFonts w:cs="Arial"/>
              </w:rPr>
              <w:t>%</w:t>
            </w:r>
          </w:p>
        </w:tc>
        <w:tc>
          <w:tcPr>
            <w:tcW w:w="992" w:type="dxa"/>
            <w:shd w:val="clear" w:color="auto" w:fill="auto"/>
            <w:vAlign w:val="center"/>
          </w:tcPr>
          <w:p w14:paraId="65DDECE3" w14:textId="63B8FF82" w:rsidR="0013732E" w:rsidRPr="00916EA1" w:rsidRDefault="0013732E" w:rsidP="0013732E">
            <w:pPr>
              <w:jc w:val="right"/>
              <w:rPr>
                <w:rFonts w:cs="Arial"/>
                <w:highlight w:val="yellow"/>
              </w:rPr>
            </w:pPr>
            <w:r w:rsidRPr="00916EA1">
              <w:rPr>
                <w:rFonts w:cs="Arial"/>
              </w:rPr>
              <w:t>8.</w:t>
            </w:r>
            <w:r w:rsidR="00287AD9">
              <w:rPr>
                <w:rFonts w:cs="Arial"/>
              </w:rPr>
              <w:t>9</w:t>
            </w:r>
            <w:r w:rsidRPr="00916EA1">
              <w:rPr>
                <w:rFonts w:cs="Arial"/>
              </w:rPr>
              <w:t>%</w:t>
            </w:r>
          </w:p>
        </w:tc>
        <w:tc>
          <w:tcPr>
            <w:tcW w:w="992" w:type="dxa"/>
            <w:shd w:val="clear" w:color="auto" w:fill="auto"/>
            <w:vAlign w:val="center"/>
          </w:tcPr>
          <w:p w14:paraId="0DD5B835" w14:textId="51C592EE" w:rsidR="0013732E" w:rsidRPr="00916EA1" w:rsidRDefault="00287AD9" w:rsidP="0013732E">
            <w:pPr>
              <w:jc w:val="right"/>
              <w:rPr>
                <w:rFonts w:cs="Arial"/>
                <w:highlight w:val="yellow"/>
              </w:rPr>
            </w:pPr>
            <w:r>
              <w:rPr>
                <w:rFonts w:cs="Arial"/>
              </w:rPr>
              <w:t>9.3</w:t>
            </w:r>
            <w:r w:rsidR="0013732E" w:rsidRPr="00916EA1">
              <w:rPr>
                <w:rFonts w:cs="Arial"/>
              </w:rPr>
              <w:t>%</w:t>
            </w:r>
          </w:p>
        </w:tc>
        <w:tc>
          <w:tcPr>
            <w:tcW w:w="993" w:type="dxa"/>
            <w:vAlign w:val="center"/>
          </w:tcPr>
          <w:p w14:paraId="6B14E3DD" w14:textId="2EB86BF5" w:rsidR="0013732E" w:rsidRPr="00916EA1" w:rsidRDefault="00C21527" w:rsidP="0013732E">
            <w:pPr>
              <w:jc w:val="right"/>
              <w:rPr>
                <w:rFonts w:cs="Arial"/>
              </w:rPr>
            </w:pPr>
            <w:r>
              <w:rPr>
                <w:rFonts w:cs="Arial"/>
              </w:rPr>
              <w:t>9.</w:t>
            </w:r>
            <w:r w:rsidR="00287AD9">
              <w:rPr>
                <w:rFonts w:cs="Arial"/>
              </w:rPr>
              <w:t>6</w:t>
            </w:r>
            <w:r w:rsidR="0013732E" w:rsidRPr="00916EA1">
              <w:rPr>
                <w:rFonts w:cs="Arial"/>
              </w:rPr>
              <w:t>%</w:t>
            </w:r>
          </w:p>
        </w:tc>
      </w:tr>
      <w:tr w:rsidR="0013732E" w:rsidRPr="00D26131" w14:paraId="64B21C9C" w14:textId="50652B30" w:rsidTr="005307A6">
        <w:trPr>
          <w:trHeight w:val="425"/>
        </w:trPr>
        <w:tc>
          <w:tcPr>
            <w:tcW w:w="704" w:type="dxa"/>
            <w:vAlign w:val="center"/>
          </w:tcPr>
          <w:p w14:paraId="6D8F3BA8" w14:textId="77777777" w:rsidR="0013732E" w:rsidRPr="00916EA1" w:rsidRDefault="0013732E" w:rsidP="0013732E">
            <w:pPr>
              <w:keepLines/>
              <w:rPr>
                <w:rFonts w:cs="Arial"/>
              </w:rPr>
            </w:pPr>
            <w:r w:rsidRPr="00916EA1">
              <w:rPr>
                <w:rFonts w:cs="Arial"/>
              </w:rPr>
              <w:t>PI-4</w:t>
            </w:r>
          </w:p>
        </w:tc>
        <w:tc>
          <w:tcPr>
            <w:tcW w:w="3260" w:type="dxa"/>
            <w:gridSpan w:val="2"/>
            <w:vAlign w:val="center"/>
          </w:tcPr>
          <w:p w14:paraId="2AF09B09" w14:textId="06B1BD58" w:rsidR="0013732E" w:rsidRPr="00916EA1" w:rsidRDefault="0013732E" w:rsidP="0013732E">
            <w:pPr>
              <w:keepLines/>
              <w:rPr>
                <w:rFonts w:cs="Arial"/>
              </w:rPr>
            </w:pPr>
            <w:r w:rsidRPr="00916EA1">
              <w:rPr>
                <w:rFonts w:cs="Arial"/>
              </w:rPr>
              <w:t xml:space="preserve">Incremental movement of Capital Investment Decisions on </w:t>
            </w:r>
          </w:p>
          <w:p w14:paraId="6B787D9C" w14:textId="77777777" w:rsidR="0013732E" w:rsidRPr="00916EA1" w:rsidRDefault="0013732E" w:rsidP="0013732E">
            <w:pPr>
              <w:keepLines/>
              <w:rPr>
                <w:rFonts w:cs="Arial"/>
              </w:rPr>
            </w:pPr>
            <w:r w:rsidRPr="00916EA1">
              <w:rPr>
                <w:rFonts w:cs="Arial"/>
              </w:rPr>
              <w:t xml:space="preserve">Council Tax </w:t>
            </w:r>
          </w:p>
        </w:tc>
        <w:tc>
          <w:tcPr>
            <w:tcW w:w="709" w:type="dxa"/>
            <w:vAlign w:val="center"/>
          </w:tcPr>
          <w:p w14:paraId="0877C59B" w14:textId="7C0C08C6" w:rsidR="0013732E" w:rsidRPr="00916EA1" w:rsidRDefault="0013732E" w:rsidP="0013732E">
            <w:pPr>
              <w:keepLines/>
              <w:jc w:val="center"/>
              <w:rPr>
                <w:rFonts w:cs="Arial"/>
              </w:rPr>
            </w:pPr>
          </w:p>
        </w:tc>
        <w:tc>
          <w:tcPr>
            <w:tcW w:w="992" w:type="dxa"/>
            <w:vAlign w:val="center"/>
          </w:tcPr>
          <w:p w14:paraId="75E48F91" w14:textId="5307D664" w:rsidR="0013732E" w:rsidRPr="00916EA1" w:rsidRDefault="0013732E" w:rsidP="0013732E">
            <w:pPr>
              <w:keepLines/>
              <w:jc w:val="right"/>
              <w:rPr>
                <w:rFonts w:cs="Arial"/>
              </w:rPr>
            </w:pPr>
            <w:r w:rsidRPr="00916EA1">
              <w:rPr>
                <w:rFonts w:cs="Arial"/>
              </w:rPr>
              <w:t>£(0.0</w:t>
            </w:r>
            <w:r w:rsidR="00C8615B">
              <w:rPr>
                <w:rFonts w:cs="Arial"/>
              </w:rPr>
              <w:t>9</w:t>
            </w:r>
            <w:r w:rsidRPr="00916EA1">
              <w:rPr>
                <w:rFonts w:cs="Arial"/>
              </w:rPr>
              <w:t>)</w:t>
            </w:r>
          </w:p>
        </w:tc>
        <w:tc>
          <w:tcPr>
            <w:tcW w:w="993" w:type="dxa"/>
            <w:vAlign w:val="center"/>
          </w:tcPr>
          <w:p w14:paraId="5C6499B9" w14:textId="3D77607F" w:rsidR="0013732E" w:rsidRPr="00916EA1" w:rsidRDefault="0013732E" w:rsidP="0013732E">
            <w:pPr>
              <w:keepLines/>
              <w:jc w:val="right"/>
              <w:rPr>
                <w:rFonts w:cs="Arial"/>
              </w:rPr>
            </w:pPr>
            <w:r w:rsidRPr="00916EA1">
              <w:rPr>
                <w:rFonts w:cs="Arial"/>
              </w:rPr>
              <w:t>£(0.0</w:t>
            </w:r>
            <w:r w:rsidR="00C8615B">
              <w:rPr>
                <w:rFonts w:cs="Arial"/>
              </w:rPr>
              <w:t>6</w:t>
            </w:r>
            <w:r w:rsidRPr="00916EA1">
              <w:rPr>
                <w:rFonts w:cs="Arial"/>
              </w:rPr>
              <w:t>)</w:t>
            </w:r>
          </w:p>
        </w:tc>
        <w:tc>
          <w:tcPr>
            <w:tcW w:w="992" w:type="dxa"/>
            <w:vAlign w:val="center"/>
          </w:tcPr>
          <w:p w14:paraId="1A6A255A" w14:textId="346E7503" w:rsidR="0013732E" w:rsidRPr="00916EA1" w:rsidRDefault="0013732E" w:rsidP="0013732E">
            <w:pPr>
              <w:keepLines/>
              <w:jc w:val="right"/>
              <w:rPr>
                <w:rFonts w:cs="Arial"/>
              </w:rPr>
            </w:pPr>
            <w:r w:rsidRPr="00916EA1">
              <w:rPr>
                <w:rFonts w:cs="Arial"/>
              </w:rPr>
              <w:t>£(0.0</w:t>
            </w:r>
            <w:r w:rsidR="00C8615B">
              <w:rPr>
                <w:rFonts w:cs="Arial"/>
              </w:rPr>
              <w:t>5</w:t>
            </w:r>
            <w:r w:rsidRPr="00916EA1">
              <w:rPr>
                <w:rFonts w:cs="Arial"/>
              </w:rPr>
              <w:t>)</w:t>
            </w:r>
          </w:p>
        </w:tc>
        <w:tc>
          <w:tcPr>
            <w:tcW w:w="992" w:type="dxa"/>
            <w:shd w:val="clear" w:color="auto" w:fill="auto"/>
            <w:vAlign w:val="center"/>
          </w:tcPr>
          <w:p w14:paraId="7527AAAF" w14:textId="7E1AF406" w:rsidR="0013732E" w:rsidRPr="00916EA1" w:rsidRDefault="0013732E" w:rsidP="0013732E">
            <w:pPr>
              <w:keepLines/>
              <w:jc w:val="right"/>
              <w:rPr>
                <w:rFonts w:cs="Arial"/>
              </w:rPr>
            </w:pPr>
            <w:r w:rsidRPr="00916EA1">
              <w:rPr>
                <w:rFonts w:cs="Arial"/>
              </w:rPr>
              <w:t>£(0.0</w:t>
            </w:r>
            <w:r w:rsidR="00287AD9">
              <w:rPr>
                <w:rFonts w:cs="Arial"/>
              </w:rPr>
              <w:t>4</w:t>
            </w:r>
            <w:r w:rsidRPr="00916EA1">
              <w:rPr>
                <w:rFonts w:cs="Arial"/>
              </w:rPr>
              <w:t>)</w:t>
            </w:r>
          </w:p>
        </w:tc>
        <w:tc>
          <w:tcPr>
            <w:tcW w:w="992" w:type="dxa"/>
            <w:shd w:val="clear" w:color="auto" w:fill="auto"/>
            <w:vAlign w:val="center"/>
          </w:tcPr>
          <w:p w14:paraId="0DCBF63C" w14:textId="7243BE3F" w:rsidR="0013732E" w:rsidRPr="00916EA1" w:rsidRDefault="0013732E" w:rsidP="0013732E">
            <w:pPr>
              <w:keepLines/>
              <w:jc w:val="right"/>
              <w:rPr>
                <w:rFonts w:cs="Arial"/>
              </w:rPr>
            </w:pPr>
            <w:r w:rsidRPr="00916EA1">
              <w:rPr>
                <w:rFonts w:cs="Arial"/>
              </w:rPr>
              <w:t>£(0.0</w:t>
            </w:r>
            <w:r w:rsidR="00287AD9">
              <w:rPr>
                <w:rFonts w:cs="Arial"/>
              </w:rPr>
              <w:t>2</w:t>
            </w:r>
            <w:r w:rsidRPr="00916EA1">
              <w:rPr>
                <w:rFonts w:cs="Arial"/>
              </w:rPr>
              <w:t>)</w:t>
            </w:r>
          </w:p>
        </w:tc>
        <w:tc>
          <w:tcPr>
            <w:tcW w:w="993" w:type="dxa"/>
            <w:vAlign w:val="center"/>
          </w:tcPr>
          <w:p w14:paraId="5436AF72" w14:textId="40AA9F2D" w:rsidR="0013732E" w:rsidRPr="00916EA1" w:rsidRDefault="0013732E" w:rsidP="0013732E">
            <w:pPr>
              <w:keepLines/>
              <w:jc w:val="right"/>
              <w:rPr>
                <w:rFonts w:cs="Arial"/>
              </w:rPr>
            </w:pPr>
            <w:r w:rsidRPr="00916EA1">
              <w:rPr>
                <w:rFonts w:cs="Arial"/>
              </w:rPr>
              <w:t>£(0.0</w:t>
            </w:r>
            <w:r w:rsidR="00287AD9">
              <w:rPr>
                <w:rFonts w:cs="Arial"/>
              </w:rPr>
              <w:t>0</w:t>
            </w:r>
            <w:r w:rsidRPr="00916EA1">
              <w:rPr>
                <w:rFonts w:cs="Arial"/>
              </w:rPr>
              <w:t>)</w:t>
            </w:r>
          </w:p>
        </w:tc>
      </w:tr>
      <w:tr w:rsidR="0013732E" w:rsidRPr="00D26131" w14:paraId="4B18D95F" w14:textId="67718AA5" w:rsidTr="0013732E">
        <w:trPr>
          <w:trHeight w:val="425"/>
        </w:trPr>
        <w:tc>
          <w:tcPr>
            <w:tcW w:w="10627" w:type="dxa"/>
            <w:gridSpan w:val="10"/>
            <w:shd w:val="clear" w:color="auto" w:fill="auto"/>
            <w:vAlign w:val="center"/>
          </w:tcPr>
          <w:p w14:paraId="09E0C0CC" w14:textId="1DAD3963" w:rsidR="0013732E" w:rsidRPr="00916EA1" w:rsidRDefault="0013732E" w:rsidP="0013732E">
            <w:pPr>
              <w:keepLines/>
              <w:rPr>
                <w:rFonts w:cs="Arial"/>
                <w:b/>
              </w:rPr>
            </w:pPr>
            <w:r w:rsidRPr="00916EA1">
              <w:rPr>
                <w:rFonts w:cs="Arial"/>
                <w:b/>
              </w:rPr>
              <w:t>External Debt Indicators</w:t>
            </w:r>
          </w:p>
        </w:tc>
      </w:tr>
      <w:tr w:rsidR="0013732E" w:rsidRPr="00E35F0C" w14:paraId="3EB88559" w14:textId="259DCB7D" w:rsidTr="00237A78">
        <w:trPr>
          <w:trHeight w:val="425"/>
        </w:trPr>
        <w:tc>
          <w:tcPr>
            <w:tcW w:w="704" w:type="dxa"/>
            <w:vAlign w:val="center"/>
          </w:tcPr>
          <w:p w14:paraId="1357FC10" w14:textId="77777777" w:rsidR="0013732E" w:rsidRPr="00916EA1" w:rsidRDefault="0013732E" w:rsidP="0013732E">
            <w:pPr>
              <w:keepLines/>
              <w:rPr>
                <w:rFonts w:cs="Arial"/>
                <w:highlight w:val="yellow"/>
              </w:rPr>
            </w:pPr>
            <w:r w:rsidRPr="00916EA1">
              <w:rPr>
                <w:rFonts w:cs="Arial"/>
              </w:rPr>
              <w:t>PI-5</w:t>
            </w:r>
          </w:p>
        </w:tc>
        <w:tc>
          <w:tcPr>
            <w:tcW w:w="3260" w:type="dxa"/>
            <w:gridSpan w:val="2"/>
            <w:vAlign w:val="center"/>
          </w:tcPr>
          <w:p w14:paraId="316DB087" w14:textId="77777777" w:rsidR="0013732E" w:rsidRPr="00916EA1" w:rsidRDefault="0013732E" w:rsidP="0013732E">
            <w:pPr>
              <w:keepLines/>
              <w:rPr>
                <w:rFonts w:cs="Arial"/>
              </w:rPr>
            </w:pPr>
            <w:r w:rsidRPr="00916EA1">
              <w:rPr>
                <w:rFonts w:cs="Arial"/>
              </w:rPr>
              <w:t>Actual Debt (£m)</w:t>
            </w:r>
          </w:p>
        </w:tc>
        <w:tc>
          <w:tcPr>
            <w:tcW w:w="709" w:type="dxa"/>
            <w:vAlign w:val="center"/>
          </w:tcPr>
          <w:p w14:paraId="581A0628" w14:textId="50ADC90F" w:rsidR="0013732E" w:rsidRPr="00916EA1" w:rsidRDefault="0013732E" w:rsidP="0013732E">
            <w:pPr>
              <w:keepLines/>
              <w:jc w:val="center"/>
              <w:rPr>
                <w:rFonts w:cs="Arial"/>
                <w:highlight w:val="yellow"/>
              </w:rPr>
            </w:pPr>
            <w:r w:rsidRPr="00916EA1">
              <w:rPr>
                <w:rFonts w:cs="Arial"/>
              </w:rPr>
              <w:t>12</w:t>
            </w:r>
          </w:p>
        </w:tc>
        <w:tc>
          <w:tcPr>
            <w:tcW w:w="992" w:type="dxa"/>
            <w:vAlign w:val="center"/>
          </w:tcPr>
          <w:p w14:paraId="796B0192" w14:textId="6509A55E" w:rsidR="0013732E" w:rsidRPr="00916EA1" w:rsidRDefault="00C8615B" w:rsidP="0013732E">
            <w:pPr>
              <w:pStyle w:val="BodyText"/>
              <w:jc w:val="right"/>
              <w:rPr>
                <w:rFonts w:ascii="Arial" w:hAnsi="Arial" w:cs="Arial"/>
                <w:sz w:val="20"/>
                <w:szCs w:val="20"/>
                <w:highlight w:val="yellow"/>
              </w:rPr>
            </w:pPr>
            <w:r>
              <w:rPr>
                <w:rFonts w:ascii="Arial" w:hAnsi="Arial" w:cs="Arial"/>
                <w:sz w:val="20"/>
                <w:szCs w:val="20"/>
              </w:rPr>
              <w:t>348.6</w:t>
            </w:r>
          </w:p>
        </w:tc>
        <w:tc>
          <w:tcPr>
            <w:tcW w:w="993" w:type="dxa"/>
            <w:vAlign w:val="center"/>
          </w:tcPr>
          <w:p w14:paraId="19284477" w14:textId="3C96F408" w:rsidR="0013732E" w:rsidRPr="00916EA1" w:rsidRDefault="0013732E" w:rsidP="0013732E">
            <w:pPr>
              <w:pStyle w:val="BodyText"/>
              <w:jc w:val="right"/>
              <w:rPr>
                <w:rFonts w:ascii="Arial" w:hAnsi="Arial" w:cs="Arial"/>
                <w:sz w:val="20"/>
                <w:szCs w:val="20"/>
                <w:highlight w:val="yellow"/>
              </w:rPr>
            </w:pPr>
            <w:r w:rsidRPr="00916EA1">
              <w:rPr>
                <w:rFonts w:ascii="Arial" w:hAnsi="Arial" w:cs="Arial"/>
                <w:sz w:val="20"/>
                <w:szCs w:val="20"/>
              </w:rPr>
              <w:t>3</w:t>
            </w:r>
            <w:r w:rsidR="00C8615B">
              <w:rPr>
                <w:rFonts w:ascii="Arial" w:hAnsi="Arial" w:cs="Arial"/>
                <w:sz w:val="20"/>
                <w:szCs w:val="20"/>
              </w:rPr>
              <w:t>99.7</w:t>
            </w:r>
          </w:p>
        </w:tc>
        <w:tc>
          <w:tcPr>
            <w:tcW w:w="992" w:type="dxa"/>
            <w:vAlign w:val="center"/>
          </w:tcPr>
          <w:p w14:paraId="38D7379D" w14:textId="53C7F25F" w:rsidR="0013732E" w:rsidRPr="00916EA1" w:rsidRDefault="0013732E" w:rsidP="0013732E">
            <w:pPr>
              <w:pStyle w:val="BodyText"/>
              <w:jc w:val="right"/>
              <w:rPr>
                <w:rFonts w:ascii="Arial" w:hAnsi="Arial" w:cs="Arial"/>
                <w:sz w:val="20"/>
                <w:szCs w:val="20"/>
                <w:highlight w:val="yellow"/>
              </w:rPr>
            </w:pPr>
            <w:r w:rsidRPr="00916EA1">
              <w:rPr>
                <w:rFonts w:ascii="Arial" w:hAnsi="Arial" w:cs="Arial"/>
                <w:sz w:val="20"/>
                <w:szCs w:val="20"/>
              </w:rPr>
              <w:t>4</w:t>
            </w:r>
            <w:r w:rsidR="00C8615B">
              <w:rPr>
                <w:rFonts w:ascii="Arial" w:hAnsi="Arial" w:cs="Arial"/>
                <w:sz w:val="20"/>
                <w:szCs w:val="20"/>
              </w:rPr>
              <w:t>49.6</w:t>
            </w:r>
          </w:p>
        </w:tc>
        <w:tc>
          <w:tcPr>
            <w:tcW w:w="992" w:type="dxa"/>
            <w:shd w:val="clear" w:color="auto" w:fill="auto"/>
            <w:vAlign w:val="center"/>
          </w:tcPr>
          <w:p w14:paraId="337D4639" w14:textId="24D8EC04" w:rsidR="0013732E" w:rsidRPr="00916EA1" w:rsidRDefault="0013732E" w:rsidP="0013732E">
            <w:pPr>
              <w:pStyle w:val="BodyText"/>
              <w:jc w:val="right"/>
              <w:rPr>
                <w:rFonts w:ascii="Arial" w:hAnsi="Arial" w:cs="Arial"/>
                <w:sz w:val="20"/>
                <w:szCs w:val="20"/>
                <w:highlight w:val="yellow"/>
              </w:rPr>
            </w:pPr>
            <w:r w:rsidRPr="00916EA1">
              <w:rPr>
                <w:rFonts w:ascii="Arial" w:hAnsi="Arial" w:cs="Arial"/>
                <w:sz w:val="20"/>
                <w:szCs w:val="20"/>
              </w:rPr>
              <w:t>4</w:t>
            </w:r>
            <w:r w:rsidR="00C8615B">
              <w:rPr>
                <w:rFonts w:ascii="Arial" w:hAnsi="Arial" w:cs="Arial"/>
                <w:sz w:val="20"/>
                <w:szCs w:val="20"/>
              </w:rPr>
              <w:t>78.5</w:t>
            </w:r>
          </w:p>
        </w:tc>
        <w:tc>
          <w:tcPr>
            <w:tcW w:w="992" w:type="dxa"/>
            <w:shd w:val="clear" w:color="auto" w:fill="auto"/>
            <w:vAlign w:val="center"/>
          </w:tcPr>
          <w:p w14:paraId="67FBB76B" w14:textId="4934FA30" w:rsidR="0013732E" w:rsidRPr="00916EA1" w:rsidRDefault="0013732E" w:rsidP="0013732E">
            <w:pPr>
              <w:pStyle w:val="BodyText"/>
              <w:jc w:val="right"/>
              <w:rPr>
                <w:rFonts w:ascii="Arial" w:hAnsi="Arial" w:cs="Arial"/>
                <w:sz w:val="20"/>
                <w:szCs w:val="20"/>
                <w:highlight w:val="yellow"/>
              </w:rPr>
            </w:pPr>
            <w:r w:rsidRPr="00916EA1">
              <w:rPr>
                <w:rFonts w:ascii="Arial" w:hAnsi="Arial" w:cs="Arial"/>
                <w:sz w:val="20"/>
                <w:szCs w:val="20"/>
              </w:rPr>
              <w:t>4</w:t>
            </w:r>
            <w:r w:rsidR="00C8615B">
              <w:rPr>
                <w:rFonts w:ascii="Arial" w:hAnsi="Arial" w:cs="Arial"/>
                <w:sz w:val="20"/>
                <w:szCs w:val="20"/>
              </w:rPr>
              <w:t>98.2</w:t>
            </w:r>
          </w:p>
        </w:tc>
        <w:tc>
          <w:tcPr>
            <w:tcW w:w="993" w:type="dxa"/>
            <w:vAlign w:val="center"/>
          </w:tcPr>
          <w:p w14:paraId="31944138" w14:textId="3E19EE75"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4</w:t>
            </w:r>
            <w:r w:rsidR="00C8615B">
              <w:rPr>
                <w:rFonts w:ascii="Arial" w:hAnsi="Arial" w:cs="Arial"/>
                <w:sz w:val="20"/>
                <w:szCs w:val="20"/>
              </w:rPr>
              <w:t>90.4</w:t>
            </w:r>
          </w:p>
        </w:tc>
      </w:tr>
      <w:tr w:rsidR="0013732E" w:rsidRPr="00D26131" w14:paraId="344BAE0A" w14:textId="2EBF6EC4" w:rsidTr="00237A78">
        <w:trPr>
          <w:trHeight w:val="425"/>
        </w:trPr>
        <w:tc>
          <w:tcPr>
            <w:tcW w:w="704" w:type="dxa"/>
            <w:vAlign w:val="center"/>
          </w:tcPr>
          <w:p w14:paraId="47E07C60" w14:textId="77777777" w:rsidR="0013732E" w:rsidRPr="00916EA1" w:rsidRDefault="0013732E" w:rsidP="0013732E">
            <w:pPr>
              <w:keepLines/>
              <w:rPr>
                <w:rFonts w:cs="Arial"/>
              </w:rPr>
            </w:pPr>
            <w:r w:rsidRPr="00916EA1">
              <w:rPr>
                <w:rFonts w:cs="Arial"/>
              </w:rPr>
              <w:t>PI-7a</w:t>
            </w:r>
          </w:p>
        </w:tc>
        <w:tc>
          <w:tcPr>
            <w:tcW w:w="3260" w:type="dxa"/>
            <w:gridSpan w:val="2"/>
            <w:vAlign w:val="center"/>
          </w:tcPr>
          <w:p w14:paraId="0A104EF0" w14:textId="77777777" w:rsidR="0013732E" w:rsidRPr="00916EA1" w:rsidRDefault="0013732E" w:rsidP="0013732E">
            <w:pPr>
              <w:keepLines/>
              <w:rPr>
                <w:rFonts w:cs="Arial"/>
              </w:rPr>
            </w:pPr>
            <w:r w:rsidRPr="00916EA1">
              <w:rPr>
                <w:rFonts w:cs="Arial"/>
              </w:rPr>
              <w:t xml:space="preserve">Operational Boundary </w:t>
            </w:r>
            <w:r w:rsidRPr="00916EA1">
              <w:rPr>
                <w:rFonts w:cs="Arial"/>
              </w:rPr>
              <w:br/>
              <w:t xml:space="preserve">(inc. Other </w:t>
            </w:r>
            <w:proofErr w:type="gramStart"/>
            <w:r w:rsidRPr="00916EA1">
              <w:rPr>
                <w:rFonts w:cs="Arial"/>
              </w:rPr>
              <w:t>Long Term</w:t>
            </w:r>
            <w:proofErr w:type="gramEnd"/>
            <w:r w:rsidRPr="00916EA1">
              <w:rPr>
                <w:rFonts w:cs="Arial"/>
              </w:rPr>
              <w:t xml:space="preserve"> Liabilities) (£m)</w:t>
            </w:r>
          </w:p>
        </w:tc>
        <w:tc>
          <w:tcPr>
            <w:tcW w:w="709" w:type="dxa"/>
            <w:vAlign w:val="center"/>
          </w:tcPr>
          <w:p w14:paraId="2EB0FB6B" w14:textId="000C8A36" w:rsidR="0013732E" w:rsidRPr="00916EA1" w:rsidRDefault="0013732E" w:rsidP="0013732E">
            <w:pPr>
              <w:keepLines/>
              <w:jc w:val="center"/>
              <w:rPr>
                <w:rFonts w:cs="Arial"/>
              </w:rPr>
            </w:pPr>
            <w:r w:rsidRPr="00916EA1">
              <w:rPr>
                <w:rFonts w:cs="Arial"/>
              </w:rPr>
              <w:t>13</w:t>
            </w:r>
          </w:p>
        </w:tc>
        <w:tc>
          <w:tcPr>
            <w:tcW w:w="992" w:type="dxa"/>
            <w:vAlign w:val="center"/>
          </w:tcPr>
          <w:p w14:paraId="56AA147B" w14:textId="0EE72678" w:rsidR="0013732E" w:rsidRPr="00916EA1" w:rsidRDefault="00C8615B" w:rsidP="0013732E">
            <w:pPr>
              <w:jc w:val="right"/>
              <w:rPr>
                <w:rFonts w:cs="Arial"/>
                <w:highlight w:val="yellow"/>
              </w:rPr>
            </w:pPr>
            <w:r>
              <w:rPr>
                <w:rFonts w:cs="Arial"/>
              </w:rPr>
              <w:t>468.8</w:t>
            </w:r>
          </w:p>
        </w:tc>
        <w:tc>
          <w:tcPr>
            <w:tcW w:w="993" w:type="dxa"/>
            <w:vAlign w:val="center"/>
          </w:tcPr>
          <w:p w14:paraId="55E0A001" w14:textId="4C2CB572" w:rsidR="0013732E" w:rsidRPr="00916EA1" w:rsidRDefault="00C8615B" w:rsidP="0013732E">
            <w:pPr>
              <w:jc w:val="right"/>
              <w:rPr>
                <w:rFonts w:cs="Arial"/>
                <w:highlight w:val="yellow"/>
              </w:rPr>
            </w:pPr>
            <w:r>
              <w:rPr>
                <w:rFonts w:cs="Arial"/>
              </w:rPr>
              <w:t>497.7</w:t>
            </w:r>
          </w:p>
        </w:tc>
        <w:tc>
          <w:tcPr>
            <w:tcW w:w="992" w:type="dxa"/>
            <w:vAlign w:val="center"/>
          </w:tcPr>
          <w:p w14:paraId="256720BB" w14:textId="326299D3" w:rsidR="0013732E" w:rsidRPr="00916EA1" w:rsidRDefault="0013732E" w:rsidP="0013732E">
            <w:pPr>
              <w:tabs>
                <w:tab w:val="right" w:pos="702"/>
              </w:tabs>
              <w:jc w:val="right"/>
              <w:rPr>
                <w:rFonts w:cs="Arial"/>
                <w:highlight w:val="yellow"/>
              </w:rPr>
            </w:pPr>
            <w:r w:rsidRPr="00916EA1">
              <w:rPr>
                <w:rFonts w:cs="Arial"/>
              </w:rPr>
              <w:t>5</w:t>
            </w:r>
            <w:r w:rsidR="0078365F">
              <w:rPr>
                <w:rFonts w:cs="Arial"/>
              </w:rPr>
              <w:t>19.1</w:t>
            </w:r>
          </w:p>
        </w:tc>
        <w:tc>
          <w:tcPr>
            <w:tcW w:w="992" w:type="dxa"/>
            <w:shd w:val="clear" w:color="auto" w:fill="auto"/>
            <w:vAlign w:val="center"/>
          </w:tcPr>
          <w:p w14:paraId="005F5BA9" w14:textId="2D5C3BA9" w:rsidR="0013732E" w:rsidRPr="00916EA1" w:rsidRDefault="0013732E" w:rsidP="0013732E">
            <w:pPr>
              <w:jc w:val="right"/>
              <w:rPr>
                <w:rFonts w:cs="Arial"/>
                <w:highlight w:val="yellow"/>
              </w:rPr>
            </w:pPr>
            <w:r w:rsidRPr="00916EA1">
              <w:rPr>
                <w:rFonts w:cs="Arial"/>
              </w:rPr>
              <w:t>5</w:t>
            </w:r>
            <w:r w:rsidR="0078365F">
              <w:rPr>
                <w:rFonts w:cs="Arial"/>
              </w:rPr>
              <w:t>15.7</w:t>
            </w:r>
          </w:p>
        </w:tc>
        <w:tc>
          <w:tcPr>
            <w:tcW w:w="992" w:type="dxa"/>
            <w:shd w:val="clear" w:color="auto" w:fill="auto"/>
            <w:vAlign w:val="center"/>
          </w:tcPr>
          <w:p w14:paraId="654C1EEF" w14:textId="6F7CBE2A" w:rsidR="0013732E" w:rsidRPr="00916EA1" w:rsidRDefault="0013732E" w:rsidP="0013732E">
            <w:pPr>
              <w:jc w:val="right"/>
              <w:rPr>
                <w:rFonts w:cs="Arial"/>
                <w:highlight w:val="yellow"/>
              </w:rPr>
            </w:pPr>
            <w:r w:rsidRPr="00916EA1">
              <w:rPr>
                <w:rFonts w:cs="Arial"/>
              </w:rPr>
              <w:t>5</w:t>
            </w:r>
            <w:r w:rsidR="0078365F">
              <w:rPr>
                <w:rFonts w:cs="Arial"/>
              </w:rPr>
              <w:t>02.8</w:t>
            </w:r>
          </w:p>
        </w:tc>
        <w:tc>
          <w:tcPr>
            <w:tcW w:w="993" w:type="dxa"/>
            <w:vAlign w:val="center"/>
          </w:tcPr>
          <w:p w14:paraId="01091CFD" w14:textId="4DB42FB3" w:rsidR="0013732E" w:rsidRPr="00916EA1" w:rsidRDefault="0078365F" w:rsidP="0013732E">
            <w:pPr>
              <w:jc w:val="right"/>
              <w:rPr>
                <w:rFonts w:cs="Arial"/>
              </w:rPr>
            </w:pPr>
            <w:r>
              <w:rPr>
                <w:rFonts w:cs="Arial"/>
              </w:rPr>
              <w:t>493.8</w:t>
            </w:r>
          </w:p>
        </w:tc>
      </w:tr>
      <w:tr w:rsidR="0013732E" w:rsidRPr="00D26131" w14:paraId="53F45B3A" w14:textId="59FF49C0" w:rsidTr="00237A78">
        <w:trPr>
          <w:trHeight w:val="425"/>
        </w:trPr>
        <w:tc>
          <w:tcPr>
            <w:tcW w:w="704" w:type="dxa"/>
            <w:vAlign w:val="center"/>
          </w:tcPr>
          <w:p w14:paraId="5660771E" w14:textId="77777777" w:rsidR="0013732E" w:rsidRPr="00916EA1" w:rsidRDefault="0013732E" w:rsidP="0013732E">
            <w:pPr>
              <w:keepLines/>
              <w:rPr>
                <w:rFonts w:cs="Arial"/>
              </w:rPr>
            </w:pPr>
            <w:r w:rsidRPr="00916EA1">
              <w:rPr>
                <w:rFonts w:cs="Arial"/>
              </w:rPr>
              <w:t>PI-7b</w:t>
            </w:r>
          </w:p>
        </w:tc>
        <w:tc>
          <w:tcPr>
            <w:tcW w:w="3260" w:type="dxa"/>
            <w:gridSpan w:val="2"/>
            <w:vAlign w:val="center"/>
          </w:tcPr>
          <w:p w14:paraId="4DC6B0A9" w14:textId="77777777" w:rsidR="0013732E" w:rsidRPr="00916EA1" w:rsidRDefault="0013732E" w:rsidP="0013732E">
            <w:pPr>
              <w:keepLines/>
              <w:rPr>
                <w:rFonts w:cs="Arial"/>
              </w:rPr>
            </w:pPr>
            <w:r w:rsidRPr="00916EA1">
              <w:rPr>
                <w:rFonts w:cs="Arial"/>
              </w:rPr>
              <w:t xml:space="preserve">Operational Boundary </w:t>
            </w:r>
            <w:r w:rsidRPr="00916EA1">
              <w:rPr>
                <w:rFonts w:cs="Arial"/>
              </w:rPr>
              <w:br/>
              <w:t xml:space="preserve">(exc. Other </w:t>
            </w:r>
            <w:proofErr w:type="gramStart"/>
            <w:r w:rsidRPr="00916EA1">
              <w:rPr>
                <w:rFonts w:cs="Arial"/>
              </w:rPr>
              <w:t>Long Term</w:t>
            </w:r>
            <w:proofErr w:type="gramEnd"/>
            <w:r w:rsidRPr="00916EA1">
              <w:rPr>
                <w:rFonts w:cs="Arial"/>
              </w:rPr>
              <w:t xml:space="preserve"> Liabilities) (£m)</w:t>
            </w:r>
          </w:p>
        </w:tc>
        <w:tc>
          <w:tcPr>
            <w:tcW w:w="709" w:type="dxa"/>
            <w:vAlign w:val="center"/>
          </w:tcPr>
          <w:p w14:paraId="5A741969" w14:textId="67E15074" w:rsidR="0013732E" w:rsidRPr="00916EA1" w:rsidRDefault="0013732E" w:rsidP="0013732E">
            <w:pPr>
              <w:keepLines/>
              <w:jc w:val="center"/>
              <w:rPr>
                <w:rFonts w:cs="Arial"/>
              </w:rPr>
            </w:pPr>
            <w:r w:rsidRPr="00916EA1">
              <w:rPr>
                <w:rFonts w:cs="Arial"/>
              </w:rPr>
              <w:t>13</w:t>
            </w:r>
          </w:p>
        </w:tc>
        <w:tc>
          <w:tcPr>
            <w:tcW w:w="992" w:type="dxa"/>
            <w:vAlign w:val="center"/>
          </w:tcPr>
          <w:p w14:paraId="32FFBF11" w14:textId="707258E7" w:rsidR="0013732E" w:rsidRPr="00916EA1" w:rsidRDefault="0013732E" w:rsidP="0013732E">
            <w:pPr>
              <w:jc w:val="right"/>
              <w:rPr>
                <w:rFonts w:cs="Arial"/>
                <w:highlight w:val="yellow"/>
              </w:rPr>
            </w:pPr>
            <w:r w:rsidRPr="00916EA1">
              <w:rPr>
                <w:rFonts w:cs="Arial"/>
              </w:rPr>
              <w:t>3</w:t>
            </w:r>
            <w:r w:rsidR="0078365F">
              <w:rPr>
                <w:rFonts w:cs="Arial"/>
              </w:rPr>
              <w:t>75.5</w:t>
            </w:r>
          </w:p>
        </w:tc>
        <w:tc>
          <w:tcPr>
            <w:tcW w:w="993" w:type="dxa"/>
            <w:vAlign w:val="center"/>
          </w:tcPr>
          <w:p w14:paraId="1851B490" w14:textId="5012061B" w:rsidR="0013732E" w:rsidRPr="00916EA1" w:rsidRDefault="0013732E" w:rsidP="0013732E">
            <w:pPr>
              <w:jc w:val="right"/>
              <w:rPr>
                <w:rFonts w:cs="Arial"/>
                <w:highlight w:val="yellow"/>
              </w:rPr>
            </w:pPr>
            <w:r w:rsidRPr="00916EA1">
              <w:rPr>
                <w:rFonts w:cs="Arial"/>
              </w:rPr>
              <w:t>3</w:t>
            </w:r>
            <w:r w:rsidR="0078365F">
              <w:rPr>
                <w:rFonts w:cs="Arial"/>
              </w:rPr>
              <w:t>87.5</w:t>
            </w:r>
          </w:p>
        </w:tc>
        <w:tc>
          <w:tcPr>
            <w:tcW w:w="992" w:type="dxa"/>
            <w:vAlign w:val="center"/>
          </w:tcPr>
          <w:p w14:paraId="1188B36F" w14:textId="37DE0450" w:rsidR="0013732E" w:rsidRPr="00916EA1" w:rsidRDefault="0078365F" w:rsidP="0013732E">
            <w:pPr>
              <w:tabs>
                <w:tab w:val="right" w:pos="702"/>
              </w:tabs>
              <w:jc w:val="right"/>
              <w:rPr>
                <w:rFonts w:cs="Arial"/>
                <w:highlight w:val="yellow"/>
              </w:rPr>
            </w:pPr>
            <w:r>
              <w:rPr>
                <w:rFonts w:cs="Arial"/>
              </w:rPr>
              <w:t>410.0</w:t>
            </w:r>
          </w:p>
        </w:tc>
        <w:tc>
          <w:tcPr>
            <w:tcW w:w="992" w:type="dxa"/>
            <w:shd w:val="clear" w:color="auto" w:fill="auto"/>
            <w:vAlign w:val="center"/>
          </w:tcPr>
          <w:p w14:paraId="445868DD" w14:textId="5C3D0206" w:rsidR="0013732E" w:rsidRPr="00916EA1" w:rsidRDefault="0013732E" w:rsidP="0013732E">
            <w:pPr>
              <w:jc w:val="right"/>
              <w:rPr>
                <w:rFonts w:cs="Arial"/>
                <w:highlight w:val="yellow"/>
              </w:rPr>
            </w:pPr>
            <w:r w:rsidRPr="00916EA1">
              <w:rPr>
                <w:rFonts w:cs="Arial"/>
              </w:rPr>
              <w:t>40</w:t>
            </w:r>
            <w:r w:rsidR="0078365F">
              <w:rPr>
                <w:rFonts w:cs="Arial"/>
              </w:rPr>
              <w:t>7.7</w:t>
            </w:r>
          </w:p>
        </w:tc>
        <w:tc>
          <w:tcPr>
            <w:tcW w:w="992" w:type="dxa"/>
            <w:shd w:val="clear" w:color="auto" w:fill="auto"/>
            <w:vAlign w:val="center"/>
          </w:tcPr>
          <w:p w14:paraId="0EBBC154" w14:textId="6561367A" w:rsidR="0013732E" w:rsidRPr="00916EA1" w:rsidRDefault="0013732E" w:rsidP="0013732E">
            <w:pPr>
              <w:jc w:val="right"/>
              <w:rPr>
                <w:rFonts w:cs="Arial"/>
                <w:highlight w:val="yellow"/>
              </w:rPr>
            </w:pPr>
            <w:r w:rsidRPr="00916EA1">
              <w:rPr>
                <w:rFonts w:cs="Arial"/>
              </w:rPr>
              <w:t>3</w:t>
            </w:r>
            <w:r w:rsidR="0078365F">
              <w:rPr>
                <w:rFonts w:cs="Arial"/>
              </w:rPr>
              <w:t>96.1</w:t>
            </w:r>
          </w:p>
        </w:tc>
        <w:tc>
          <w:tcPr>
            <w:tcW w:w="993" w:type="dxa"/>
            <w:vAlign w:val="center"/>
          </w:tcPr>
          <w:p w14:paraId="31BD2E1B" w14:textId="3F65B6A0" w:rsidR="0013732E" w:rsidRPr="00916EA1" w:rsidRDefault="0013732E" w:rsidP="0013732E">
            <w:pPr>
              <w:jc w:val="right"/>
              <w:rPr>
                <w:rFonts w:cs="Arial"/>
              </w:rPr>
            </w:pPr>
            <w:r w:rsidRPr="00916EA1">
              <w:rPr>
                <w:rFonts w:cs="Arial"/>
              </w:rPr>
              <w:t>388.</w:t>
            </w:r>
            <w:r w:rsidR="0078365F">
              <w:rPr>
                <w:rFonts w:cs="Arial"/>
              </w:rPr>
              <w:t>4</w:t>
            </w:r>
          </w:p>
        </w:tc>
      </w:tr>
      <w:tr w:rsidR="0013732E" w:rsidRPr="00D26131" w14:paraId="77F70D0D" w14:textId="6E661706" w:rsidTr="00237A78">
        <w:trPr>
          <w:trHeight w:val="425"/>
        </w:trPr>
        <w:tc>
          <w:tcPr>
            <w:tcW w:w="704" w:type="dxa"/>
            <w:vAlign w:val="center"/>
          </w:tcPr>
          <w:p w14:paraId="605CA43F" w14:textId="77777777" w:rsidR="0013732E" w:rsidRPr="00916EA1" w:rsidRDefault="0013732E" w:rsidP="0013732E">
            <w:pPr>
              <w:keepLines/>
              <w:rPr>
                <w:rFonts w:cs="Arial"/>
              </w:rPr>
            </w:pPr>
            <w:r w:rsidRPr="00916EA1">
              <w:rPr>
                <w:rFonts w:cs="Arial"/>
              </w:rPr>
              <w:t>PI-8a</w:t>
            </w:r>
          </w:p>
        </w:tc>
        <w:tc>
          <w:tcPr>
            <w:tcW w:w="3260" w:type="dxa"/>
            <w:gridSpan w:val="2"/>
            <w:vAlign w:val="center"/>
          </w:tcPr>
          <w:p w14:paraId="5D15FF78" w14:textId="77777777" w:rsidR="0013732E" w:rsidRPr="00916EA1" w:rsidRDefault="0013732E" w:rsidP="0013732E">
            <w:pPr>
              <w:keepLines/>
              <w:rPr>
                <w:rFonts w:cs="Arial"/>
              </w:rPr>
            </w:pPr>
            <w:r w:rsidRPr="00916EA1">
              <w:rPr>
                <w:rFonts w:cs="Arial"/>
              </w:rPr>
              <w:t>Authorised Limit</w:t>
            </w:r>
          </w:p>
          <w:p w14:paraId="2FF67EBA" w14:textId="77777777" w:rsidR="0013732E" w:rsidRPr="00916EA1" w:rsidRDefault="0013732E" w:rsidP="0013732E">
            <w:pPr>
              <w:keepLines/>
              <w:rPr>
                <w:rFonts w:cs="Arial"/>
              </w:rPr>
            </w:pPr>
            <w:r w:rsidRPr="00916EA1">
              <w:rPr>
                <w:rFonts w:cs="Arial"/>
              </w:rPr>
              <w:t xml:space="preserve">(inc. Other </w:t>
            </w:r>
            <w:proofErr w:type="gramStart"/>
            <w:r w:rsidRPr="00916EA1">
              <w:rPr>
                <w:rFonts w:cs="Arial"/>
              </w:rPr>
              <w:t>Long Term</w:t>
            </w:r>
            <w:proofErr w:type="gramEnd"/>
            <w:r w:rsidRPr="00916EA1">
              <w:rPr>
                <w:rFonts w:cs="Arial"/>
              </w:rPr>
              <w:t xml:space="preserve"> Liabilities) (£m)</w:t>
            </w:r>
          </w:p>
        </w:tc>
        <w:tc>
          <w:tcPr>
            <w:tcW w:w="709" w:type="dxa"/>
            <w:vAlign w:val="center"/>
          </w:tcPr>
          <w:p w14:paraId="1E688123" w14:textId="440E0AEF" w:rsidR="0013732E" w:rsidRPr="00916EA1" w:rsidRDefault="0013732E" w:rsidP="0013732E">
            <w:pPr>
              <w:keepLines/>
              <w:jc w:val="center"/>
              <w:rPr>
                <w:rFonts w:cs="Arial"/>
              </w:rPr>
            </w:pPr>
            <w:r w:rsidRPr="00916EA1">
              <w:rPr>
                <w:rFonts w:cs="Arial"/>
              </w:rPr>
              <w:t>14</w:t>
            </w:r>
          </w:p>
        </w:tc>
        <w:tc>
          <w:tcPr>
            <w:tcW w:w="992" w:type="dxa"/>
            <w:shd w:val="clear" w:color="auto" w:fill="auto"/>
            <w:vAlign w:val="center"/>
          </w:tcPr>
          <w:p w14:paraId="2A2ECDD8" w14:textId="2450CA20" w:rsidR="0013732E" w:rsidRPr="00916EA1" w:rsidRDefault="0013732E" w:rsidP="0013732E">
            <w:pPr>
              <w:ind w:left="108"/>
              <w:jc w:val="right"/>
              <w:rPr>
                <w:rFonts w:cs="Arial"/>
                <w:highlight w:val="yellow"/>
              </w:rPr>
            </w:pPr>
            <w:r w:rsidRPr="00916EA1">
              <w:rPr>
                <w:rFonts w:cs="Arial"/>
              </w:rPr>
              <w:t>5</w:t>
            </w:r>
            <w:r w:rsidR="0078365F">
              <w:rPr>
                <w:rFonts w:cs="Arial"/>
              </w:rPr>
              <w:t>84.1</w:t>
            </w:r>
          </w:p>
        </w:tc>
        <w:tc>
          <w:tcPr>
            <w:tcW w:w="993" w:type="dxa"/>
            <w:shd w:val="clear" w:color="auto" w:fill="auto"/>
            <w:vAlign w:val="center"/>
          </w:tcPr>
          <w:p w14:paraId="609B9ECC" w14:textId="3D77B115" w:rsidR="0013732E" w:rsidRPr="00916EA1" w:rsidRDefault="0078365F" w:rsidP="0013732E">
            <w:pPr>
              <w:ind w:left="108"/>
              <w:jc w:val="right"/>
              <w:rPr>
                <w:rFonts w:cs="Arial"/>
                <w:highlight w:val="yellow"/>
              </w:rPr>
            </w:pPr>
            <w:r>
              <w:rPr>
                <w:rFonts w:cs="Arial"/>
              </w:rPr>
              <w:t>597.3</w:t>
            </w:r>
          </w:p>
        </w:tc>
        <w:tc>
          <w:tcPr>
            <w:tcW w:w="992" w:type="dxa"/>
            <w:vAlign w:val="center"/>
          </w:tcPr>
          <w:p w14:paraId="4D27F550" w14:textId="30144D91" w:rsidR="0013732E" w:rsidRPr="00916EA1" w:rsidRDefault="0013732E" w:rsidP="0013732E">
            <w:pPr>
              <w:tabs>
                <w:tab w:val="right" w:pos="702"/>
              </w:tabs>
              <w:ind w:left="108"/>
              <w:jc w:val="right"/>
              <w:rPr>
                <w:rFonts w:cs="Arial"/>
                <w:highlight w:val="yellow"/>
              </w:rPr>
            </w:pPr>
            <w:r w:rsidRPr="00916EA1">
              <w:rPr>
                <w:rFonts w:cs="Arial"/>
              </w:rPr>
              <w:t>6</w:t>
            </w:r>
            <w:r w:rsidR="0078365F">
              <w:rPr>
                <w:rFonts w:cs="Arial"/>
              </w:rPr>
              <w:t>22.9</w:t>
            </w:r>
          </w:p>
        </w:tc>
        <w:tc>
          <w:tcPr>
            <w:tcW w:w="992" w:type="dxa"/>
            <w:shd w:val="clear" w:color="auto" w:fill="auto"/>
            <w:vAlign w:val="center"/>
          </w:tcPr>
          <w:p w14:paraId="10FAEBE9" w14:textId="4D196021" w:rsidR="0013732E" w:rsidRPr="00916EA1" w:rsidRDefault="0013732E" w:rsidP="0013732E">
            <w:pPr>
              <w:ind w:left="108"/>
              <w:jc w:val="right"/>
              <w:rPr>
                <w:rFonts w:cs="Arial"/>
                <w:highlight w:val="yellow"/>
              </w:rPr>
            </w:pPr>
            <w:r w:rsidRPr="00916EA1">
              <w:rPr>
                <w:rFonts w:cs="Arial"/>
              </w:rPr>
              <w:t>6</w:t>
            </w:r>
            <w:r w:rsidR="0078365F">
              <w:rPr>
                <w:rFonts w:cs="Arial"/>
              </w:rPr>
              <w:t>18.8</w:t>
            </w:r>
          </w:p>
        </w:tc>
        <w:tc>
          <w:tcPr>
            <w:tcW w:w="992" w:type="dxa"/>
            <w:shd w:val="clear" w:color="auto" w:fill="auto"/>
            <w:vAlign w:val="center"/>
          </w:tcPr>
          <w:p w14:paraId="05390810" w14:textId="3B41C193" w:rsidR="0013732E" w:rsidRPr="00916EA1" w:rsidRDefault="0013732E" w:rsidP="0013732E">
            <w:pPr>
              <w:ind w:left="108"/>
              <w:jc w:val="right"/>
              <w:rPr>
                <w:rFonts w:cs="Arial"/>
                <w:highlight w:val="yellow"/>
              </w:rPr>
            </w:pPr>
            <w:r w:rsidRPr="00916EA1">
              <w:rPr>
                <w:rFonts w:cs="Arial"/>
              </w:rPr>
              <w:t>6</w:t>
            </w:r>
            <w:r w:rsidR="0078365F">
              <w:rPr>
                <w:rFonts w:cs="Arial"/>
              </w:rPr>
              <w:t>03.4</w:t>
            </w:r>
          </w:p>
        </w:tc>
        <w:tc>
          <w:tcPr>
            <w:tcW w:w="993" w:type="dxa"/>
            <w:vAlign w:val="center"/>
          </w:tcPr>
          <w:p w14:paraId="5D8E38FD" w14:textId="056D50A1" w:rsidR="0013732E" w:rsidRPr="00916EA1" w:rsidRDefault="0078365F" w:rsidP="0013732E">
            <w:pPr>
              <w:ind w:left="108"/>
              <w:jc w:val="right"/>
              <w:rPr>
                <w:rFonts w:cs="Arial"/>
              </w:rPr>
            </w:pPr>
            <w:r>
              <w:rPr>
                <w:rFonts w:cs="Arial"/>
              </w:rPr>
              <w:t>592.6</w:t>
            </w:r>
          </w:p>
        </w:tc>
      </w:tr>
      <w:tr w:rsidR="0013732E" w:rsidRPr="00D26131" w14:paraId="43D47F2F" w14:textId="0729B6A1" w:rsidTr="00237A78">
        <w:trPr>
          <w:trHeight w:val="633"/>
        </w:trPr>
        <w:tc>
          <w:tcPr>
            <w:tcW w:w="704" w:type="dxa"/>
            <w:vAlign w:val="center"/>
          </w:tcPr>
          <w:p w14:paraId="5BBC9140" w14:textId="77777777" w:rsidR="0013732E" w:rsidRPr="00916EA1" w:rsidRDefault="0013732E" w:rsidP="0013732E">
            <w:pPr>
              <w:keepLines/>
              <w:rPr>
                <w:rFonts w:cs="Arial"/>
              </w:rPr>
            </w:pPr>
            <w:r w:rsidRPr="00916EA1">
              <w:rPr>
                <w:rFonts w:cs="Arial"/>
              </w:rPr>
              <w:t>PI-8b</w:t>
            </w:r>
          </w:p>
        </w:tc>
        <w:tc>
          <w:tcPr>
            <w:tcW w:w="3260" w:type="dxa"/>
            <w:gridSpan w:val="2"/>
            <w:vAlign w:val="center"/>
          </w:tcPr>
          <w:p w14:paraId="6C1D22E2" w14:textId="77777777" w:rsidR="0013732E" w:rsidRPr="00916EA1" w:rsidRDefault="0013732E" w:rsidP="0013732E">
            <w:pPr>
              <w:keepLines/>
              <w:rPr>
                <w:rFonts w:cs="Arial"/>
              </w:rPr>
            </w:pPr>
            <w:r w:rsidRPr="00916EA1">
              <w:rPr>
                <w:rFonts w:cs="Arial"/>
              </w:rPr>
              <w:t>Authorised Limit</w:t>
            </w:r>
            <w:r w:rsidRPr="00916EA1">
              <w:rPr>
                <w:rFonts w:cs="Arial"/>
              </w:rPr>
              <w:br/>
              <w:t xml:space="preserve">(exc. Other </w:t>
            </w:r>
            <w:proofErr w:type="gramStart"/>
            <w:r w:rsidRPr="00916EA1">
              <w:rPr>
                <w:rFonts w:cs="Arial"/>
              </w:rPr>
              <w:t>Long Term</w:t>
            </w:r>
            <w:proofErr w:type="gramEnd"/>
            <w:r w:rsidRPr="00916EA1">
              <w:rPr>
                <w:rFonts w:cs="Arial"/>
              </w:rPr>
              <w:t xml:space="preserve"> Liabilities) (£m)</w:t>
            </w:r>
          </w:p>
        </w:tc>
        <w:tc>
          <w:tcPr>
            <w:tcW w:w="709" w:type="dxa"/>
            <w:vAlign w:val="center"/>
          </w:tcPr>
          <w:p w14:paraId="34D021C0" w14:textId="6F93930E" w:rsidR="0013732E" w:rsidRPr="00916EA1" w:rsidRDefault="0013732E" w:rsidP="0013732E">
            <w:pPr>
              <w:keepLines/>
              <w:jc w:val="center"/>
              <w:rPr>
                <w:rFonts w:cs="Arial"/>
              </w:rPr>
            </w:pPr>
            <w:r w:rsidRPr="00916EA1">
              <w:rPr>
                <w:rFonts w:cs="Arial"/>
              </w:rPr>
              <w:t>14</w:t>
            </w:r>
          </w:p>
        </w:tc>
        <w:tc>
          <w:tcPr>
            <w:tcW w:w="992" w:type="dxa"/>
            <w:vAlign w:val="center"/>
          </w:tcPr>
          <w:p w14:paraId="2FABA116" w14:textId="14B49F9A" w:rsidR="0013732E" w:rsidRPr="00916EA1" w:rsidRDefault="0013732E" w:rsidP="0013732E">
            <w:pPr>
              <w:ind w:left="108"/>
              <w:jc w:val="right"/>
              <w:rPr>
                <w:rFonts w:cs="Arial"/>
              </w:rPr>
            </w:pPr>
            <w:r w:rsidRPr="00916EA1">
              <w:rPr>
                <w:rFonts w:cs="Arial"/>
              </w:rPr>
              <w:t>4</w:t>
            </w:r>
            <w:r w:rsidR="0078365F">
              <w:rPr>
                <w:rFonts w:cs="Arial"/>
              </w:rPr>
              <w:t>72.</w:t>
            </w:r>
            <w:r w:rsidR="00287AD9">
              <w:rPr>
                <w:rFonts w:cs="Arial"/>
              </w:rPr>
              <w:t>8</w:t>
            </w:r>
          </w:p>
        </w:tc>
        <w:tc>
          <w:tcPr>
            <w:tcW w:w="993" w:type="dxa"/>
            <w:vAlign w:val="center"/>
          </w:tcPr>
          <w:p w14:paraId="664F96C4" w14:textId="7B95E3D6" w:rsidR="0013732E" w:rsidRPr="00916EA1" w:rsidRDefault="0013732E" w:rsidP="0013732E">
            <w:pPr>
              <w:ind w:left="108"/>
              <w:jc w:val="right"/>
              <w:rPr>
                <w:rFonts w:cs="Arial"/>
              </w:rPr>
            </w:pPr>
            <w:r w:rsidRPr="00916EA1">
              <w:rPr>
                <w:rFonts w:cs="Arial"/>
              </w:rPr>
              <w:t>4</w:t>
            </w:r>
            <w:r w:rsidR="0078365F">
              <w:rPr>
                <w:rFonts w:cs="Arial"/>
              </w:rPr>
              <w:t>87.1</w:t>
            </w:r>
          </w:p>
        </w:tc>
        <w:tc>
          <w:tcPr>
            <w:tcW w:w="992" w:type="dxa"/>
            <w:vAlign w:val="center"/>
          </w:tcPr>
          <w:p w14:paraId="1657CBE0" w14:textId="0A2BE0CC" w:rsidR="0013732E" w:rsidRPr="00916EA1" w:rsidRDefault="0013732E" w:rsidP="0013732E">
            <w:pPr>
              <w:tabs>
                <w:tab w:val="right" w:pos="702"/>
              </w:tabs>
              <w:ind w:left="108"/>
              <w:jc w:val="right"/>
              <w:rPr>
                <w:rFonts w:cs="Arial"/>
              </w:rPr>
            </w:pPr>
            <w:r w:rsidRPr="00916EA1">
              <w:rPr>
                <w:rFonts w:cs="Arial"/>
              </w:rPr>
              <w:t>5</w:t>
            </w:r>
            <w:r w:rsidR="0078365F">
              <w:rPr>
                <w:rFonts w:cs="Arial"/>
              </w:rPr>
              <w:t>13.8</w:t>
            </w:r>
          </w:p>
        </w:tc>
        <w:tc>
          <w:tcPr>
            <w:tcW w:w="992" w:type="dxa"/>
            <w:shd w:val="clear" w:color="auto" w:fill="auto"/>
            <w:vAlign w:val="center"/>
          </w:tcPr>
          <w:p w14:paraId="41350EB7" w14:textId="654AA5F2" w:rsidR="0013732E" w:rsidRPr="00916EA1" w:rsidRDefault="0013732E" w:rsidP="0013732E">
            <w:pPr>
              <w:ind w:left="108"/>
              <w:jc w:val="right"/>
              <w:rPr>
                <w:rFonts w:cs="Arial"/>
              </w:rPr>
            </w:pPr>
            <w:r w:rsidRPr="00916EA1">
              <w:rPr>
                <w:rFonts w:cs="Arial"/>
              </w:rPr>
              <w:t>5</w:t>
            </w:r>
            <w:r w:rsidR="0078365F">
              <w:rPr>
                <w:rFonts w:cs="Arial"/>
              </w:rPr>
              <w:t>10.9</w:t>
            </w:r>
          </w:p>
        </w:tc>
        <w:tc>
          <w:tcPr>
            <w:tcW w:w="992" w:type="dxa"/>
            <w:shd w:val="clear" w:color="auto" w:fill="auto"/>
            <w:vAlign w:val="center"/>
          </w:tcPr>
          <w:p w14:paraId="2B82611E" w14:textId="6A14E533" w:rsidR="0013732E" w:rsidRPr="00916EA1" w:rsidRDefault="0078365F" w:rsidP="0013732E">
            <w:pPr>
              <w:ind w:left="108"/>
              <w:jc w:val="right"/>
              <w:rPr>
                <w:rFonts w:cs="Arial"/>
              </w:rPr>
            </w:pPr>
            <w:r>
              <w:rPr>
                <w:rFonts w:cs="Arial"/>
              </w:rPr>
              <w:t>496.7</w:t>
            </w:r>
          </w:p>
        </w:tc>
        <w:tc>
          <w:tcPr>
            <w:tcW w:w="993" w:type="dxa"/>
            <w:vAlign w:val="center"/>
          </w:tcPr>
          <w:p w14:paraId="664FE214" w14:textId="2E89288F" w:rsidR="0013732E" w:rsidRPr="00916EA1" w:rsidRDefault="0078365F" w:rsidP="0013732E">
            <w:pPr>
              <w:ind w:left="108"/>
              <w:jc w:val="right"/>
              <w:rPr>
                <w:rFonts w:cs="Arial"/>
              </w:rPr>
            </w:pPr>
            <w:r>
              <w:rPr>
                <w:rFonts w:cs="Arial"/>
              </w:rPr>
              <w:t>487.2</w:t>
            </w:r>
          </w:p>
        </w:tc>
      </w:tr>
      <w:tr w:rsidR="0013732E" w:rsidRPr="00D26131" w14:paraId="4A83262E" w14:textId="156B22A1" w:rsidTr="0013732E">
        <w:trPr>
          <w:trHeight w:val="425"/>
        </w:trPr>
        <w:tc>
          <w:tcPr>
            <w:tcW w:w="10627" w:type="dxa"/>
            <w:gridSpan w:val="10"/>
            <w:vAlign w:val="center"/>
          </w:tcPr>
          <w:p w14:paraId="4A1C45CA" w14:textId="19A19567" w:rsidR="0013732E" w:rsidRPr="00916EA1" w:rsidRDefault="0013732E" w:rsidP="0013732E">
            <w:pPr>
              <w:keepLines/>
              <w:rPr>
                <w:rFonts w:cs="Arial"/>
                <w:b/>
              </w:rPr>
            </w:pPr>
            <w:r w:rsidRPr="00916EA1">
              <w:rPr>
                <w:rFonts w:cs="Arial"/>
                <w:b/>
              </w:rPr>
              <w:t>Indicators of Prudence</w:t>
            </w:r>
          </w:p>
        </w:tc>
      </w:tr>
      <w:tr w:rsidR="0013732E" w:rsidRPr="00D26131" w14:paraId="05DBD22C" w14:textId="05123737" w:rsidTr="00450DEC">
        <w:trPr>
          <w:trHeight w:val="425"/>
        </w:trPr>
        <w:tc>
          <w:tcPr>
            <w:tcW w:w="704" w:type="dxa"/>
            <w:vAlign w:val="center"/>
          </w:tcPr>
          <w:p w14:paraId="245C8343" w14:textId="77777777" w:rsidR="0013732E" w:rsidRPr="00916EA1" w:rsidRDefault="0013732E" w:rsidP="0013732E">
            <w:pPr>
              <w:keepLines/>
              <w:rPr>
                <w:rFonts w:cs="Arial"/>
              </w:rPr>
            </w:pPr>
            <w:r w:rsidRPr="00916EA1">
              <w:rPr>
                <w:rFonts w:cs="Arial"/>
              </w:rPr>
              <w:t>PI-6</w:t>
            </w:r>
          </w:p>
        </w:tc>
        <w:tc>
          <w:tcPr>
            <w:tcW w:w="3260" w:type="dxa"/>
            <w:gridSpan w:val="2"/>
            <w:vAlign w:val="center"/>
          </w:tcPr>
          <w:p w14:paraId="0C245EEF" w14:textId="77777777" w:rsidR="0013732E" w:rsidRPr="00916EA1" w:rsidRDefault="0013732E" w:rsidP="0013732E">
            <w:pPr>
              <w:keepLines/>
              <w:rPr>
                <w:rFonts w:cs="Arial"/>
              </w:rPr>
            </w:pPr>
            <w:r w:rsidRPr="00916EA1">
              <w:rPr>
                <w:rFonts w:cs="Arial"/>
              </w:rPr>
              <w:t>(Under)/Over Gross Borrowing against the CFR (£m)</w:t>
            </w:r>
          </w:p>
        </w:tc>
        <w:tc>
          <w:tcPr>
            <w:tcW w:w="709" w:type="dxa"/>
            <w:vAlign w:val="center"/>
          </w:tcPr>
          <w:p w14:paraId="6A5AB623" w14:textId="0C18DA08" w:rsidR="0013732E" w:rsidRPr="00916EA1" w:rsidRDefault="0013732E" w:rsidP="0013732E">
            <w:pPr>
              <w:keepLines/>
              <w:jc w:val="center"/>
              <w:rPr>
                <w:rFonts w:cs="Arial"/>
              </w:rPr>
            </w:pPr>
            <w:r w:rsidRPr="00916EA1">
              <w:rPr>
                <w:rFonts w:cs="Arial"/>
              </w:rPr>
              <w:t>12</w:t>
            </w:r>
          </w:p>
        </w:tc>
        <w:tc>
          <w:tcPr>
            <w:tcW w:w="992" w:type="dxa"/>
            <w:vAlign w:val="center"/>
          </w:tcPr>
          <w:p w14:paraId="350A4936" w14:textId="404B263B"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w:t>
            </w:r>
            <w:r w:rsidR="0078365F">
              <w:rPr>
                <w:rFonts w:ascii="Arial" w:hAnsi="Arial" w:cs="Arial"/>
                <w:sz w:val="20"/>
                <w:szCs w:val="20"/>
              </w:rPr>
              <w:t>183.8</w:t>
            </w:r>
            <w:r w:rsidRPr="00916EA1">
              <w:rPr>
                <w:rFonts w:ascii="Arial" w:hAnsi="Arial" w:cs="Arial"/>
                <w:sz w:val="20"/>
                <w:szCs w:val="20"/>
              </w:rPr>
              <w:t>)</w:t>
            </w:r>
          </w:p>
        </w:tc>
        <w:tc>
          <w:tcPr>
            <w:tcW w:w="993" w:type="dxa"/>
            <w:vAlign w:val="center"/>
          </w:tcPr>
          <w:p w14:paraId="66A7770E" w14:textId="3A3E2BE8"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(15</w:t>
            </w:r>
            <w:r w:rsidR="0078365F">
              <w:rPr>
                <w:rFonts w:ascii="Arial" w:hAnsi="Arial" w:cs="Arial"/>
                <w:sz w:val="20"/>
                <w:szCs w:val="20"/>
              </w:rPr>
              <w:t>5.6</w:t>
            </w:r>
            <w:r w:rsidRPr="00916EA1">
              <w:rPr>
                <w:rFonts w:ascii="Arial" w:hAnsi="Arial" w:cs="Arial"/>
                <w:sz w:val="20"/>
                <w:szCs w:val="20"/>
              </w:rPr>
              <w:t>)</w:t>
            </w:r>
          </w:p>
        </w:tc>
        <w:tc>
          <w:tcPr>
            <w:tcW w:w="992" w:type="dxa"/>
            <w:vAlign w:val="center"/>
          </w:tcPr>
          <w:p w14:paraId="418F3724" w14:textId="121F0A65"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(1</w:t>
            </w:r>
            <w:r w:rsidR="0078365F">
              <w:rPr>
                <w:rFonts w:ascii="Arial" w:hAnsi="Arial" w:cs="Arial"/>
                <w:sz w:val="20"/>
                <w:szCs w:val="20"/>
              </w:rPr>
              <w:t>26.9</w:t>
            </w:r>
            <w:r w:rsidRPr="00916EA1">
              <w:rPr>
                <w:rFonts w:ascii="Arial" w:hAnsi="Arial" w:cs="Arial"/>
                <w:sz w:val="20"/>
                <w:szCs w:val="20"/>
              </w:rPr>
              <w:t>)</w:t>
            </w:r>
          </w:p>
        </w:tc>
        <w:tc>
          <w:tcPr>
            <w:tcW w:w="992" w:type="dxa"/>
            <w:shd w:val="clear" w:color="auto" w:fill="auto"/>
            <w:vAlign w:val="center"/>
          </w:tcPr>
          <w:p w14:paraId="2E433EDD" w14:textId="377FBCB9"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(8</w:t>
            </w:r>
            <w:r w:rsidR="0078365F">
              <w:rPr>
                <w:rFonts w:ascii="Arial" w:hAnsi="Arial" w:cs="Arial"/>
                <w:sz w:val="20"/>
                <w:szCs w:val="20"/>
              </w:rPr>
              <w:t>6.8</w:t>
            </w:r>
            <w:r w:rsidRPr="00916EA1">
              <w:rPr>
                <w:rFonts w:ascii="Arial" w:hAnsi="Arial" w:cs="Arial"/>
                <w:sz w:val="20"/>
                <w:szCs w:val="20"/>
              </w:rPr>
              <w:t>)</w:t>
            </w:r>
          </w:p>
        </w:tc>
        <w:tc>
          <w:tcPr>
            <w:tcW w:w="992" w:type="dxa"/>
            <w:shd w:val="clear" w:color="auto" w:fill="auto"/>
            <w:vAlign w:val="center"/>
          </w:tcPr>
          <w:p w14:paraId="64CF7581" w14:textId="77DC6FCB"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w:t>
            </w:r>
            <w:r w:rsidR="0078365F">
              <w:rPr>
                <w:rFonts w:ascii="Arial" w:hAnsi="Arial" w:cs="Arial"/>
                <w:sz w:val="20"/>
                <w:szCs w:val="20"/>
              </w:rPr>
              <w:t>54.4</w:t>
            </w:r>
            <w:r w:rsidRPr="00916EA1">
              <w:rPr>
                <w:rFonts w:ascii="Arial" w:hAnsi="Arial" w:cs="Arial"/>
                <w:sz w:val="20"/>
                <w:szCs w:val="20"/>
              </w:rPr>
              <w:t>)</w:t>
            </w:r>
          </w:p>
        </w:tc>
        <w:tc>
          <w:tcPr>
            <w:tcW w:w="993" w:type="dxa"/>
            <w:vAlign w:val="center"/>
          </w:tcPr>
          <w:p w14:paraId="26DCF35A" w14:textId="685B1C07" w:rsidR="0013732E" w:rsidRPr="00916EA1" w:rsidRDefault="0013732E" w:rsidP="0013732E">
            <w:pPr>
              <w:pStyle w:val="BodyText"/>
              <w:jc w:val="right"/>
              <w:rPr>
                <w:rFonts w:ascii="Arial" w:hAnsi="Arial" w:cs="Arial"/>
                <w:sz w:val="20"/>
                <w:szCs w:val="20"/>
              </w:rPr>
            </w:pPr>
            <w:r w:rsidRPr="00916EA1">
              <w:rPr>
                <w:rFonts w:ascii="Arial" w:hAnsi="Arial" w:cs="Arial"/>
                <w:sz w:val="20"/>
                <w:szCs w:val="20"/>
              </w:rPr>
              <w:t>(</w:t>
            </w:r>
            <w:r w:rsidR="0078365F">
              <w:rPr>
                <w:rFonts w:ascii="Arial" w:hAnsi="Arial" w:cs="Arial"/>
                <w:sz w:val="20"/>
                <w:szCs w:val="20"/>
              </w:rPr>
              <w:t>49.1</w:t>
            </w:r>
            <w:r w:rsidRPr="00916EA1">
              <w:rPr>
                <w:rFonts w:ascii="Arial" w:hAnsi="Arial" w:cs="Arial"/>
                <w:sz w:val="20"/>
                <w:szCs w:val="20"/>
              </w:rPr>
              <w:t>)</w:t>
            </w:r>
          </w:p>
        </w:tc>
      </w:tr>
      <w:tr w:rsidR="0013732E" w:rsidRPr="00D26131" w14:paraId="61DBAAE8" w14:textId="678DC768" w:rsidTr="0013732E">
        <w:trPr>
          <w:trHeight w:val="425"/>
        </w:trPr>
        <w:tc>
          <w:tcPr>
            <w:tcW w:w="9634" w:type="dxa"/>
            <w:gridSpan w:val="9"/>
            <w:vAlign w:val="center"/>
          </w:tcPr>
          <w:p w14:paraId="5D1AA292" w14:textId="77777777" w:rsidR="0013732E" w:rsidRPr="00916EA1" w:rsidRDefault="0013732E" w:rsidP="0013732E">
            <w:pPr>
              <w:keepLines/>
              <w:rPr>
                <w:rFonts w:cs="Arial"/>
                <w:b/>
              </w:rPr>
            </w:pPr>
            <w:r w:rsidRPr="00916EA1">
              <w:rPr>
                <w:rFonts w:cs="Arial"/>
                <w:b/>
              </w:rPr>
              <w:t>TREASURY INDICATORS</w:t>
            </w:r>
          </w:p>
        </w:tc>
        <w:tc>
          <w:tcPr>
            <w:tcW w:w="993" w:type="dxa"/>
          </w:tcPr>
          <w:p w14:paraId="4527BD8B" w14:textId="77777777" w:rsidR="0013732E" w:rsidRPr="00916EA1" w:rsidRDefault="0013732E" w:rsidP="0013732E">
            <w:pPr>
              <w:keepLines/>
              <w:rPr>
                <w:rFonts w:cs="Arial"/>
                <w:b/>
              </w:rPr>
            </w:pPr>
          </w:p>
        </w:tc>
      </w:tr>
      <w:tr w:rsidR="0013732E" w:rsidRPr="00D26131" w14:paraId="2C937250" w14:textId="5083ECF1" w:rsidTr="00D30E34">
        <w:trPr>
          <w:trHeight w:val="425"/>
        </w:trPr>
        <w:tc>
          <w:tcPr>
            <w:tcW w:w="704" w:type="dxa"/>
            <w:shd w:val="clear" w:color="auto" w:fill="auto"/>
            <w:vAlign w:val="center"/>
          </w:tcPr>
          <w:p w14:paraId="43386763" w14:textId="77777777" w:rsidR="0013732E" w:rsidRPr="00916EA1" w:rsidRDefault="0013732E" w:rsidP="0013732E">
            <w:pPr>
              <w:keepLines/>
              <w:rPr>
                <w:rFonts w:cs="Arial"/>
              </w:rPr>
            </w:pPr>
            <w:r w:rsidRPr="00916EA1">
              <w:rPr>
                <w:rFonts w:cs="Arial"/>
              </w:rPr>
              <w:t>TI-1</w:t>
            </w:r>
          </w:p>
        </w:tc>
        <w:tc>
          <w:tcPr>
            <w:tcW w:w="3260" w:type="dxa"/>
            <w:gridSpan w:val="2"/>
            <w:shd w:val="clear" w:color="auto" w:fill="auto"/>
            <w:vAlign w:val="center"/>
          </w:tcPr>
          <w:p w14:paraId="65E32A63" w14:textId="77777777" w:rsidR="0013732E" w:rsidRPr="00916EA1" w:rsidRDefault="0013732E" w:rsidP="0013732E">
            <w:pPr>
              <w:keepLines/>
              <w:rPr>
                <w:rFonts w:cs="Arial"/>
              </w:rPr>
            </w:pPr>
            <w:r w:rsidRPr="00916EA1">
              <w:rPr>
                <w:rFonts w:cs="Arial"/>
              </w:rPr>
              <w:t>Upper Limit to Fixed Interest Rates based on Net Debt (£m)</w:t>
            </w:r>
          </w:p>
        </w:tc>
        <w:tc>
          <w:tcPr>
            <w:tcW w:w="709" w:type="dxa"/>
            <w:shd w:val="clear" w:color="auto" w:fill="auto"/>
            <w:vAlign w:val="center"/>
          </w:tcPr>
          <w:p w14:paraId="56DE079B" w14:textId="6648EF34" w:rsidR="0013732E" w:rsidRPr="00916EA1" w:rsidRDefault="00C8615B" w:rsidP="0013732E">
            <w:pPr>
              <w:keepLines/>
              <w:jc w:val="center"/>
              <w:rPr>
                <w:rFonts w:cs="Arial"/>
              </w:rPr>
            </w:pPr>
            <w:r>
              <w:rPr>
                <w:rFonts w:cs="Arial"/>
              </w:rPr>
              <w:t>30</w:t>
            </w:r>
          </w:p>
        </w:tc>
        <w:tc>
          <w:tcPr>
            <w:tcW w:w="992" w:type="dxa"/>
            <w:vAlign w:val="center"/>
          </w:tcPr>
          <w:p w14:paraId="1ED6B7E0" w14:textId="45CEA171" w:rsidR="0013732E" w:rsidRPr="00916EA1" w:rsidRDefault="0013732E" w:rsidP="0013732E">
            <w:pPr>
              <w:jc w:val="right"/>
              <w:rPr>
                <w:rFonts w:cs="Arial"/>
                <w:highlight w:val="yellow"/>
              </w:rPr>
            </w:pPr>
            <w:r w:rsidRPr="00916EA1">
              <w:rPr>
                <w:rFonts w:cs="Arial"/>
              </w:rPr>
              <w:t>4</w:t>
            </w:r>
            <w:r w:rsidR="002B2F58">
              <w:rPr>
                <w:rFonts w:cs="Arial"/>
              </w:rPr>
              <w:t>86.8</w:t>
            </w:r>
          </w:p>
        </w:tc>
        <w:tc>
          <w:tcPr>
            <w:tcW w:w="993" w:type="dxa"/>
            <w:vAlign w:val="center"/>
          </w:tcPr>
          <w:p w14:paraId="2E58DBCD" w14:textId="0FB9F19C" w:rsidR="0013732E" w:rsidRPr="00916EA1" w:rsidRDefault="002B2F58" w:rsidP="0013732E">
            <w:pPr>
              <w:jc w:val="right"/>
              <w:rPr>
                <w:rFonts w:cs="Arial"/>
                <w:highlight w:val="yellow"/>
              </w:rPr>
            </w:pPr>
            <w:r>
              <w:rPr>
                <w:rFonts w:cs="Arial"/>
              </w:rPr>
              <w:t>497.7</w:t>
            </w:r>
          </w:p>
        </w:tc>
        <w:tc>
          <w:tcPr>
            <w:tcW w:w="992" w:type="dxa"/>
            <w:vAlign w:val="center"/>
          </w:tcPr>
          <w:p w14:paraId="21F50FA1" w14:textId="2DE9F41D" w:rsidR="0013732E" w:rsidRPr="00916EA1" w:rsidRDefault="0013732E" w:rsidP="0013732E">
            <w:pPr>
              <w:tabs>
                <w:tab w:val="right" w:pos="702"/>
              </w:tabs>
              <w:jc w:val="right"/>
              <w:rPr>
                <w:rFonts w:cs="Arial"/>
                <w:highlight w:val="yellow"/>
              </w:rPr>
            </w:pPr>
            <w:r w:rsidRPr="00916EA1">
              <w:rPr>
                <w:rFonts w:cs="Arial"/>
              </w:rPr>
              <w:t>5</w:t>
            </w:r>
            <w:r w:rsidR="002B2F58">
              <w:rPr>
                <w:rFonts w:cs="Arial"/>
              </w:rPr>
              <w:t>19.1</w:t>
            </w:r>
          </w:p>
        </w:tc>
        <w:tc>
          <w:tcPr>
            <w:tcW w:w="992" w:type="dxa"/>
            <w:shd w:val="clear" w:color="auto" w:fill="auto"/>
            <w:vAlign w:val="center"/>
          </w:tcPr>
          <w:p w14:paraId="51656A41" w14:textId="49C9122B" w:rsidR="0013732E" w:rsidRPr="00916EA1" w:rsidRDefault="0013732E" w:rsidP="0013732E">
            <w:pPr>
              <w:jc w:val="right"/>
              <w:rPr>
                <w:rFonts w:cs="Arial"/>
                <w:highlight w:val="yellow"/>
              </w:rPr>
            </w:pPr>
            <w:r w:rsidRPr="00916EA1">
              <w:rPr>
                <w:rFonts w:cs="Arial"/>
              </w:rPr>
              <w:t>5</w:t>
            </w:r>
            <w:r w:rsidR="002B2F58">
              <w:rPr>
                <w:rFonts w:cs="Arial"/>
              </w:rPr>
              <w:t>15.7</w:t>
            </w:r>
          </w:p>
        </w:tc>
        <w:tc>
          <w:tcPr>
            <w:tcW w:w="992" w:type="dxa"/>
            <w:shd w:val="clear" w:color="auto" w:fill="auto"/>
            <w:vAlign w:val="center"/>
          </w:tcPr>
          <w:p w14:paraId="3AAA267E" w14:textId="5CA7E97A" w:rsidR="0013732E" w:rsidRPr="00916EA1" w:rsidRDefault="0013732E" w:rsidP="0013732E">
            <w:pPr>
              <w:jc w:val="right"/>
              <w:rPr>
                <w:rFonts w:cs="Arial"/>
                <w:highlight w:val="yellow"/>
              </w:rPr>
            </w:pPr>
            <w:r w:rsidRPr="00916EA1">
              <w:rPr>
                <w:rFonts w:cs="Arial"/>
              </w:rPr>
              <w:t>5</w:t>
            </w:r>
            <w:r w:rsidR="002B2F58">
              <w:rPr>
                <w:rFonts w:cs="Arial"/>
              </w:rPr>
              <w:t>02.8</w:t>
            </w:r>
          </w:p>
        </w:tc>
        <w:tc>
          <w:tcPr>
            <w:tcW w:w="993" w:type="dxa"/>
            <w:vAlign w:val="center"/>
          </w:tcPr>
          <w:p w14:paraId="7025B197" w14:textId="21914764" w:rsidR="0013732E" w:rsidRPr="00916EA1" w:rsidRDefault="002B2F58" w:rsidP="0013732E">
            <w:pPr>
              <w:jc w:val="right"/>
              <w:rPr>
                <w:rFonts w:cs="Arial"/>
              </w:rPr>
            </w:pPr>
            <w:r>
              <w:rPr>
                <w:rFonts w:cs="Arial"/>
              </w:rPr>
              <w:t>493.8</w:t>
            </w:r>
          </w:p>
        </w:tc>
      </w:tr>
      <w:tr w:rsidR="0013732E" w:rsidRPr="00D26131" w14:paraId="6CE70A22" w14:textId="34BB2E62" w:rsidTr="00D30E34">
        <w:trPr>
          <w:trHeight w:val="425"/>
        </w:trPr>
        <w:tc>
          <w:tcPr>
            <w:tcW w:w="704" w:type="dxa"/>
            <w:vAlign w:val="center"/>
          </w:tcPr>
          <w:p w14:paraId="2F9525EE" w14:textId="77777777" w:rsidR="0013732E" w:rsidRPr="00916EA1" w:rsidRDefault="0013732E" w:rsidP="0013732E">
            <w:pPr>
              <w:keepLines/>
              <w:rPr>
                <w:rFonts w:cs="Arial"/>
              </w:rPr>
            </w:pPr>
            <w:r w:rsidRPr="00916EA1">
              <w:rPr>
                <w:rFonts w:cs="Arial"/>
              </w:rPr>
              <w:t>TI-2</w:t>
            </w:r>
          </w:p>
        </w:tc>
        <w:tc>
          <w:tcPr>
            <w:tcW w:w="3260" w:type="dxa"/>
            <w:gridSpan w:val="2"/>
            <w:vAlign w:val="center"/>
          </w:tcPr>
          <w:p w14:paraId="07DCDE27" w14:textId="77777777" w:rsidR="0013732E" w:rsidRPr="00916EA1" w:rsidRDefault="0013732E" w:rsidP="0013732E">
            <w:pPr>
              <w:keepLines/>
              <w:rPr>
                <w:rFonts w:cs="Arial"/>
              </w:rPr>
            </w:pPr>
            <w:r w:rsidRPr="00916EA1">
              <w:rPr>
                <w:rFonts w:cs="Arial"/>
              </w:rPr>
              <w:t>Upper Limit to Variable Interest Rates based on Net Debt (£m)</w:t>
            </w:r>
          </w:p>
        </w:tc>
        <w:tc>
          <w:tcPr>
            <w:tcW w:w="709" w:type="dxa"/>
            <w:vAlign w:val="center"/>
          </w:tcPr>
          <w:p w14:paraId="3F43249B" w14:textId="28F99886" w:rsidR="0013732E" w:rsidRPr="00916EA1" w:rsidRDefault="00C8615B" w:rsidP="0013732E">
            <w:pPr>
              <w:keepLines/>
              <w:jc w:val="center"/>
              <w:rPr>
                <w:rFonts w:cs="Arial"/>
              </w:rPr>
            </w:pPr>
            <w:r>
              <w:rPr>
                <w:rFonts w:cs="Arial"/>
              </w:rPr>
              <w:t>30</w:t>
            </w:r>
          </w:p>
        </w:tc>
        <w:tc>
          <w:tcPr>
            <w:tcW w:w="992" w:type="dxa"/>
            <w:vAlign w:val="center"/>
          </w:tcPr>
          <w:p w14:paraId="0DE02F1F" w14:textId="65418BBC" w:rsidR="0013732E" w:rsidRPr="00916EA1" w:rsidRDefault="0013732E" w:rsidP="0013732E">
            <w:pPr>
              <w:keepLines/>
              <w:jc w:val="right"/>
              <w:rPr>
                <w:rFonts w:cs="Arial"/>
                <w:highlight w:val="yellow"/>
              </w:rPr>
            </w:pPr>
            <w:r w:rsidRPr="00916EA1">
              <w:rPr>
                <w:rFonts w:cs="Arial"/>
              </w:rPr>
              <w:t>1</w:t>
            </w:r>
            <w:r w:rsidR="002B2F58">
              <w:rPr>
                <w:rFonts w:cs="Arial"/>
              </w:rPr>
              <w:t>70.4</w:t>
            </w:r>
          </w:p>
        </w:tc>
        <w:tc>
          <w:tcPr>
            <w:tcW w:w="993" w:type="dxa"/>
            <w:vAlign w:val="center"/>
          </w:tcPr>
          <w:p w14:paraId="6C7C5F72" w14:textId="77FBDDD9" w:rsidR="0013732E" w:rsidRPr="00916EA1" w:rsidRDefault="0013732E" w:rsidP="0013732E">
            <w:pPr>
              <w:keepLines/>
              <w:jc w:val="right"/>
              <w:rPr>
                <w:rFonts w:cs="Arial"/>
                <w:highlight w:val="yellow"/>
              </w:rPr>
            </w:pPr>
            <w:r w:rsidRPr="00916EA1">
              <w:rPr>
                <w:rFonts w:cs="Arial"/>
              </w:rPr>
              <w:t>17</w:t>
            </w:r>
            <w:r w:rsidR="002B2F58">
              <w:rPr>
                <w:rFonts w:cs="Arial"/>
              </w:rPr>
              <w:t>4.2</w:t>
            </w:r>
          </w:p>
        </w:tc>
        <w:tc>
          <w:tcPr>
            <w:tcW w:w="992" w:type="dxa"/>
            <w:vAlign w:val="center"/>
          </w:tcPr>
          <w:p w14:paraId="7A66988A" w14:textId="1C9FE715" w:rsidR="0013732E" w:rsidRPr="00916EA1" w:rsidRDefault="0013732E" w:rsidP="0013732E">
            <w:pPr>
              <w:keepLines/>
              <w:jc w:val="right"/>
              <w:rPr>
                <w:rFonts w:cs="Arial"/>
                <w:highlight w:val="yellow"/>
              </w:rPr>
            </w:pPr>
            <w:r w:rsidRPr="00916EA1">
              <w:rPr>
                <w:rFonts w:cs="Arial"/>
              </w:rPr>
              <w:t>1</w:t>
            </w:r>
            <w:r w:rsidR="002B2F58">
              <w:rPr>
                <w:rFonts w:cs="Arial"/>
              </w:rPr>
              <w:t>81.7</w:t>
            </w:r>
          </w:p>
        </w:tc>
        <w:tc>
          <w:tcPr>
            <w:tcW w:w="992" w:type="dxa"/>
            <w:shd w:val="clear" w:color="auto" w:fill="auto"/>
            <w:vAlign w:val="center"/>
          </w:tcPr>
          <w:p w14:paraId="4CF6D759" w14:textId="5057D808" w:rsidR="0013732E" w:rsidRPr="00916EA1" w:rsidRDefault="0013732E" w:rsidP="0013732E">
            <w:pPr>
              <w:keepLines/>
              <w:jc w:val="right"/>
              <w:rPr>
                <w:rFonts w:cs="Arial"/>
                <w:highlight w:val="yellow"/>
              </w:rPr>
            </w:pPr>
            <w:r w:rsidRPr="00916EA1">
              <w:rPr>
                <w:rFonts w:cs="Arial"/>
              </w:rPr>
              <w:t>18</w:t>
            </w:r>
            <w:r w:rsidR="002B2F58">
              <w:rPr>
                <w:rFonts w:cs="Arial"/>
              </w:rPr>
              <w:t>0.5</w:t>
            </w:r>
          </w:p>
        </w:tc>
        <w:tc>
          <w:tcPr>
            <w:tcW w:w="992" w:type="dxa"/>
            <w:tcBorders>
              <w:bottom w:val="single" w:sz="4" w:space="0" w:color="auto"/>
            </w:tcBorders>
            <w:shd w:val="clear" w:color="auto" w:fill="auto"/>
            <w:vAlign w:val="center"/>
          </w:tcPr>
          <w:p w14:paraId="34B05CDB" w14:textId="1B10389C" w:rsidR="0013732E" w:rsidRPr="00916EA1" w:rsidRDefault="0013732E" w:rsidP="0013732E">
            <w:pPr>
              <w:keepLines/>
              <w:jc w:val="right"/>
              <w:rPr>
                <w:rFonts w:cs="Arial"/>
                <w:highlight w:val="yellow"/>
              </w:rPr>
            </w:pPr>
            <w:r w:rsidRPr="00916EA1">
              <w:rPr>
                <w:rFonts w:cs="Arial"/>
              </w:rPr>
              <w:t>1</w:t>
            </w:r>
            <w:r w:rsidR="002B2F58">
              <w:rPr>
                <w:rFonts w:cs="Arial"/>
              </w:rPr>
              <w:t>76.0</w:t>
            </w:r>
          </w:p>
        </w:tc>
        <w:tc>
          <w:tcPr>
            <w:tcW w:w="993" w:type="dxa"/>
            <w:tcBorders>
              <w:bottom w:val="single" w:sz="4" w:space="0" w:color="auto"/>
            </w:tcBorders>
            <w:vAlign w:val="center"/>
          </w:tcPr>
          <w:p w14:paraId="0BEF3B40" w14:textId="7D20CAF1" w:rsidR="0013732E" w:rsidRPr="00916EA1" w:rsidRDefault="0013732E" w:rsidP="0013732E">
            <w:pPr>
              <w:keepLines/>
              <w:jc w:val="right"/>
              <w:rPr>
                <w:rFonts w:cs="Arial"/>
              </w:rPr>
            </w:pPr>
            <w:r w:rsidRPr="00916EA1">
              <w:rPr>
                <w:rFonts w:cs="Arial"/>
              </w:rPr>
              <w:t>1</w:t>
            </w:r>
            <w:r w:rsidR="002B2F58">
              <w:rPr>
                <w:rFonts w:cs="Arial"/>
              </w:rPr>
              <w:t>72.8</w:t>
            </w:r>
          </w:p>
        </w:tc>
      </w:tr>
      <w:tr w:rsidR="0013732E" w:rsidRPr="00D26131" w14:paraId="0B4E1DAA" w14:textId="6CAC6A9B" w:rsidTr="0013732E">
        <w:trPr>
          <w:gridAfter w:val="2"/>
          <w:wAfter w:w="1985" w:type="dxa"/>
          <w:trHeight w:val="425"/>
        </w:trPr>
        <w:tc>
          <w:tcPr>
            <w:tcW w:w="704" w:type="dxa"/>
            <w:shd w:val="clear" w:color="auto" w:fill="auto"/>
            <w:vAlign w:val="center"/>
          </w:tcPr>
          <w:p w14:paraId="767CAC9D" w14:textId="77777777" w:rsidR="0013732E" w:rsidRPr="00916EA1" w:rsidRDefault="0013732E" w:rsidP="0013732E">
            <w:pPr>
              <w:keepLines/>
              <w:rPr>
                <w:rFonts w:cs="Arial"/>
              </w:rPr>
            </w:pPr>
            <w:r w:rsidRPr="00916EA1">
              <w:rPr>
                <w:rFonts w:cs="Arial"/>
              </w:rPr>
              <w:t>TI-3</w:t>
            </w:r>
          </w:p>
        </w:tc>
        <w:tc>
          <w:tcPr>
            <w:tcW w:w="3260" w:type="dxa"/>
            <w:gridSpan w:val="2"/>
            <w:shd w:val="clear" w:color="auto" w:fill="auto"/>
            <w:vAlign w:val="center"/>
          </w:tcPr>
          <w:p w14:paraId="27F70364" w14:textId="6234FFAF" w:rsidR="0013732E" w:rsidRPr="00916EA1" w:rsidRDefault="0013732E" w:rsidP="0013732E">
            <w:pPr>
              <w:keepLines/>
              <w:rPr>
                <w:rFonts w:cs="Arial"/>
              </w:rPr>
            </w:pPr>
            <w:r w:rsidRPr="00916EA1">
              <w:rPr>
                <w:rFonts w:cs="Arial"/>
              </w:rPr>
              <w:t>Maturity Structure of Fixed Interest Rate Borrowing 202</w:t>
            </w:r>
            <w:r w:rsidR="00C8615B">
              <w:rPr>
                <w:rFonts w:cs="Arial"/>
              </w:rPr>
              <w:t>3</w:t>
            </w:r>
            <w:r w:rsidRPr="00916EA1">
              <w:rPr>
                <w:rFonts w:cs="Arial"/>
              </w:rPr>
              <w:t>/2</w:t>
            </w:r>
            <w:r w:rsidR="00C8615B">
              <w:rPr>
                <w:rFonts w:cs="Arial"/>
              </w:rPr>
              <w:t>4</w:t>
            </w:r>
          </w:p>
        </w:tc>
        <w:tc>
          <w:tcPr>
            <w:tcW w:w="709" w:type="dxa"/>
            <w:shd w:val="clear" w:color="auto" w:fill="auto"/>
            <w:vAlign w:val="center"/>
          </w:tcPr>
          <w:p w14:paraId="4A49CCA6" w14:textId="4367D4BB" w:rsidR="0013732E" w:rsidRPr="00916EA1" w:rsidRDefault="00C8615B" w:rsidP="0013732E">
            <w:pPr>
              <w:keepLines/>
              <w:jc w:val="center"/>
              <w:rPr>
                <w:rFonts w:cs="Arial"/>
              </w:rPr>
            </w:pPr>
            <w:r>
              <w:rPr>
                <w:rFonts w:cs="Arial"/>
              </w:rPr>
              <w:t>30</w:t>
            </w:r>
          </w:p>
        </w:tc>
        <w:tc>
          <w:tcPr>
            <w:tcW w:w="1985" w:type="dxa"/>
            <w:gridSpan w:val="2"/>
            <w:shd w:val="clear" w:color="auto" w:fill="auto"/>
          </w:tcPr>
          <w:p w14:paraId="0C3CD46D" w14:textId="77777777" w:rsidR="0013732E" w:rsidRPr="00916EA1" w:rsidRDefault="0013732E" w:rsidP="0013732E">
            <w:pPr>
              <w:pStyle w:val="BodyText"/>
              <w:jc w:val="center"/>
              <w:rPr>
                <w:rFonts w:ascii="Arial" w:hAnsi="Arial" w:cs="Arial"/>
                <w:b/>
                <w:bCs/>
                <w:sz w:val="20"/>
                <w:szCs w:val="20"/>
              </w:rPr>
            </w:pPr>
            <w:r w:rsidRPr="00916EA1">
              <w:rPr>
                <w:rFonts w:ascii="Arial" w:hAnsi="Arial" w:cs="Arial"/>
                <w:b/>
                <w:bCs/>
                <w:sz w:val="20"/>
                <w:szCs w:val="20"/>
              </w:rPr>
              <w:t>Lower</w:t>
            </w:r>
          </w:p>
        </w:tc>
        <w:tc>
          <w:tcPr>
            <w:tcW w:w="1984" w:type="dxa"/>
            <w:gridSpan w:val="2"/>
            <w:shd w:val="clear" w:color="auto" w:fill="auto"/>
          </w:tcPr>
          <w:p w14:paraId="14ADFE17" w14:textId="77777777" w:rsidR="0013732E" w:rsidRPr="00916EA1" w:rsidRDefault="0013732E" w:rsidP="0013732E">
            <w:pPr>
              <w:pStyle w:val="BodyText"/>
              <w:jc w:val="center"/>
              <w:rPr>
                <w:rFonts w:ascii="Arial" w:hAnsi="Arial" w:cs="Arial"/>
                <w:b/>
                <w:bCs/>
                <w:sz w:val="20"/>
                <w:szCs w:val="20"/>
              </w:rPr>
            </w:pPr>
            <w:r w:rsidRPr="00916EA1">
              <w:rPr>
                <w:rFonts w:ascii="Arial" w:hAnsi="Arial" w:cs="Arial"/>
                <w:b/>
                <w:bCs/>
                <w:sz w:val="20"/>
                <w:szCs w:val="20"/>
              </w:rPr>
              <w:t>Upper</w:t>
            </w:r>
          </w:p>
        </w:tc>
      </w:tr>
      <w:tr w:rsidR="0013732E" w:rsidRPr="00D26131" w14:paraId="62F6C0B6" w14:textId="5EAC38E7" w:rsidTr="0013732E">
        <w:trPr>
          <w:gridAfter w:val="2"/>
          <w:wAfter w:w="1985" w:type="dxa"/>
          <w:trHeight w:val="425"/>
        </w:trPr>
        <w:tc>
          <w:tcPr>
            <w:tcW w:w="704" w:type="dxa"/>
            <w:shd w:val="clear" w:color="auto" w:fill="auto"/>
            <w:vAlign w:val="center"/>
          </w:tcPr>
          <w:p w14:paraId="4ED4AC7E" w14:textId="77777777" w:rsidR="0013732E" w:rsidRPr="00916EA1" w:rsidRDefault="0013732E" w:rsidP="0013732E">
            <w:pPr>
              <w:keepLines/>
              <w:rPr>
                <w:rFonts w:cs="Arial"/>
              </w:rPr>
            </w:pPr>
          </w:p>
        </w:tc>
        <w:tc>
          <w:tcPr>
            <w:tcW w:w="3969" w:type="dxa"/>
            <w:gridSpan w:val="3"/>
            <w:shd w:val="clear" w:color="auto" w:fill="auto"/>
          </w:tcPr>
          <w:p w14:paraId="4FEA3E48" w14:textId="77777777" w:rsidR="0013732E" w:rsidRPr="00916EA1" w:rsidRDefault="0013732E" w:rsidP="0013732E">
            <w:pPr>
              <w:keepLines/>
              <w:rPr>
                <w:rFonts w:cs="Arial"/>
              </w:rPr>
            </w:pPr>
            <w:r w:rsidRPr="00916EA1">
              <w:rPr>
                <w:rFonts w:cs="Arial"/>
              </w:rPr>
              <w:t>Under 12 months</w:t>
            </w:r>
          </w:p>
        </w:tc>
        <w:tc>
          <w:tcPr>
            <w:tcW w:w="1985" w:type="dxa"/>
            <w:gridSpan w:val="2"/>
            <w:shd w:val="clear" w:color="auto" w:fill="auto"/>
          </w:tcPr>
          <w:p w14:paraId="68642832"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0%</w:t>
            </w:r>
          </w:p>
        </w:tc>
        <w:tc>
          <w:tcPr>
            <w:tcW w:w="1984" w:type="dxa"/>
            <w:gridSpan w:val="2"/>
            <w:shd w:val="clear" w:color="auto" w:fill="auto"/>
          </w:tcPr>
          <w:p w14:paraId="6566F069"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20%</w:t>
            </w:r>
          </w:p>
        </w:tc>
      </w:tr>
      <w:tr w:rsidR="0013732E" w:rsidRPr="00D26131" w14:paraId="579012C7" w14:textId="1BBFDA0E" w:rsidTr="0013732E">
        <w:trPr>
          <w:gridAfter w:val="2"/>
          <w:wAfter w:w="1985" w:type="dxa"/>
          <w:trHeight w:val="425"/>
        </w:trPr>
        <w:tc>
          <w:tcPr>
            <w:tcW w:w="704" w:type="dxa"/>
            <w:shd w:val="clear" w:color="auto" w:fill="auto"/>
            <w:vAlign w:val="center"/>
          </w:tcPr>
          <w:p w14:paraId="2F4C0007" w14:textId="77777777" w:rsidR="0013732E" w:rsidRPr="00916EA1" w:rsidRDefault="0013732E" w:rsidP="0013732E">
            <w:pPr>
              <w:keepLines/>
              <w:rPr>
                <w:rFonts w:cs="Arial"/>
              </w:rPr>
            </w:pPr>
          </w:p>
        </w:tc>
        <w:tc>
          <w:tcPr>
            <w:tcW w:w="3969" w:type="dxa"/>
            <w:gridSpan w:val="3"/>
            <w:shd w:val="clear" w:color="auto" w:fill="auto"/>
          </w:tcPr>
          <w:p w14:paraId="11A9D454" w14:textId="77777777" w:rsidR="0013732E" w:rsidRPr="00916EA1" w:rsidRDefault="0013732E" w:rsidP="0013732E">
            <w:pPr>
              <w:keepLines/>
              <w:rPr>
                <w:rFonts w:cs="Arial"/>
              </w:rPr>
            </w:pPr>
            <w:r w:rsidRPr="00916EA1">
              <w:rPr>
                <w:rFonts w:cs="Arial"/>
              </w:rPr>
              <w:t>12 months to 2 years</w:t>
            </w:r>
          </w:p>
        </w:tc>
        <w:tc>
          <w:tcPr>
            <w:tcW w:w="1985" w:type="dxa"/>
            <w:gridSpan w:val="2"/>
            <w:shd w:val="clear" w:color="auto" w:fill="auto"/>
          </w:tcPr>
          <w:p w14:paraId="3B434E71"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0%</w:t>
            </w:r>
          </w:p>
        </w:tc>
        <w:tc>
          <w:tcPr>
            <w:tcW w:w="1984" w:type="dxa"/>
            <w:gridSpan w:val="2"/>
            <w:shd w:val="clear" w:color="auto" w:fill="auto"/>
          </w:tcPr>
          <w:p w14:paraId="20251A2C"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20%</w:t>
            </w:r>
          </w:p>
        </w:tc>
      </w:tr>
      <w:tr w:rsidR="0013732E" w:rsidRPr="00D26131" w14:paraId="51E0C45E" w14:textId="32F51A6D" w:rsidTr="0013732E">
        <w:trPr>
          <w:gridAfter w:val="2"/>
          <w:wAfter w:w="1985" w:type="dxa"/>
          <w:trHeight w:val="425"/>
        </w:trPr>
        <w:tc>
          <w:tcPr>
            <w:tcW w:w="704" w:type="dxa"/>
            <w:shd w:val="clear" w:color="auto" w:fill="auto"/>
            <w:vAlign w:val="center"/>
          </w:tcPr>
          <w:p w14:paraId="4D2D3947" w14:textId="77777777" w:rsidR="0013732E" w:rsidRPr="00916EA1" w:rsidRDefault="0013732E" w:rsidP="0013732E">
            <w:pPr>
              <w:keepLines/>
              <w:rPr>
                <w:rFonts w:cs="Arial"/>
              </w:rPr>
            </w:pPr>
          </w:p>
        </w:tc>
        <w:tc>
          <w:tcPr>
            <w:tcW w:w="3969" w:type="dxa"/>
            <w:gridSpan w:val="3"/>
            <w:shd w:val="clear" w:color="auto" w:fill="auto"/>
          </w:tcPr>
          <w:p w14:paraId="5AFB4297" w14:textId="77777777" w:rsidR="0013732E" w:rsidRPr="00916EA1" w:rsidRDefault="0013732E" w:rsidP="0013732E">
            <w:pPr>
              <w:keepLines/>
              <w:rPr>
                <w:rFonts w:cs="Arial"/>
              </w:rPr>
            </w:pPr>
            <w:r w:rsidRPr="00916EA1">
              <w:rPr>
                <w:rFonts w:cs="Arial"/>
              </w:rPr>
              <w:t>2 years to 5 years</w:t>
            </w:r>
          </w:p>
        </w:tc>
        <w:tc>
          <w:tcPr>
            <w:tcW w:w="1985" w:type="dxa"/>
            <w:gridSpan w:val="2"/>
            <w:shd w:val="clear" w:color="auto" w:fill="auto"/>
          </w:tcPr>
          <w:p w14:paraId="743686F9"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0%</w:t>
            </w:r>
          </w:p>
        </w:tc>
        <w:tc>
          <w:tcPr>
            <w:tcW w:w="1984" w:type="dxa"/>
            <w:gridSpan w:val="2"/>
            <w:shd w:val="clear" w:color="auto" w:fill="auto"/>
          </w:tcPr>
          <w:p w14:paraId="6AE502C7"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20%</w:t>
            </w:r>
          </w:p>
        </w:tc>
      </w:tr>
      <w:tr w:rsidR="0013732E" w:rsidRPr="00D26131" w14:paraId="6284AA63" w14:textId="0C65379A" w:rsidTr="0013732E">
        <w:trPr>
          <w:gridAfter w:val="2"/>
          <w:wAfter w:w="1985" w:type="dxa"/>
          <w:trHeight w:val="425"/>
        </w:trPr>
        <w:tc>
          <w:tcPr>
            <w:tcW w:w="704" w:type="dxa"/>
            <w:shd w:val="clear" w:color="auto" w:fill="auto"/>
            <w:vAlign w:val="center"/>
          </w:tcPr>
          <w:p w14:paraId="36DA2BC8" w14:textId="77777777" w:rsidR="0013732E" w:rsidRPr="00916EA1" w:rsidRDefault="0013732E" w:rsidP="0013732E">
            <w:pPr>
              <w:keepLines/>
              <w:rPr>
                <w:rFonts w:cs="Arial"/>
              </w:rPr>
            </w:pPr>
          </w:p>
        </w:tc>
        <w:tc>
          <w:tcPr>
            <w:tcW w:w="3969" w:type="dxa"/>
            <w:gridSpan w:val="3"/>
            <w:shd w:val="clear" w:color="auto" w:fill="auto"/>
          </w:tcPr>
          <w:p w14:paraId="6ACE6521" w14:textId="77777777" w:rsidR="0013732E" w:rsidRPr="00916EA1" w:rsidRDefault="0013732E" w:rsidP="0013732E">
            <w:pPr>
              <w:keepLines/>
              <w:rPr>
                <w:rFonts w:cs="Arial"/>
              </w:rPr>
            </w:pPr>
            <w:r w:rsidRPr="00916EA1">
              <w:rPr>
                <w:rFonts w:cs="Arial"/>
              </w:rPr>
              <w:t>5 years to 10 years</w:t>
            </w:r>
          </w:p>
        </w:tc>
        <w:tc>
          <w:tcPr>
            <w:tcW w:w="1985" w:type="dxa"/>
            <w:gridSpan w:val="2"/>
            <w:shd w:val="clear" w:color="auto" w:fill="auto"/>
          </w:tcPr>
          <w:p w14:paraId="0B0A9C27"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0%</w:t>
            </w:r>
          </w:p>
        </w:tc>
        <w:tc>
          <w:tcPr>
            <w:tcW w:w="1984" w:type="dxa"/>
            <w:gridSpan w:val="2"/>
            <w:shd w:val="clear" w:color="auto" w:fill="auto"/>
          </w:tcPr>
          <w:p w14:paraId="31152CB5"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20%</w:t>
            </w:r>
          </w:p>
        </w:tc>
      </w:tr>
      <w:tr w:rsidR="0013732E" w:rsidRPr="00D26131" w14:paraId="21B7ECB7" w14:textId="70A79F0A" w:rsidTr="0013732E">
        <w:trPr>
          <w:gridAfter w:val="2"/>
          <w:wAfter w:w="1985" w:type="dxa"/>
          <w:trHeight w:val="425"/>
        </w:trPr>
        <w:tc>
          <w:tcPr>
            <w:tcW w:w="704" w:type="dxa"/>
            <w:shd w:val="clear" w:color="auto" w:fill="auto"/>
            <w:vAlign w:val="center"/>
          </w:tcPr>
          <w:p w14:paraId="16897C39" w14:textId="77777777" w:rsidR="0013732E" w:rsidRPr="00916EA1" w:rsidRDefault="0013732E" w:rsidP="0013732E">
            <w:pPr>
              <w:keepLines/>
              <w:rPr>
                <w:rFonts w:cs="Arial"/>
              </w:rPr>
            </w:pPr>
          </w:p>
        </w:tc>
        <w:tc>
          <w:tcPr>
            <w:tcW w:w="3969" w:type="dxa"/>
            <w:gridSpan w:val="3"/>
            <w:shd w:val="clear" w:color="auto" w:fill="auto"/>
          </w:tcPr>
          <w:p w14:paraId="336F4B88" w14:textId="77777777" w:rsidR="0013732E" w:rsidRPr="00916EA1" w:rsidRDefault="0013732E" w:rsidP="0013732E">
            <w:pPr>
              <w:keepLines/>
              <w:rPr>
                <w:rFonts w:cs="Arial"/>
              </w:rPr>
            </w:pPr>
            <w:r w:rsidRPr="00916EA1">
              <w:rPr>
                <w:rFonts w:cs="Arial"/>
              </w:rPr>
              <w:t>10 years and above</w:t>
            </w:r>
          </w:p>
        </w:tc>
        <w:tc>
          <w:tcPr>
            <w:tcW w:w="1985" w:type="dxa"/>
            <w:gridSpan w:val="2"/>
            <w:shd w:val="clear" w:color="auto" w:fill="auto"/>
          </w:tcPr>
          <w:p w14:paraId="4FB17C6B"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20%</w:t>
            </w:r>
          </w:p>
        </w:tc>
        <w:tc>
          <w:tcPr>
            <w:tcW w:w="1984" w:type="dxa"/>
            <w:gridSpan w:val="2"/>
            <w:shd w:val="clear" w:color="auto" w:fill="auto"/>
          </w:tcPr>
          <w:p w14:paraId="66FEF0CE" w14:textId="77777777" w:rsidR="0013732E" w:rsidRPr="00916EA1" w:rsidRDefault="0013732E" w:rsidP="0013732E">
            <w:pPr>
              <w:pStyle w:val="BodyText"/>
              <w:jc w:val="center"/>
              <w:rPr>
                <w:rFonts w:ascii="Arial" w:hAnsi="Arial" w:cs="Arial"/>
                <w:sz w:val="20"/>
                <w:szCs w:val="20"/>
              </w:rPr>
            </w:pPr>
            <w:r w:rsidRPr="00916EA1">
              <w:rPr>
                <w:rFonts w:ascii="Arial" w:hAnsi="Arial" w:cs="Arial"/>
                <w:sz w:val="20"/>
                <w:szCs w:val="20"/>
              </w:rPr>
              <w:t>100%</w:t>
            </w:r>
          </w:p>
        </w:tc>
      </w:tr>
      <w:tr w:rsidR="0013732E" w:rsidRPr="00D26131" w14:paraId="05ED1A49" w14:textId="5CA93143" w:rsidTr="006C7EB7">
        <w:trPr>
          <w:trHeight w:val="425"/>
        </w:trPr>
        <w:tc>
          <w:tcPr>
            <w:tcW w:w="704" w:type="dxa"/>
            <w:vAlign w:val="center"/>
          </w:tcPr>
          <w:p w14:paraId="2800DAD6" w14:textId="77777777" w:rsidR="0013732E" w:rsidRPr="00916EA1" w:rsidRDefault="0013732E" w:rsidP="0013732E">
            <w:pPr>
              <w:keepLines/>
              <w:rPr>
                <w:rFonts w:cs="Arial"/>
              </w:rPr>
            </w:pPr>
            <w:r w:rsidRPr="00916EA1">
              <w:rPr>
                <w:rFonts w:cs="Arial"/>
              </w:rPr>
              <w:t>TI-5</w:t>
            </w:r>
          </w:p>
        </w:tc>
        <w:tc>
          <w:tcPr>
            <w:tcW w:w="3260" w:type="dxa"/>
            <w:gridSpan w:val="2"/>
            <w:vAlign w:val="center"/>
          </w:tcPr>
          <w:p w14:paraId="43D7F99E" w14:textId="77777777" w:rsidR="0013732E" w:rsidRPr="00916EA1" w:rsidRDefault="0013732E" w:rsidP="0013732E">
            <w:pPr>
              <w:keepLines/>
              <w:rPr>
                <w:rFonts w:cs="Arial"/>
              </w:rPr>
            </w:pPr>
            <w:r w:rsidRPr="00916EA1">
              <w:rPr>
                <w:rFonts w:cs="Arial"/>
              </w:rPr>
              <w:t>Maximum Principal Sum invested greater than 365 days</w:t>
            </w:r>
          </w:p>
        </w:tc>
        <w:tc>
          <w:tcPr>
            <w:tcW w:w="709" w:type="dxa"/>
            <w:vAlign w:val="center"/>
          </w:tcPr>
          <w:p w14:paraId="4F8FECE0" w14:textId="4C407C6B" w:rsidR="0013732E" w:rsidRPr="00916EA1" w:rsidRDefault="0013732E" w:rsidP="0013732E">
            <w:pPr>
              <w:keepLines/>
              <w:jc w:val="center"/>
              <w:rPr>
                <w:rFonts w:cs="Arial"/>
              </w:rPr>
            </w:pPr>
            <w:r w:rsidRPr="00916EA1">
              <w:rPr>
                <w:rFonts w:cs="Arial"/>
              </w:rPr>
              <w:t>2</w:t>
            </w:r>
            <w:r w:rsidR="00C8615B">
              <w:rPr>
                <w:rFonts w:cs="Arial"/>
              </w:rPr>
              <w:t>5</w:t>
            </w:r>
          </w:p>
        </w:tc>
        <w:tc>
          <w:tcPr>
            <w:tcW w:w="992" w:type="dxa"/>
            <w:vAlign w:val="center"/>
          </w:tcPr>
          <w:p w14:paraId="5F7F3C58" w14:textId="77777777" w:rsidR="0013732E" w:rsidRPr="00916EA1" w:rsidRDefault="0013732E" w:rsidP="0013732E">
            <w:pPr>
              <w:jc w:val="center"/>
              <w:rPr>
                <w:rFonts w:cs="Arial"/>
              </w:rPr>
            </w:pPr>
            <w:r w:rsidRPr="00916EA1">
              <w:rPr>
                <w:rFonts w:cs="Arial"/>
              </w:rPr>
              <w:t>20%</w:t>
            </w:r>
          </w:p>
        </w:tc>
        <w:tc>
          <w:tcPr>
            <w:tcW w:w="993" w:type="dxa"/>
            <w:vAlign w:val="center"/>
          </w:tcPr>
          <w:p w14:paraId="2F3AD62F" w14:textId="77777777" w:rsidR="0013732E" w:rsidRPr="00916EA1" w:rsidRDefault="0013732E" w:rsidP="0013732E">
            <w:pPr>
              <w:jc w:val="center"/>
              <w:rPr>
                <w:rFonts w:cs="Arial"/>
              </w:rPr>
            </w:pPr>
            <w:r w:rsidRPr="00916EA1">
              <w:rPr>
                <w:rFonts w:cs="Arial"/>
              </w:rPr>
              <w:t>20%</w:t>
            </w:r>
          </w:p>
        </w:tc>
        <w:tc>
          <w:tcPr>
            <w:tcW w:w="992" w:type="dxa"/>
            <w:vAlign w:val="center"/>
          </w:tcPr>
          <w:p w14:paraId="7F379739" w14:textId="77777777" w:rsidR="0013732E" w:rsidRPr="00916EA1" w:rsidRDefault="0013732E" w:rsidP="0013732E">
            <w:pPr>
              <w:jc w:val="center"/>
              <w:rPr>
                <w:rFonts w:cs="Arial"/>
              </w:rPr>
            </w:pPr>
            <w:r w:rsidRPr="00916EA1">
              <w:rPr>
                <w:rFonts w:cs="Arial"/>
              </w:rPr>
              <w:t>20%</w:t>
            </w:r>
          </w:p>
        </w:tc>
        <w:tc>
          <w:tcPr>
            <w:tcW w:w="992" w:type="dxa"/>
            <w:vAlign w:val="center"/>
          </w:tcPr>
          <w:p w14:paraId="12B150DC" w14:textId="77777777" w:rsidR="0013732E" w:rsidRPr="00916EA1" w:rsidRDefault="0013732E" w:rsidP="0013732E">
            <w:pPr>
              <w:jc w:val="center"/>
              <w:rPr>
                <w:rFonts w:cs="Arial"/>
              </w:rPr>
            </w:pPr>
            <w:r w:rsidRPr="00916EA1">
              <w:rPr>
                <w:rFonts w:cs="Arial"/>
              </w:rPr>
              <w:t>20%</w:t>
            </w:r>
          </w:p>
        </w:tc>
        <w:tc>
          <w:tcPr>
            <w:tcW w:w="992" w:type="dxa"/>
            <w:vAlign w:val="center"/>
          </w:tcPr>
          <w:p w14:paraId="3777B1CF" w14:textId="77777777" w:rsidR="0013732E" w:rsidRPr="00916EA1" w:rsidRDefault="0013732E" w:rsidP="0013732E">
            <w:pPr>
              <w:jc w:val="center"/>
              <w:rPr>
                <w:rFonts w:cs="Arial"/>
              </w:rPr>
            </w:pPr>
            <w:r w:rsidRPr="00916EA1">
              <w:rPr>
                <w:rFonts w:cs="Arial"/>
              </w:rPr>
              <w:t>20%</w:t>
            </w:r>
          </w:p>
        </w:tc>
        <w:tc>
          <w:tcPr>
            <w:tcW w:w="993" w:type="dxa"/>
            <w:vAlign w:val="center"/>
          </w:tcPr>
          <w:p w14:paraId="61D3CF73" w14:textId="03B179C1" w:rsidR="0013732E" w:rsidRPr="00916EA1" w:rsidRDefault="0013732E" w:rsidP="0013732E">
            <w:pPr>
              <w:jc w:val="center"/>
              <w:rPr>
                <w:rFonts w:cs="Arial"/>
              </w:rPr>
            </w:pPr>
            <w:r w:rsidRPr="00916EA1">
              <w:rPr>
                <w:rFonts w:cs="Arial"/>
              </w:rPr>
              <w:t>20%</w:t>
            </w:r>
          </w:p>
        </w:tc>
      </w:tr>
    </w:tbl>
    <w:p w14:paraId="74160BF4" w14:textId="77777777" w:rsidR="00C723E5" w:rsidRPr="00D26131" w:rsidRDefault="00C723E5">
      <w:pPr>
        <w:rPr>
          <w:sz w:val="22"/>
          <w:szCs w:val="22"/>
          <w:highlight w:val="yellow"/>
        </w:rPr>
      </w:pPr>
    </w:p>
    <w:p w14:paraId="077C89CF" w14:textId="77777777" w:rsidR="0013732E" w:rsidRDefault="0013732E" w:rsidP="00387FC9">
      <w:pPr>
        <w:ind w:left="567"/>
        <w:rPr>
          <w:sz w:val="22"/>
          <w:szCs w:val="22"/>
        </w:rPr>
      </w:pPr>
    </w:p>
    <w:p w14:paraId="7F033600" w14:textId="77777777" w:rsidR="0013732E" w:rsidRDefault="0013732E" w:rsidP="00387FC9">
      <w:pPr>
        <w:ind w:left="567"/>
        <w:rPr>
          <w:sz w:val="22"/>
          <w:szCs w:val="22"/>
        </w:rPr>
      </w:pPr>
    </w:p>
    <w:p w14:paraId="0CD57AA4" w14:textId="4FBF7548" w:rsidR="00684963" w:rsidRPr="00AD41C5" w:rsidRDefault="00684963" w:rsidP="00862C9A">
      <w:pPr>
        <w:rPr>
          <w:b/>
          <w:color w:val="993366"/>
          <w:sz w:val="22"/>
          <w:szCs w:val="22"/>
        </w:rPr>
      </w:pPr>
      <w:r w:rsidRPr="00AD41C5">
        <w:rPr>
          <w:sz w:val="22"/>
          <w:szCs w:val="22"/>
        </w:rPr>
        <w:t xml:space="preserve">Further prudential indicators are required to assess the affordability of the capital investment plans. These provide an indication of the impact of the capital investment plans on the Council’s overall finances. The updated indicators are as follows: </w:t>
      </w:r>
      <w:r w:rsidRPr="00AD41C5">
        <w:rPr>
          <w:sz w:val="22"/>
          <w:szCs w:val="22"/>
        </w:rPr>
        <w:br/>
      </w:r>
    </w:p>
    <w:p w14:paraId="74CEA7BD" w14:textId="77777777" w:rsidR="00684963" w:rsidRPr="00BA7339" w:rsidRDefault="00684963" w:rsidP="00862C9A">
      <w:pPr>
        <w:tabs>
          <w:tab w:val="num" w:pos="540"/>
        </w:tabs>
        <w:rPr>
          <w:rFonts w:cs="Arial"/>
          <w:sz w:val="22"/>
          <w:szCs w:val="22"/>
        </w:rPr>
      </w:pPr>
      <w:r w:rsidRPr="00BA7339">
        <w:rPr>
          <w:rFonts w:cs="Arial"/>
          <w:b/>
          <w:bCs/>
          <w:color w:val="993366"/>
          <w:sz w:val="22"/>
          <w:szCs w:val="22"/>
        </w:rPr>
        <w:t>Ratio of financing costs to net revenue stream</w:t>
      </w:r>
      <w:r w:rsidRPr="00BA7339">
        <w:rPr>
          <w:rFonts w:cs="Arial"/>
          <w:b/>
          <w:color w:val="993366"/>
          <w:sz w:val="22"/>
          <w:szCs w:val="22"/>
        </w:rPr>
        <w:t xml:space="preserve"> (Prudential Indicator PI-3)</w:t>
      </w:r>
      <w:r w:rsidRPr="00BA7339">
        <w:rPr>
          <w:rFonts w:cs="Arial"/>
          <w:sz w:val="22"/>
          <w:szCs w:val="22"/>
        </w:rPr>
        <w:br/>
      </w:r>
    </w:p>
    <w:p w14:paraId="3705E669" w14:textId="77777777" w:rsidR="00684963" w:rsidRPr="00BA7339" w:rsidRDefault="00684963" w:rsidP="00862C9A">
      <w:pPr>
        <w:rPr>
          <w:b/>
          <w:color w:val="993366"/>
          <w:sz w:val="24"/>
          <w:szCs w:val="24"/>
        </w:rPr>
      </w:pPr>
      <w:r w:rsidRPr="00BA7339">
        <w:rPr>
          <w:rFonts w:cs="Arial"/>
          <w:sz w:val="22"/>
          <w:szCs w:val="22"/>
        </w:rPr>
        <w:t>This indicator identifies the trend in the cost of capital (borrowing and other long term obligation costs, net of investment income) against the net revenue stream.</w:t>
      </w:r>
    </w:p>
    <w:p w14:paraId="78652195" w14:textId="77777777" w:rsidR="00684963" w:rsidRPr="00D26131" w:rsidRDefault="00684963" w:rsidP="00684963">
      <w:pPr>
        <w:autoSpaceDE w:val="0"/>
        <w:autoSpaceDN w:val="0"/>
        <w:adjustRightInd w:val="0"/>
        <w:jc w:val="both"/>
        <w:rPr>
          <w:rFonts w:cs="Arial"/>
          <w:sz w:val="22"/>
          <w:szCs w:val="22"/>
          <w:highlight w:val="yellow"/>
        </w:rPr>
      </w:pPr>
    </w:p>
    <w:tbl>
      <w:tblPr>
        <w:tblW w:w="102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1006"/>
        <w:gridCol w:w="1005"/>
        <w:gridCol w:w="1005"/>
        <w:gridCol w:w="1005"/>
        <w:gridCol w:w="1005"/>
        <w:gridCol w:w="1010"/>
        <w:gridCol w:w="1009"/>
      </w:tblGrid>
      <w:tr w:rsidR="0078365F" w:rsidRPr="00D26131" w14:paraId="4252FB68" w14:textId="5FE075D3" w:rsidTr="00862C9A">
        <w:trPr>
          <w:trHeight w:val="266"/>
        </w:trPr>
        <w:tc>
          <w:tcPr>
            <w:tcW w:w="3213" w:type="dxa"/>
            <w:vMerge w:val="restart"/>
            <w:shd w:val="clear" w:color="auto" w:fill="B3B3B3"/>
          </w:tcPr>
          <w:p w14:paraId="5AC6505B" w14:textId="77777777" w:rsidR="0078365F" w:rsidRPr="00AD41C5" w:rsidRDefault="0078365F" w:rsidP="006852CC">
            <w:pPr>
              <w:jc w:val="both"/>
              <w:rPr>
                <w:rFonts w:cs="Arial"/>
                <w:b/>
                <w:sz w:val="22"/>
                <w:szCs w:val="22"/>
              </w:rPr>
            </w:pPr>
            <w:r w:rsidRPr="00AD41C5">
              <w:rPr>
                <w:rFonts w:cs="Arial"/>
                <w:b/>
                <w:sz w:val="22"/>
                <w:szCs w:val="22"/>
              </w:rPr>
              <w:t>%</w:t>
            </w:r>
          </w:p>
        </w:tc>
        <w:tc>
          <w:tcPr>
            <w:tcW w:w="1006" w:type="dxa"/>
            <w:shd w:val="clear" w:color="auto" w:fill="B3B3B3"/>
          </w:tcPr>
          <w:p w14:paraId="05059D63" w14:textId="77777777" w:rsidR="0078365F" w:rsidRPr="00AD41C5" w:rsidRDefault="0078365F" w:rsidP="006852CC">
            <w:pPr>
              <w:pStyle w:val="BodyText"/>
              <w:jc w:val="right"/>
              <w:rPr>
                <w:rFonts w:ascii="Arial" w:hAnsi="Arial" w:cs="Arial"/>
                <w:b/>
                <w:bCs/>
                <w:sz w:val="22"/>
                <w:szCs w:val="22"/>
                <w:lang w:val="en-GB"/>
              </w:rPr>
            </w:pPr>
            <w:r w:rsidRPr="00AD41C5">
              <w:rPr>
                <w:rFonts w:ascii="Arial" w:hAnsi="Arial" w:cs="Arial"/>
                <w:b/>
                <w:bCs/>
                <w:sz w:val="22"/>
                <w:szCs w:val="22"/>
                <w:lang w:val="en-GB"/>
              </w:rPr>
              <w:t>Actual</w:t>
            </w:r>
          </w:p>
        </w:tc>
        <w:tc>
          <w:tcPr>
            <w:tcW w:w="6039" w:type="dxa"/>
            <w:gridSpan w:val="6"/>
            <w:shd w:val="clear" w:color="auto" w:fill="B3B3B3"/>
          </w:tcPr>
          <w:p w14:paraId="4115087A" w14:textId="2372290F" w:rsidR="0078365F" w:rsidRPr="00AD41C5" w:rsidRDefault="0078365F" w:rsidP="00C907DD">
            <w:pPr>
              <w:pStyle w:val="BodyText"/>
              <w:jc w:val="center"/>
              <w:rPr>
                <w:rFonts w:ascii="Arial" w:hAnsi="Arial" w:cs="Arial"/>
                <w:b/>
                <w:bCs/>
                <w:sz w:val="22"/>
                <w:szCs w:val="22"/>
                <w:lang w:val="en-GB"/>
              </w:rPr>
            </w:pPr>
            <w:r w:rsidRPr="00AD41C5">
              <w:rPr>
                <w:rFonts w:ascii="Arial" w:hAnsi="Arial" w:cs="Arial"/>
                <w:b/>
                <w:bCs/>
                <w:sz w:val="22"/>
                <w:szCs w:val="22"/>
                <w:lang w:val="en-GB"/>
              </w:rPr>
              <w:t>Estimate</w:t>
            </w:r>
          </w:p>
        </w:tc>
      </w:tr>
      <w:tr w:rsidR="0078365F" w:rsidRPr="00D26131" w14:paraId="64EB9E9D" w14:textId="5EF30E94" w:rsidTr="00862C9A">
        <w:trPr>
          <w:trHeight w:val="150"/>
        </w:trPr>
        <w:tc>
          <w:tcPr>
            <w:tcW w:w="3213" w:type="dxa"/>
            <w:vMerge/>
            <w:shd w:val="clear" w:color="auto" w:fill="B3B3B3"/>
          </w:tcPr>
          <w:p w14:paraId="048398B4" w14:textId="77777777" w:rsidR="0078365F" w:rsidRPr="00AD41C5" w:rsidRDefault="0078365F" w:rsidP="0078365F">
            <w:pPr>
              <w:jc w:val="both"/>
              <w:rPr>
                <w:rFonts w:cs="Arial"/>
                <w:sz w:val="22"/>
                <w:szCs w:val="22"/>
              </w:rPr>
            </w:pPr>
          </w:p>
        </w:tc>
        <w:tc>
          <w:tcPr>
            <w:tcW w:w="1006" w:type="dxa"/>
            <w:shd w:val="clear" w:color="auto" w:fill="B3B3B3"/>
            <w:vAlign w:val="center"/>
          </w:tcPr>
          <w:p w14:paraId="4785F5A6" w14:textId="22A1B6CF"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2</w:t>
            </w:r>
            <w:r w:rsidRPr="00AD41C5">
              <w:rPr>
                <w:rFonts w:ascii="Arial" w:hAnsi="Arial" w:cs="Arial"/>
                <w:b/>
                <w:bCs/>
                <w:sz w:val="22"/>
                <w:szCs w:val="22"/>
                <w:lang w:val="en-GB"/>
              </w:rPr>
              <w:t>/2</w:t>
            </w:r>
            <w:r>
              <w:rPr>
                <w:rFonts w:ascii="Arial" w:hAnsi="Arial" w:cs="Arial"/>
                <w:b/>
                <w:bCs/>
                <w:sz w:val="22"/>
                <w:szCs w:val="22"/>
                <w:lang w:val="en-GB"/>
              </w:rPr>
              <w:t>3</w:t>
            </w:r>
          </w:p>
        </w:tc>
        <w:tc>
          <w:tcPr>
            <w:tcW w:w="1005" w:type="dxa"/>
            <w:shd w:val="clear" w:color="auto" w:fill="B3B3B3"/>
            <w:vAlign w:val="center"/>
          </w:tcPr>
          <w:p w14:paraId="792DCD59" w14:textId="2271BAF5"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3</w:t>
            </w:r>
            <w:r w:rsidRPr="00AD41C5">
              <w:rPr>
                <w:rFonts w:ascii="Arial" w:hAnsi="Arial" w:cs="Arial"/>
                <w:b/>
                <w:bCs/>
                <w:sz w:val="22"/>
                <w:szCs w:val="22"/>
                <w:lang w:val="en-GB"/>
              </w:rPr>
              <w:t>/2</w:t>
            </w:r>
            <w:r>
              <w:rPr>
                <w:rFonts w:ascii="Arial" w:hAnsi="Arial" w:cs="Arial"/>
                <w:b/>
                <w:bCs/>
                <w:sz w:val="22"/>
                <w:szCs w:val="22"/>
                <w:lang w:val="en-GB"/>
              </w:rPr>
              <w:t>4</w:t>
            </w:r>
          </w:p>
        </w:tc>
        <w:tc>
          <w:tcPr>
            <w:tcW w:w="1005" w:type="dxa"/>
            <w:shd w:val="clear" w:color="auto" w:fill="B3B3B3"/>
            <w:vAlign w:val="center"/>
          </w:tcPr>
          <w:p w14:paraId="6D2BCCAF" w14:textId="5C6B82B6"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4</w:t>
            </w:r>
            <w:r w:rsidRPr="00AD41C5">
              <w:rPr>
                <w:rFonts w:ascii="Arial" w:hAnsi="Arial" w:cs="Arial"/>
                <w:b/>
                <w:bCs/>
                <w:sz w:val="22"/>
                <w:szCs w:val="22"/>
                <w:lang w:val="en-GB"/>
              </w:rPr>
              <w:t>/2</w:t>
            </w:r>
            <w:r>
              <w:rPr>
                <w:rFonts w:ascii="Arial" w:hAnsi="Arial" w:cs="Arial"/>
                <w:b/>
                <w:bCs/>
                <w:sz w:val="22"/>
                <w:szCs w:val="22"/>
                <w:lang w:val="en-GB"/>
              </w:rPr>
              <w:t>5</w:t>
            </w:r>
          </w:p>
        </w:tc>
        <w:tc>
          <w:tcPr>
            <w:tcW w:w="1005" w:type="dxa"/>
            <w:shd w:val="clear" w:color="auto" w:fill="B3B3B3"/>
            <w:vAlign w:val="center"/>
          </w:tcPr>
          <w:p w14:paraId="4458516E" w14:textId="114D9E20"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5</w:t>
            </w:r>
            <w:r w:rsidRPr="00AD41C5">
              <w:rPr>
                <w:rFonts w:ascii="Arial" w:hAnsi="Arial" w:cs="Arial"/>
                <w:b/>
                <w:bCs/>
                <w:sz w:val="22"/>
                <w:szCs w:val="22"/>
                <w:lang w:val="en-GB"/>
              </w:rPr>
              <w:t>/2</w:t>
            </w:r>
            <w:r>
              <w:rPr>
                <w:rFonts w:ascii="Arial" w:hAnsi="Arial" w:cs="Arial"/>
                <w:b/>
                <w:bCs/>
                <w:sz w:val="22"/>
                <w:szCs w:val="22"/>
                <w:lang w:val="en-GB"/>
              </w:rPr>
              <w:t>6</w:t>
            </w:r>
          </w:p>
        </w:tc>
        <w:tc>
          <w:tcPr>
            <w:tcW w:w="1005" w:type="dxa"/>
            <w:shd w:val="clear" w:color="auto" w:fill="B3B3B3"/>
            <w:vAlign w:val="center"/>
          </w:tcPr>
          <w:p w14:paraId="0B38CC8B" w14:textId="7A5C921E"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6</w:t>
            </w:r>
            <w:r w:rsidRPr="00AD41C5">
              <w:rPr>
                <w:rFonts w:ascii="Arial" w:hAnsi="Arial" w:cs="Arial"/>
                <w:b/>
                <w:bCs/>
                <w:sz w:val="22"/>
                <w:szCs w:val="22"/>
                <w:lang w:val="en-GB"/>
              </w:rPr>
              <w:t>/2</w:t>
            </w:r>
            <w:r>
              <w:rPr>
                <w:rFonts w:ascii="Arial" w:hAnsi="Arial" w:cs="Arial"/>
                <w:b/>
                <w:bCs/>
                <w:sz w:val="22"/>
                <w:szCs w:val="22"/>
                <w:lang w:val="en-GB"/>
              </w:rPr>
              <w:t>7</w:t>
            </w:r>
          </w:p>
        </w:tc>
        <w:tc>
          <w:tcPr>
            <w:tcW w:w="1010" w:type="dxa"/>
            <w:shd w:val="clear" w:color="auto" w:fill="B3B3B3"/>
            <w:vAlign w:val="center"/>
          </w:tcPr>
          <w:p w14:paraId="1D0BB356" w14:textId="02975D5D" w:rsidR="0078365F" w:rsidRPr="00AD41C5" w:rsidRDefault="0078365F" w:rsidP="0078365F">
            <w:pPr>
              <w:pStyle w:val="BodyText"/>
              <w:jc w:val="center"/>
              <w:rPr>
                <w:rFonts w:ascii="Arial" w:hAnsi="Arial" w:cs="Arial"/>
                <w:b/>
                <w:bCs/>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7</w:t>
            </w:r>
            <w:r w:rsidRPr="00AD41C5">
              <w:rPr>
                <w:rFonts w:ascii="Arial" w:hAnsi="Arial" w:cs="Arial"/>
                <w:b/>
                <w:bCs/>
                <w:sz w:val="22"/>
                <w:szCs w:val="22"/>
                <w:lang w:val="en-GB"/>
              </w:rPr>
              <w:t>/2</w:t>
            </w:r>
            <w:r>
              <w:rPr>
                <w:rFonts w:ascii="Arial" w:hAnsi="Arial" w:cs="Arial"/>
                <w:b/>
                <w:bCs/>
                <w:sz w:val="22"/>
                <w:szCs w:val="22"/>
                <w:lang w:val="en-GB"/>
              </w:rPr>
              <w:t>8</w:t>
            </w:r>
          </w:p>
        </w:tc>
        <w:tc>
          <w:tcPr>
            <w:tcW w:w="1009" w:type="dxa"/>
            <w:shd w:val="clear" w:color="auto" w:fill="B3B3B3"/>
            <w:vAlign w:val="center"/>
          </w:tcPr>
          <w:p w14:paraId="2D8330F0" w14:textId="53AFB904" w:rsidR="0078365F" w:rsidRPr="0078365F" w:rsidRDefault="0078365F" w:rsidP="0078365F">
            <w:pPr>
              <w:pStyle w:val="BodyText"/>
              <w:jc w:val="center"/>
              <w:rPr>
                <w:rFonts w:ascii="Arial" w:hAnsi="Arial" w:cs="Arial"/>
                <w:sz w:val="22"/>
                <w:szCs w:val="22"/>
                <w:lang w:val="en-GB"/>
              </w:rPr>
            </w:pPr>
            <w:r w:rsidRPr="00AD41C5">
              <w:rPr>
                <w:rFonts w:ascii="Arial" w:hAnsi="Arial" w:cs="Arial"/>
                <w:b/>
                <w:bCs/>
                <w:sz w:val="22"/>
                <w:szCs w:val="22"/>
                <w:lang w:val="en-GB"/>
              </w:rPr>
              <w:t>2</w:t>
            </w:r>
            <w:r>
              <w:rPr>
                <w:rFonts w:ascii="Arial" w:hAnsi="Arial" w:cs="Arial"/>
                <w:b/>
                <w:bCs/>
                <w:sz w:val="22"/>
                <w:szCs w:val="22"/>
                <w:lang w:val="en-GB"/>
              </w:rPr>
              <w:t>8/</w:t>
            </w:r>
            <w:r w:rsidRPr="00AD41C5">
              <w:rPr>
                <w:rFonts w:ascii="Arial" w:hAnsi="Arial" w:cs="Arial"/>
                <w:b/>
                <w:bCs/>
                <w:sz w:val="22"/>
                <w:szCs w:val="22"/>
                <w:lang w:val="en-GB"/>
              </w:rPr>
              <w:t>2</w:t>
            </w:r>
            <w:r>
              <w:rPr>
                <w:rFonts w:ascii="Arial" w:hAnsi="Arial" w:cs="Arial"/>
                <w:b/>
                <w:bCs/>
                <w:sz w:val="22"/>
                <w:szCs w:val="22"/>
                <w:lang w:val="en-GB"/>
              </w:rPr>
              <w:t>9</w:t>
            </w:r>
          </w:p>
        </w:tc>
      </w:tr>
      <w:tr w:rsidR="0078365F" w:rsidRPr="00D26131" w14:paraId="512BCE7F" w14:textId="1CF9339E" w:rsidTr="00862C9A">
        <w:trPr>
          <w:trHeight w:val="700"/>
        </w:trPr>
        <w:tc>
          <w:tcPr>
            <w:tcW w:w="3213" w:type="dxa"/>
            <w:vAlign w:val="center"/>
          </w:tcPr>
          <w:p w14:paraId="3E30EBF7" w14:textId="1825DBB6" w:rsidR="0078365F" w:rsidRPr="00AD41C5" w:rsidRDefault="0078365F" w:rsidP="0078365F">
            <w:pPr>
              <w:rPr>
                <w:rFonts w:cs="Arial"/>
                <w:b/>
                <w:sz w:val="22"/>
                <w:szCs w:val="22"/>
              </w:rPr>
            </w:pPr>
            <w:r w:rsidRPr="00AD41C5">
              <w:rPr>
                <w:rFonts w:cs="Arial"/>
                <w:b/>
                <w:sz w:val="22"/>
                <w:szCs w:val="22"/>
              </w:rPr>
              <w:t>Ratio of Financing Costs to Net Revenue Stream (PI-3)</w:t>
            </w:r>
            <w:r w:rsidRPr="00AD41C5">
              <w:rPr>
                <w:rFonts w:cs="Arial"/>
                <w:b/>
                <w:sz w:val="22"/>
                <w:szCs w:val="22"/>
              </w:rPr>
              <w:br/>
            </w:r>
            <w:r w:rsidRPr="00432F38">
              <w:rPr>
                <w:rFonts w:cs="Arial"/>
                <w:i/>
                <w:sz w:val="22"/>
                <w:szCs w:val="22"/>
              </w:rPr>
              <w:t>(inc.</w:t>
            </w:r>
            <w:r w:rsidR="00C034A4">
              <w:rPr>
                <w:rFonts w:cs="Arial"/>
                <w:i/>
                <w:sz w:val="22"/>
                <w:szCs w:val="22"/>
              </w:rPr>
              <w:t xml:space="preserve"> capital</w:t>
            </w:r>
            <w:r w:rsidRPr="00432F38">
              <w:rPr>
                <w:rFonts w:cs="Arial"/>
                <w:i/>
                <w:sz w:val="22"/>
                <w:szCs w:val="22"/>
              </w:rPr>
              <w:t xml:space="preserve"> PPP repayment costs)</w:t>
            </w:r>
          </w:p>
        </w:tc>
        <w:tc>
          <w:tcPr>
            <w:tcW w:w="1006" w:type="dxa"/>
            <w:vAlign w:val="center"/>
          </w:tcPr>
          <w:p w14:paraId="75D93107" w14:textId="2DCAFD4C" w:rsidR="0078365F" w:rsidRPr="00AD41C5" w:rsidRDefault="002B2F58" w:rsidP="0078365F">
            <w:pPr>
              <w:jc w:val="center"/>
              <w:rPr>
                <w:rFonts w:cs="Arial"/>
                <w:sz w:val="22"/>
                <w:szCs w:val="22"/>
              </w:rPr>
            </w:pPr>
            <w:r>
              <w:rPr>
                <w:rFonts w:cs="Arial"/>
                <w:sz w:val="22"/>
                <w:szCs w:val="22"/>
              </w:rPr>
              <w:t>7.7</w:t>
            </w:r>
            <w:r w:rsidR="0078365F" w:rsidRPr="00AD41C5">
              <w:rPr>
                <w:rFonts w:cs="Arial"/>
                <w:sz w:val="22"/>
                <w:szCs w:val="22"/>
              </w:rPr>
              <w:t>%</w:t>
            </w:r>
          </w:p>
        </w:tc>
        <w:tc>
          <w:tcPr>
            <w:tcW w:w="1005" w:type="dxa"/>
            <w:vAlign w:val="center"/>
          </w:tcPr>
          <w:p w14:paraId="283AD2A1" w14:textId="5AAAA255" w:rsidR="0078365F" w:rsidRPr="00AD41C5" w:rsidRDefault="002B2F58" w:rsidP="0078365F">
            <w:pPr>
              <w:jc w:val="center"/>
              <w:rPr>
                <w:rFonts w:cs="Arial"/>
                <w:sz w:val="22"/>
                <w:szCs w:val="22"/>
              </w:rPr>
            </w:pPr>
            <w:r>
              <w:rPr>
                <w:rFonts w:cs="Arial"/>
                <w:sz w:val="22"/>
                <w:szCs w:val="22"/>
              </w:rPr>
              <w:t>5.8</w:t>
            </w:r>
            <w:r w:rsidR="0078365F" w:rsidRPr="00AD41C5">
              <w:rPr>
                <w:rFonts w:cs="Arial"/>
                <w:sz w:val="22"/>
                <w:szCs w:val="22"/>
              </w:rPr>
              <w:t>%</w:t>
            </w:r>
          </w:p>
        </w:tc>
        <w:tc>
          <w:tcPr>
            <w:tcW w:w="1005" w:type="dxa"/>
            <w:vAlign w:val="center"/>
          </w:tcPr>
          <w:p w14:paraId="73AF3257" w14:textId="4A3672E4" w:rsidR="0078365F" w:rsidRPr="00AD41C5" w:rsidRDefault="002B2F58" w:rsidP="0078365F">
            <w:pPr>
              <w:jc w:val="center"/>
              <w:rPr>
                <w:rFonts w:cs="Arial"/>
                <w:sz w:val="22"/>
                <w:szCs w:val="22"/>
              </w:rPr>
            </w:pPr>
            <w:r>
              <w:rPr>
                <w:rFonts w:cs="Arial"/>
                <w:sz w:val="22"/>
                <w:szCs w:val="22"/>
              </w:rPr>
              <w:t>7</w:t>
            </w:r>
            <w:r w:rsidR="0078365F" w:rsidRPr="00AD41C5">
              <w:rPr>
                <w:rFonts w:cs="Arial"/>
                <w:sz w:val="22"/>
                <w:szCs w:val="22"/>
              </w:rPr>
              <w:t>.5%</w:t>
            </w:r>
          </w:p>
        </w:tc>
        <w:tc>
          <w:tcPr>
            <w:tcW w:w="1005" w:type="dxa"/>
            <w:vAlign w:val="center"/>
          </w:tcPr>
          <w:p w14:paraId="232B3B3A" w14:textId="7B12A3E9" w:rsidR="0078365F" w:rsidRPr="00AD41C5" w:rsidRDefault="0078365F" w:rsidP="0078365F">
            <w:pPr>
              <w:jc w:val="center"/>
              <w:rPr>
                <w:rFonts w:cs="Arial"/>
                <w:sz w:val="22"/>
                <w:szCs w:val="22"/>
              </w:rPr>
            </w:pPr>
            <w:r w:rsidRPr="00AD41C5">
              <w:rPr>
                <w:rFonts w:cs="Arial"/>
                <w:sz w:val="22"/>
                <w:szCs w:val="22"/>
              </w:rPr>
              <w:t>8.</w:t>
            </w:r>
            <w:r w:rsidR="002B2F58">
              <w:rPr>
                <w:rFonts w:cs="Arial"/>
                <w:sz w:val="22"/>
                <w:szCs w:val="22"/>
              </w:rPr>
              <w:t>1</w:t>
            </w:r>
            <w:r w:rsidRPr="00AD41C5">
              <w:rPr>
                <w:rFonts w:cs="Arial"/>
                <w:sz w:val="22"/>
                <w:szCs w:val="22"/>
              </w:rPr>
              <w:t>%</w:t>
            </w:r>
          </w:p>
        </w:tc>
        <w:tc>
          <w:tcPr>
            <w:tcW w:w="1005" w:type="dxa"/>
            <w:vAlign w:val="center"/>
          </w:tcPr>
          <w:p w14:paraId="4C8BF138" w14:textId="056C654B" w:rsidR="0078365F" w:rsidRPr="00AD41C5" w:rsidRDefault="0078365F" w:rsidP="0078365F">
            <w:pPr>
              <w:jc w:val="center"/>
              <w:rPr>
                <w:rFonts w:cs="Arial"/>
                <w:sz w:val="22"/>
                <w:szCs w:val="22"/>
              </w:rPr>
            </w:pPr>
            <w:r w:rsidRPr="00AD41C5">
              <w:rPr>
                <w:rFonts w:cs="Arial"/>
                <w:sz w:val="22"/>
                <w:szCs w:val="22"/>
              </w:rPr>
              <w:t>8.</w:t>
            </w:r>
            <w:r w:rsidR="00287AD9">
              <w:rPr>
                <w:rFonts w:cs="Arial"/>
                <w:sz w:val="22"/>
                <w:szCs w:val="22"/>
              </w:rPr>
              <w:t>9</w:t>
            </w:r>
            <w:r w:rsidRPr="00AD41C5">
              <w:rPr>
                <w:rFonts w:cs="Arial"/>
                <w:sz w:val="22"/>
                <w:szCs w:val="22"/>
              </w:rPr>
              <w:t>%</w:t>
            </w:r>
          </w:p>
        </w:tc>
        <w:tc>
          <w:tcPr>
            <w:tcW w:w="1010" w:type="dxa"/>
            <w:shd w:val="clear" w:color="auto" w:fill="auto"/>
            <w:vAlign w:val="center"/>
          </w:tcPr>
          <w:p w14:paraId="2FB1C052" w14:textId="4095CE90" w:rsidR="0078365F" w:rsidRPr="00AD41C5" w:rsidRDefault="00287AD9" w:rsidP="0078365F">
            <w:pPr>
              <w:jc w:val="center"/>
              <w:rPr>
                <w:rFonts w:cs="Arial"/>
                <w:sz w:val="22"/>
                <w:szCs w:val="22"/>
              </w:rPr>
            </w:pPr>
            <w:r>
              <w:rPr>
                <w:rFonts w:cs="Arial"/>
                <w:sz w:val="22"/>
                <w:szCs w:val="22"/>
              </w:rPr>
              <w:t>9.2</w:t>
            </w:r>
            <w:r w:rsidR="0078365F" w:rsidRPr="00AD41C5">
              <w:rPr>
                <w:rFonts w:cs="Arial"/>
                <w:sz w:val="22"/>
                <w:szCs w:val="22"/>
              </w:rPr>
              <w:t>%</w:t>
            </w:r>
          </w:p>
        </w:tc>
        <w:tc>
          <w:tcPr>
            <w:tcW w:w="1009" w:type="dxa"/>
            <w:vAlign w:val="center"/>
          </w:tcPr>
          <w:p w14:paraId="1F3DF25E" w14:textId="1352A135" w:rsidR="0078365F" w:rsidRPr="00AD41C5" w:rsidRDefault="002B2F58" w:rsidP="0078365F">
            <w:pPr>
              <w:jc w:val="center"/>
              <w:rPr>
                <w:rFonts w:cs="Arial"/>
                <w:sz w:val="22"/>
                <w:szCs w:val="22"/>
              </w:rPr>
            </w:pPr>
            <w:r>
              <w:rPr>
                <w:rFonts w:cs="Arial"/>
                <w:sz w:val="22"/>
                <w:szCs w:val="22"/>
              </w:rPr>
              <w:t>9.</w:t>
            </w:r>
            <w:r w:rsidR="00287AD9">
              <w:rPr>
                <w:rFonts w:cs="Arial"/>
                <w:sz w:val="22"/>
                <w:szCs w:val="22"/>
              </w:rPr>
              <w:t>6</w:t>
            </w:r>
            <w:r w:rsidR="0078365F" w:rsidRPr="00AD41C5">
              <w:rPr>
                <w:rFonts w:cs="Arial"/>
                <w:sz w:val="22"/>
                <w:szCs w:val="22"/>
              </w:rPr>
              <w:t>%</w:t>
            </w:r>
          </w:p>
        </w:tc>
      </w:tr>
    </w:tbl>
    <w:p w14:paraId="189DCDA2" w14:textId="77777777" w:rsidR="00684963" w:rsidRPr="00D26131" w:rsidRDefault="00684963" w:rsidP="00684963">
      <w:pPr>
        <w:ind w:left="1701"/>
        <w:rPr>
          <w:highlight w:val="yellow"/>
        </w:rPr>
      </w:pPr>
    </w:p>
    <w:p w14:paraId="78E67E1D" w14:textId="7F6A9A6C" w:rsidR="00684963" w:rsidRPr="00905983" w:rsidRDefault="00684963" w:rsidP="00862C9A">
      <w:pPr>
        <w:rPr>
          <w:sz w:val="22"/>
          <w:szCs w:val="22"/>
        </w:rPr>
      </w:pPr>
      <w:r w:rsidRPr="005453F2">
        <w:rPr>
          <w:sz w:val="22"/>
          <w:szCs w:val="22"/>
        </w:rPr>
        <w:t>The estimates of financing costs include current commitments</w:t>
      </w:r>
      <w:r w:rsidR="00622277">
        <w:rPr>
          <w:sz w:val="22"/>
          <w:szCs w:val="22"/>
        </w:rPr>
        <w:t>, the revisions due to the rebasing of the service concession arrangements</w:t>
      </w:r>
      <w:r w:rsidRPr="005453F2">
        <w:rPr>
          <w:sz w:val="22"/>
          <w:szCs w:val="22"/>
        </w:rPr>
        <w:t xml:space="preserve"> and the proposals in the Financial Plans </w:t>
      </w:r>
      <w:r w:rsidR="00BA7339" w:rsidRPr="005453F2">
        <w:rPr>
          <w:sz w:val="22"/>
          <w:szCs w:val="22"/>
        </w:rPr>
        <w:t>f</w:t>
      </w:r>
      <w:r w:rsidRPr="005453F2">
        <w:rPr>
          <w:sz w:val="22"/>
          <w:szCs w:val="22"/>
        </w:rPr>
        <w:t xml:space="preserve">or </w:t>
      </w:r>
      <w:r w:rsidR="00FB4DFE" w:rsidRPr="005453F2">
        <w:rPr>
          <w:sz w:val="22"/>
          <w:szCs w:val="22"/>
        </w:rPr>
        <w:t>202</w:t>
      </w:r>
      <w:r w:rsidR="0078365F">
        <w:rPr>
          <w:sz w:val="22"/>
          <w:szCs w:val="22"/>
        </w:rPr>
        <w:t>4</w:t>
      </w:r>
      <w:r w:rsidR="000E0A76" w:rsidRPr="005453F2">
        <w:rPr>
          <w:sz w:val="22"/>
          <w:szCs w:val="22"/>
        </w:rPr>
        <w:t>/</w:t>
      </w:r>
      <w:r w:rsidR="006154AB" w:rsidRPr="00905983">
        <w:rPr>
          <w:sz w:val="22"/>
          <w:szCs w:val="22"/>
        </w:rPr>
        <w:t>2</w:t>
      </w:r>
      <w:r w:rsidR="0078365F">
        <w:rPr>
          <w:sz w:val="22"/>
          <w:szCs w:val="22"/>
        </w:rPr>
        <w:t>5</w:t>
      </w:r>
      <w:r w:rsidRPr="00905983">
        <w:rPr>
          <w:sz w:val="22"/>
          <w:szCs w:val="22"/>
        </w:rPr>
        <w:t xml:space="preserve">.  The movements in the above ratio from </w:t>
      </w:r>
      <w:r w:rsidR="00D80AAB" w:rsidRPr="00905983">
        <w:rPr>
          <w:sz w:val="22"/>
          <w:szCs w:val="22"/>
        </w:rPr>
        <w:t>202</w:t>
      </w:r>
      <w:r w:rsidR="0078365F">
        <w:rPr>
          <w:sz w:val="22"/>
          <w:szCs w:val="22"/>
        </w:rPr>
        <w:t>3</w:t>
      </w:r>
      <w:r w:rsidR="000E0A76" w:rsidRPr="00905983">
        <w:rPr>
          <w:sz w:val="22"/>
          <w:szCs w:val="22"/>
        </w:rPr>
        <w:t>/</w:t>
      </w:r>
      <w:r w:rsidR="005E135C" w:rsidRPr="00905983">
        <w:rPr>
          <w:sz w:val="22"/>
          <w:szCs w:val="22"/>
        </w:rPr>
        <w:t>2</w:t>
      </w:r>
      <w:r w:rsidR="0078365F">
        <w:rPr>
          <w:sz w:val="22"/>
          <w:szCs w:val="22"/>
        </w:rPr>
        <w:t xml:space="preserve">4 </w:t>
      </w:r>
      <w:r w:rsidRPr="00905983">
        <w:rPr>
          <w:sz w:val="22"/>
          <w:szCs w:val="22"/>
        </w:rPr>
        <w:t xml:space="preserve">onwards reflect a </w:t>
      </w:r>
      <w:r w:rsidR="005E135C" w:rsidRPr="00905983">
        <w:rPr>
          <w:sz w:val="22"/>
          <w:szCs w:val="22"/>
        </w:rPr>
        <w:t xml:space="preserve">real-time </w:t>
      </w:r>
      <w:r w:rsidRPr="00905983">
        <w:rPr>
          <w:sz w:val="22"/>
          <w:szCs w:val="22"/>
        </w:rPr>
        <w:t>reduction in overall financial resources available to the Council.</w:t>
      </w:r>
    </w:p>
    <w:p w14:paraId="3D811C91" w14:textId="77777777" w:rsidR="00684963" w:rsidRPr="00D26131" w:rsidRDefault="00684963" w:rsidP="00387FC9">
      <w:pPr>
        <w:tabs>
          <w:tab w:val="left" w:pos="540"/>
        </w:tabs>
        <w:ind w:left="540"/>
        <w:rPr>
          <w:sz w:val="22"/>
          <w:szCs w:val="22"/>
          <w:highlight w:val="yellow"/>
        </w:rPr>
      </w:pPr>
    </w:p>
    <w:p w14:paraId="3F3E5013" w14:textId="77777777" w:rsidR="00A7389D" w:rsidRDefault="00A7389D" w:rsidP="00387FC9">
      <w:pPr>
        <w:tabs>
          <w:tab w:val="num" w:pos="720"/>
        </w:tabs>
        <w:ind w:left="567"/>
        <w:rPr>
          <w:b/>
          <w:color w:val="993366"/>
          <w:sz w:val="22"/>
          <w:szCs w:val="22"/>
        </w:rPr>
      </w:pPr>
    </w:p>
    <w:p w14:paraId="1B3A9C3C" w14:textId="77777777" w:rsidR="00A7389D" w:rsidRDefault="00A7389D" w:rsidP="00387FC9">
      <w:pPr>
        <w:tabs>
          <w:tab w:val="num" w:pos="720"/>
        </w:tabs>
        <w:ind w:left="567"/>
        <w:rPr>
          <w:b/>
          <w:color w:val="993366"/>
          <w:sz w:val="22"/>
          <w:szCs w:val="22"/>
        </w:rPr>
      </w:pPr>
    </w:p>
    <w:p w14:paraId="37887469" w14:textId="77777777" w:rsidR="00A7389D" w:rsidRDefault="00A7389D" w:rsidP="00387FC9">
      <w:pPr>
        <w:tabs>
          <w:tab w:val="num" w:pos="720"/>
        </w:tabs>
        <w:ind w:left="567"/>
        <w:rPr>
          <w:b/>
          <w:color w:val="993366"/>
          <w:sz w:val="22"/>
          <w:szCs w:val="22"/>
        </w:rPr>
      </w:pPr>
    </w:p>
    <w:p w14:paraId="12AE35EF" w14:textId="77777777" w:rsidR="00A7389D" w:rsidRDefault="00A7389D" w:rsidP="00387FC9">
      <w:pPr>
        <w:tabs>
          <w:tab w:val="num" w:pos="720"/>
        </w:tabs>
        <w:ind w:left="567"/>
        <w:rPr>
          <w:b/>
          <w:color w:val="993366"/>
          <w:sz w:val="22"/>
          <w:szCs w:val="22"/>
        </w:rPr>
      </w:pPr>
    </w:p>
    <w:p w14:paraId="03EDD8FE" w14:textId="77777777" w:rsidR="00A7389D" w:rsidRDefault="00A7389D" w:rsidP="00387FC9">
      <w:pPr>
        <w:tabs>
          <w:tab w:val="num" w:pos="720"/>
        </w:tabs>
        <w:ind w:left="567"/>
        <w:rPr>
          <w:b/>
          <w:color w:val="993366"/>
          <w:sz w:val="22"/>
          <w:szCs w:val="22"/>
        </w:rPr>
      </w:pPr>
    </w:p>
    <w:p w14:paraId="59CEDCEC" w14:textId="77777777" w:rsidR="00A7389D" w:rsidRDefault="00A7389D" w:rsidP="00387FC9">
      <w:pPr>
        <w:tabs>
          <w:tab w:val="num" w:pos="720"/>
        </w:tabs>
        <w:ind w:left="567"/>
        <w:rPr>
          <w:b/>
          <w:color w:val="993366"/>
          <w:sz w:val="22"/>
          <w:szCs w:val="22"/>
        </w:rPr>
      </w:pPr>
    </w:p>
    <w:p w14:paraId="078FE313" w14:textId="77777777" w:rsidR="00A7389D" w:rsidRDefault="00A7389D" w:rsidP="00387FC9">
      <w:pPr>
        <w:tabs>
          <w:tab w:val="num" w:pos="720"/>
        </w:tabs>
        <w:ind w:left="567"/>
        <w:rPr>
          <w:b/>
          <w:color w:val="993366"/>
          <w:sz w:val="22"/>
          <w:szCs w:val="22"/>
        </w:rPr>
      </w:pPr>
    </w:p>
    <w:p w14:paraId="43DA8BC6" w14:textId="77777777" w:rsidR="00A7389D" w:rsidRDefault="00A7389D" w:rsidP="00387FC9">
      <w:pPr>
        <w:tabs>
          <w:tab w:val="num" w:pos="720"/>
        </w:tabs>
        <w:ind w:left="567"/>
        <w:rPr>
          <w:b/>
          <w:color w:val="993366"/>
          <w:sz w:val="22"/>
          <w:szCs w:val="22"/>
        </w:rPr>
      </w:pPr>
    </w:p>
    <w:p w14:paraId="20486BF2" w14:textId="77777777" w:rsidR="00A7389D" w:rsidRDefault="00A7389D" w:rsidP="00387FC9">
      <w:pPr>
        <w:tabs>
          <w:tab w:val="num" w:pos="720"/>
        </w:tabs>
        <w:ind w:left="567"/>
        <w:rPr>
          <w:b/>
          <w:color w:val="993366"/>
          <w:sz w:val="22"/>
          <w:szCs w:val="22"/>
        </w:rPr>
      </w:pPr>
    </w:p>
    <w:p w14:paraId="655F0C84" w14:textId="77777777" w:rsidR="00A7389D" w:rsidRDefault="00A7389D" w:rsidP="00387FC9">
      <w:pPr>
        <w:tabs>
          <w:tab w:val="num" w:pos="720"/>
        </w:tabs>
        <w:ind w:left="567"/>
        <w:rPr>
          <w:b/>
          <w:color w:val="993366"/>
          <w:sz w:val="22"/>
          <w:szCs w:val="22"/>
        </w:rPr>
      </w:pPr>
    </w:p>
    <w:p w14:paraId="07CF4ABF" w14:textId="77777777" w:rsidR="00A7389D" w:rsidRDefault="00A7389D" w:rsidP="00387FC9">
      <w:pPr>
        <w:tabs>
          <w:tab w:val="num" w:pos="720"/>
        </w:tabs>
        <w:ind w:left="567"/>
        <w:rPr>
          <w:b/>
          <w:color w:val="993366"/>
          <w:sz w:val="22"/>
          <w:szCs w:val="22"/>
        </w:rPr>
      </w:pPr>
    </w:p>
    <w:p w14:paraId="7CBFD3F4" w14:textId="77777777" w:rsidR="00A7389D" w:rsidRDefault="00A7389D" w:rsidP="00387FC9">
      <w:pPr>
        <w:tabs>
          <w:tab w:val="num" w:pos="720"/>
        </w:tabs>
        <w:ind w:left="567"/>
        <w:rPr>
          <w:b/>
          <w:color w:val="993366"/>
          <w:sz w:val="22"/>
          <w:szCs w:val="22"/>
        </w:rPr>
      </w:pPr>
    </w:p>
    <w:p w14:paraId="55E0EBFE" w14:textId="77777777" w:rsidR="00A7389D" w:rsidRDefault="00A7389D" w:rsidP="00387FC9">
      <w:pPr>
        <w:tabs>
          <w:tab w:val="num" w:pos="720"/>
        </w:tabs>
        <w:ind w:left="567"/>
        <w:rPr>
          <w:b/>
          <w:color w:val="993366"/>
          <w:sz w:val="22"/>
          <w:szCs w:val="22"/>
        </w:rPr>
      </w:pPr>
    </w:p>
    <w:p w14:paraId="5A529B7E" w14:textId="77777777" w:rsidR="00A7389D" w:rsidRDefault="00A7389D" w:rsidP="00387FC9">
      <w:pPr>
        <w:tabs>
          <w:tab w:val="num" w:pos="720"/>
        </w:tabs>
        <w:ind w:left="567"/>
        <w:rPr>
          <w:b/>
          <w:color w:val="993366"/>
          <w:sz w:val="22"/>
          <w:szCs w:val="22"/>
        </w:rPr>
      </w:pPr>
    </w:p>
    <w:p w14:paraId="38D48DE8" w14:textId="77777777" w:rsidR="00A7389D" w:rsidRDefault="00A7389D" w:rsidP="00387FC9">
      <w:pPr>
        <w:tabs>
          <w:tab w:val="num" w:pos="720"/>
        </w:tabs>
        <w:ind w:left="567"/>
        <w:rPr>
          <w:b/>
          <w:color w:val="993366"/>
          <w:sz w:val="22"/>
          <w:szCs w:val="22"/>
        </w:rPr>
      </w:pPr>
    </w:p>
    <w:p w14:paraId="47161CBE" w14:textId="77777777" w:rsidR="00A7389D" w:rsidRDefault="00A7389D" w:rsidP="00387FC9">
      <w:pPr>
        <w:tabs>
          <w:tab w:val="num" w:pos="720"/>
        </w:tabs>
        <w:ind w:left="567"/>
        <w:rPr>
          <w:b/>
          <w:color w:val="993366"/>
          <w:sz w:val="22"/>
          <w:szCs w:val="22"/>
        </w:rPr>
      </w:pPr>
    </w:p>
    <w:p w14:paraId="1FC6F418" w14:textId="77777777" w:rsidR="00A7389D" w:rsidRDefault="00A7389D" w:rsidP="00387FC9">
      <w:pPr>
        <w:tabs>
          <w:tab w:val="num" w:pos="720"/>
        </w:tabs>
        <w:ind w:left="567"/>
        <w:rPr>
          <w:b/>
          <w:color w:val="993366"/>
          <w:sz w:val="22"/>
          <w:szCs w:val="22"/>
        </w:rPr>
      </w:pPr>
    </w:p>
    <w:p w14:paraId="3CBB5EAC" w14:textId="77777777" w:rsidR="00A7389D" w:rsidRDefault="00A7389D" w:rsidP="00387FC9">
      <w:pPr>
        <w:tabs>
          <w:tab w:val="num" w:pos="720"/>
        </w:tabs>
        <w:ind w:left="567"/>
        <w:rPr>
          <w:b/>
          <w:color w:val="993366"/>
          <w:sz w:val="22"/>
          <w:szCs w:val="22"/>
        </w:rPr>
      </w:pPr>
    </w:p>
    <w:p w14:paraId="5983CE66" w14:textId="77777777" w:rsidR="00A7389D" w:rsidRDefault="00A7389D" w:rsidP="00387FC9">
      <w:pPr>
        <w:tabs>
          <w:tab w:val="num" w:pos="720"/>
        </w:tabs>
        <w:ind w:left="567"/>
        <w:rPr>
          <w:b/>
          <w:color w:val="993366"/>
          <w:sz w:val="22"/>
          <w:szCs w:val="22"/>
        </w:rPr>
      </w:pPr>
    </w:p>
    <w:p w14:paraId="6FAC4552" w14:textId="77777777" w:rsidR="00A7389D" w:rsidRDefault="00A7389D" w:rsidP="00387FC9">
      <w:pPr>
        <w:tabs>
          <w:tab w:val="num" w:pos="720"/>
        </w:tabs>
        <w:ind w:left="567"/>
        <w:rPr>
          <w:b/>
          <w:color w:val="993366"/>
          <w:sz w:val="22"/>
          <w:szCs w:val="22"/>
        </w:rPr>
      </w:pPr>
    </w:p>
    <w:p w14:paraId="09A2B419" w14:textId="77777777" w:rsidR="00A7389D" w:rsidRDefault="00A7389D" w:rsidP="00387FC9">
      <w:pPr>
        <w:tabs>
          <w:tab w:val="num" w:pos="720"/>
        </w:tabs>
        <w:ind w:left="567"/>
        <w:rPr>
          <w:b/>
          <w:color w:val="993366"/>
          <w:sz w:val="22"/>
          <w:szCs w:val="22"/>
        </w:rPr>
      </w:pPr>
    </w:p>
    <w:p w14:paraId="5B942A2A" w14:textId="77777777" w:rsidR="00A7389D" w:rsidRDefault="00A7389D" w:rsidP="00387FC9">
      <w:pPr>
        <w:tabs>
          <w:tab w:val="num" w:pos="720"/>
        </w:tabs>
        <w:ind w:left="567"/>
        <w:rPr>
          <w:b/>
          <w:color w:val="993366"/>
          <w:sz w:val="22"/>
          <w:szCs w:val="22"/>
        </w:rPr>
      </w:pPr>
    </w:p>
    <w:p w14:paraId="6B32C0B9" w14:textId="77777777" w:rsidR="00A7389D" w:rsidRDefault="00A7389D" w:rsidP="00387FC9">
      <w:pPr>
        <w:tabs>
          <w:tab w:val="num" w:pos="720"/>
        </w:tabs>
        <w:ind w:left="567"/>
        <w:rPr>
          <w:b/>
          <w:color w:val="993366"/>
          <w:sz w:val="22"/>
          <w:szCs w:val="22"/>
        </w:rPr>
      </w:pPr>
    </w:p>
    <w:p w14:paraId="644D419D" w14:textId="77777777" w:rsidR="00A7389D" w:rsidRDefault="00A7389D" w:rsidP="00387FC9">
      <w:pPr>
        <w:tabs>
          <w:tab w:val="num" w:pos="720"/>
        </w:tabs>
        <w:ind w:left="567"/>
        <w:rPr>
          <w:b/>
          <w:color w:val="993366"/>
          <w:sz w:val="22"/>
          <w:szCs w:val="22"/>
        </w:rPr>
      </w:pPr>
    </w:p>
    <w:p w14:paraId="2AF33661" w14:textId="77777777" w:rsidR="00A7389D" w:rsidRDefault="00A7389D" w:rsidP="00387FC9">
      <w:pPr>
        <w:tabs>
          <w:tab w:val="num" w:pos="720"/>
        </w:tabs>
        <w:ind w:left="567"/>
        <w:rPr>
          <w:b/>
          <w:color w:val="993366"/>
          <w:sz w:val="22"/>
          <w:szCs w:val="22"/>
        </w:rPr>
      </w:pPr>
    </w:p>
    <w:p w14:paraId="13214C21" w14:textId="77777777" w:rsidR="00A7389D" w:rsidRDefault="00A7389D" w:rsidP="00387FC9">
      <w:pPr>
        <w:tabs>
          <w:tab w:val="num" w:pos="720"/>
        </w:tabs>
        <w:ind w:left="567"/>
        <w:rPr>
          <w:b/>
          <w:color w:val="993366"/>
          <w:sz w:val="22"/>
          <w:szCs w:val="22"/>
        </w:rPr>
      </w:pPr>
    </w:p>
    <w:p w14:paraId="5F00EFFC" w14:textId="77777777" w:rsidR="00A7389D" w:rsidRDefault="00A7389D" w:rsidP="00387FC9">
      <w:pPr>
        <w:tabs>
          <w:tab w:val="num" w:pos="720"/>
        </w:tabs>
        <w:ind w:left="567"/>
        <w:rPr>
          <w:b/>
          <w:color w:val="993366"/>
          <w:sz w:val="22"/>
          <w:szCs w:val="22"/>
        </w:rPr>
      </w:pPr>
    </w:p>
    <w:p w14:paraId="1B8ABA27" w14:textId="77777777" w:rsidR="00A7389D" w:rsidRDefault="00A7389D" w:rsidP="00387FC9">
      <w:pPr>
        <w:tabs>
          <w:tab w:val="num" w:pos="720"/>
        </w:tabs>
        <w:ind w:left="567"/>
        <w:rPr>
          <w:b/>
          <w:color w:val="993366"/>
          <w:sz w:val="22"/>
          <w:szCs w:val="22"/>
        </w:rPr>
      </w:pPr>
    </w:p>
    <w:p w14:paraId="059C33C5" w14:textId="77777777" w:rsidR="00A7389D" w:rsidRDefault="00A7389D" w:rsidP="00387FC9">
      <w:pPr>
        <w:tabs>
          <w:tab w:val="num" w:pos="720"/>
        </w:tabs>
        <w:ind w:left="567"/>
        <w:rPr>
          <w:b/>
          <w:color w:val="993366"/>
          <w:sz w:val="22"/>
          <w:szCs w:val="22"/>
        </w:rPr>
      </w:pPr>
    </w:p>
    <w:p w14:paraId="02714B54" w14:textId="77777777" w:rsidR="00A7389D" w:rsidRDefault="00A7389D" w:rsidP="00387FC9">
      <w:pPr>
        <w:tabs>
          <w:tab w:val="num" w:pos="720"/>
        </w:tabs>
        <w:ind w:left="567"/>
        <w:rPr>
          <w:b/>
          <w:color w:val="993366"/>
          <w:sz w:val="22"/>
          <w:szCs w:val="22"/>
        </w:rPr>
      </w:pPr>
    </w:p>
    <w:p w14:paraId="3A5CF4FF" w14:textId="77777777" w:rsidR="00A7389D" w:rsidRDefault="00A7389D" w:rsidP="00387FC9">
      <w:pPr>
        <w:tabs>
          <w:tab w:val="num" w:pos="720"/>
        </w:tabs>
        <w:ind w:left="567"/>
        <w:rPr>
          <w:b/>
          <w:color w:val="993366"/>
          <w:sz w:val="22"/>
          <w:szCs w:val="22"/>
        </w:rPr>
      </w:pPr>
    </w:p>
    <w:p w14:paraId="113C91B6" w14:textId="77777777" w:rsidR="00A7389D" w:rsidRDefault="00A7389D" w:rsidP="00387FC9">
      <w:pPr>
        <w:tabs>
          <w:tab w:val="num" w:pos="720"/>
        </w:tabs>
        <w:ind w:left="567"/>
        <w:rPr>
          <w:b/>
          <w:color w:val="993366"/>
          <w:sz w:val="22"/>
          <w:szCs w:val="22"/>
        </w:rPr>
      </w:pPr>
    </w:p>
    <w:p w14:paraId="54FAD53F" w14:textId="77777777" w:rsidR="00A7389D" w:rsidRDefault="00A7389D" w:rsidP="00387FC9">
      <w:pPr>
        <w:tabs>
          <w:tab w:val="num" w:pos="720"/>
        </w:tabs>
        <w:ind w:left="567"/>
        <w:rPr>
          <w:b/>
          <w:color w:val="993366"/>
          <w:sz w:val="22"/>
          <w:szCs w:val="22"/>
        </w:rPr>
      </w:pPr>
    </w:p>
    <w:p w14:paraId="13EE7611" w14:textId="77777777" w:rsidR="00A7389D" w:rsidRDefault="00A7389D" w:rsidP="00387FC9">
      <w:pPr>
        <w:tabs>
          <w:tab w:val="num" w:pos="720"/>
        </w:tabs>
        <w:ind w:left="567"/>
        <w:rPr>
          <w:b/>
          <w:color w:val="993366"/>
          <w:sz w:val="22"/>
          <w:szCs w:val="22"/>
        </w:rPr>
      </w:pPr>
    </w:p>
    <w:p w14:paraId="6F5CCD1B" w14:textId="77777777" w:rsidR="00A7389D" w:rsidRDefault="00A7389D" w:rsidP="00387FC9">
      <w:pPr>
        <w:tabs>
          <w:tab w:val="num" w:pos="720"/>
        </w:tabs>
        <w:ind w:left="567"/>
        <w:rPr>
          <w:b/>
          <w:color w:val="993366"/>
          <w:sz w:val="22"/>
          <w:szCs w:val="22"/>
        </w:rPr>
      </w:pPr>
    </w:p>
    <w:p w14:paraId="5CE0C58F" w14:textId="77777777" w:rsidR="00A7389D" w:rsidRDefault="00A7389D" w:rsidP="00387FC9">
      <w:pPr>
        <w:tabs>
          <w:tab w:val="num" w:pos="720"/>
        </w:tabs>
        <w:ind w:left="567"/>
        <w:rPr>
          <w:b/>
          <w:color w:val="993366"/>
          <w:sz w:val="22"/>
          <w:szCs w:val="22"/>
        </w:rPr>
      </w:pPr>
    </w:p>
    <w:p w14:paraId="681717E7" w14:textId="77777777" w:rsidR="00A7389D" w:rsidRDefault="00A7389D" w:rsidP="00387FC9">
      <w:pPr>
        <w:tabs>
          <w:tab w:val="num" w:pos="720"/>
        </w:tabs>
        <w:ind w:left="567"/>
        <w:rPr>
          <w:b/>
          <w:color w:val="993366"/>
          <w:sz w:val="22"/>
          <w:szCs w:val="22"/>
        </w:rPr>
      </w:pPr>
    </w:p>
    <w:p w14:paraId="7A8C5BD6" w14:textId="77777777" w:rsidR="00A7389D" w:rsidRDefault="00A7389D" w:rsidP="00387FC9">
      <w:pPr>
        <w:tabs>
          <w:tab w:val="num" w:pos="720"/>
        </w:tabs>
        <w:ind w:left="567"/>
        <w:rPr>
          <w:b/>
          <w:color w:val="993366"/>
          <w:sz w:val="22"/>
          <w:szCs w:val="22"/>
        </w:rPr>
      </w:pPr>
    </w:p>
    <w:p w14:paraId="68A0C86A" w14:textId="77777777" w:rsidR="00A7389D" w:rsidRDefault="00A7389D" w:rsidP="00387FC9">
      <w:pPr>
        <w:tabs>
          <w:tab w:val="num" w:pos="720"/>
        </w:tabs>
        <w:ind w:left="567"/>
        <w:rPr>
          <w:b/>
          <w:color w:val="993366"/>
          <w:sz w:val="22"/>
          <w:szCs w:val="22"/>
        </w:rPr>
      </w:pPr>
    </w:p>
    <w:p w14:paraId="4C00E8DD" w14:textId="77777777" w:rsidR="00A7389D" w:rsidRDefault="00A7389D" w:rsidP="00387FC9">
      <w:pPr>
        <w:tabs>
          <w:tab w:val="num" w:pos="720"/>
        </w:tabs>
        <w:ind w:left="567"/>
        <w:rPr>
          <w:b/>
          <w:color w:val="993366"/>
          <w:sz w:val="22"/>
          <w:szCs w:val="22"/>
        </w:rPr>
      </w:pPr>
    </w:p>
    <w:p w14:paraId="1D31AE3C" w14:textId="59F243B8" w:rsidR="00C4026D" w:rsidRPr="00BA7339" w:rsidRDefault="00C4026D" w:rsidP="00387FC9">
      <w:pPr>
        <w:tabs>
          <w:tab w:val="num" w:pos="720"/>
        </w:tabs>
        <w:ind w:left="567"/>
        <w:rPr>
          <w:sz w:val="22"/>
          <w:szCs w:val="22"/>
        </w:rPr>
      </w:pPr>
      <w:r w:rsidRPr="00BA7339">
        <w:rPr>
          <w:b/>
          <w:color w:val="993366"/>
          <w:sz w:val="22"/>
          <w:szCs w:val="22"/>
        </w:rPr>
        <w:t>Treasury Management Limits on Activity</w:t>
      </w:r>
      <w:r w:rsidRPr="00BA7339">
        <w:rPr>
          <w:rFonts w:cs="Arial"/>
          <w:noProof/>
          <w:color w:val="993366"/>
          <w:sz w:val="22"/>
          <w:szCs w:val="22"/>
        </w:rPr>
        <w:br/>
      </w:r>
    </w:p>
    <w:p w14:paraId="15F5F92F" w14:textId="77777777" w:rsidR="00C4026D" w:rsidRPr="00AD41C5" w:rsidRDefault="00C4026D" w:rsidP="006B5BD8">
      <w:pPr>
        <w:ind w:left="567"/>
        <w:rPr>
          <w:rFonts w:cs="Arial"/>
          <w:noProof/>
          <w:sz w:val="22"/>
          <w:szCs w:val="22"/>
        </w:rPr>
      </w:pPr>
      <w:r w:rsidRPr="00AD41C5">
        <w:rPr>
          <w:rFonts w:cs="Arial"/>
          <w:noProof/>
          <w:sz w:val="22"/>
          <w:szCs w:val="22"/>
        </w:rPr>
        <w:t>There are three debt related treasury activity limits. The purpose of these are to restrain the activity of the treasury function within certain limits, thereby managing risk and reducing the impact of any adverse movement in interest rates. However, if these are set to be too restrictive, they will impair the opportunities to reduce costs / improve performance. The indicators are:</w:t>
      </w:r>
    </w:p>
    <w:p w14:paraId="18653B32" w14:textId="77777777" w:rsidR="00C4026D" w:rsidRPr="00AD41C5" w:rsidRDefault="00C4026D" w:rsidP="00C4026D">
      <w:pPr>
        <w:tabs>
          <w:tab w:val="num" w:pos="900"/>
        </w:tabs>
        <w:ind w:left="900" w:hanging="900"/>
        <w:rPr>
          <w:rFonts w:cs="Arial"/>
          <w:noProof/>
          <w:sz w:val="22"/>
          <w:szCs w:val="22"/>
        </w:rPr>
      </w:pPr>
    </w:p>
    <w:p w14:paraId="7E9CACB3" w14:textId="77777777" w:rsidR="00C4026D" w:rsidRPr="00AD41C5" w:rsidRDefault="00C4026D" w:rsidP="00C4026D">
      <w:pPr>
        <w:tabs>
          <w:tab w:val="num" w:pos="1260"/>
        </w:tabs>
        <w:ind w:left="1260" w:hanging="540"/>
        <w:rPr>
          <w:rFonts w:cs="Arial"/>
          <w:i/>
          <w:color w:val="0000FF"/>
          <w:sz w:val="22"/>
          <w:szCs w:val="22"/>
        </w:rPr>
      </w:pPr>
      <w:r w:rsidRPr="00AD41C5">
        <w:rPr>
          <w:b/>
          <w:sz w:val="22"/>
          <w:szCs w:val="22"/>
        </w:rPr>
        <w:t xml:space="preserve">(i) </w:t>
      </w:r>
      <w:r w:rsidRPr="00AD41C5">
        <w:rPr>
          <w:b/>
          <w:sz w:val="22"/>
          <w:szCs w:val="22"/>
        </w:rPr>
        <w:tab/>
        <w:t>Upper limits on fixed interest rate exposure</w:t>
      </w:r>
      <w:r w:rsidRPr="00AD41C5">
        <w:rPr>
          <w:sz w:val="22"/>
          <w:szCs w:val="22"/>
        </w:rPr>
        <w:t xml:space="preserve"> </w:t>
      </w:r>
      <w:r w:rsidRPr="00AD41C5">
        <w:rPr>
          <w:b/>
          <w:sz w:val="22"/>
          <w:szCs w:val="22"/>
        </w:rPr>
        <w:t>(Treasury Indicator TI-1)</w:t>
      </w:r>
      <w:r w:rsidRPr="00AD41C5">
        <w:rPr>
          <w:b/>
          <w:sz w:val="22"/>
          <w:szCs w:val="22"/>
        </w:rPr>
        <w:br/>
      </w:r>
      <w:r w:rsidRPr="00AD41C5">
        <w:rPr>
          <w:b/>
          <w:sz w:val="22"/>
          <w:szCs w:val="22"/>
        </w:rPr>
        <w:br/>
      </w:r>
      <w:r w:rsidRPr="00AD41C5">
        <w:rPr>
          <w:sz w:val="22"/>
          <w:szCs w:val="22"/>
        </w:rPr>
        <w:t>This identifies a maximum limit for borrowing exposure to fixed interest rates, based on the debt position net of investments.</w:t>
      </w:r>
      <w:r w:rsidRPr="00AD41C5">
        <w:rPr>
          <w:rFonts w:cs="Arial"/>
          <w:i/>
          <w:color w:val="0000FF"/>
          <w:sz w:val="22"/>
          <w:szCs w:val="22"/>
        </w:rPr>
        <w:t xml:space="preserve"> </w:t>
      </w:r>
      <w:r w:rsidRPr="00AD41C5">
        <w:rPr>
          <w:rFonts w:cs="Arial"/>
          <w:i/>
          <w:color w:val="0000FF"/>
          <w:sz w:val="22"/>
          <w:szCs w:val="22"/>
        </w:rPr>
        <w:br/>
      </w:r>
    </w:p>
    <w:p w14:paraId="5B9A506D" w14:textId="77777777" w:rsidR="00C4026D" w:rsidRPr="00AD41C5" w:rsidRDefault="00C4026D" w:rsidP="00C4026D">
      <w:pPr>
        <w:tabs>
          <w:tab w:val="num" w:pos="1260"/>
        </w:tabs>
        <w:ind w:left="1260" w:hanging="540"/>
        <w:rPr>
          <w:rFonts w:cs="Arial"/>
          <w:i/>
          <w:color w:val="0000FF"/>
          <w:sz w:val="22"/>
          <w:szCs w:val="22"/>
        </w:rPr>
      </w:pPr>
      <w:r w:rsidRPr="00AD41C5">
        <w:rPr>
          <w:b/>
          <w:sz w:val="22"/>
          <w:szCs w:val="22"/>
        </w:rPr>
        <w:t>(ii)</w:t>
      </w:r>
      <w:r w:rsidRPr="00AD41C5">
        <w:rPr>
          <w:b/>
          <w:sz w:val="22"/>
          <w:szCs w:val="22"/>
        </w:rPr>
        <w:tab/>
        <w:t>Upper limits on variable interest rate exposure</w:t>
      </w:r>
      <w:r w:rsidRPr="00AD41C5">
        <w:rPr>
          <w:sz w:val="22"/>
          <w:szCs w:val="22"/>
        </w:rPr>
        <w:t xml:space="preserve"> </w:t>
      </w:r>
      <w:r w:rsidRPr="00AD41C5">
        <w:rPr>
          <w:b/>
          <w:sz w:val="22"/>
          <w:szCs w:val="22"/>
        </w:rPr>
        <w:t>(Treasury Indicator TI-2)</w:t>
      </w:r>
      <w:r w:rsidRPr="00AD41C5">
        <w:rPr>
          <w:sz w:val="22"/>
          <w:szCs w:val="22"/>
        </w:rPr>
        <w:br/>
      </w:r>
      <w:r w:rsidRPr="00AD41C5">
        <w:rPr>
          <w:sz w:val="22"/>
          <w:szCs w:val="22"/>
        </w:rPr>
        <w:br/>
        <w:t>This identifies a maximum limit for borrowing exposure to variable interest rates based upon the debt position net of investments.</w:t>
      </w:r>
      <w:r w:rsidRPr="00AD41C5">
        <w:rPr>
          <w:sz w:val="22"/>
          <w:szCs w:val="22"/>
        </w:rPr>
        <w:br/>
      </w:r>
    </w:p>
    <w:p w14:paraId="4A0C5A1C" w14:textId="77777777" w:rsidR="00C4026D" w:rsidRPr="00AD41C5" w:rsidRDefault="00C4026D" w:rsidP="00C4026D">
      <w:pPr>
        <w:tabs>
          <w:tab w:val="num" w:pos="1260"/>
        </w:tabs>
        <w:ind w:left="1260" w:hanging="540"/>
        <w:rPr>
          <w:rFonts w:cs="Arial"/>
          <w:color w:val="0000FF"/>
          <w:sz w:val="22"/>
          <w:szCs w:val="22"/>
        </w:rPr>
      </w:pPr>
      <w:r w:rsidRPr="00AD41C5">
        <w:rPr>
          <w:b/>
          <w:sz w:val="22"/>
          <w:szCs w:val="22"/>
        </w:rPr>
        <w:t>(iii)</w:t>
      </w:r>
      <w:r w:rsidRPr="00AD41C5">
        <w:rPr>
          <w:b/>
          <w:sz w:val="22"/>
          <w:szCs w:val="22"/>
        </w:rPr>
        <w:tab/>
        <w:t>Maturity structure of borrowing (Treasury Indicator TI-3)</w:t>
      </w:r>
      <w:r w:rsidRPr="00AD41C5">
        <w:rPr>
          <w:b/>
          <w:sz w:val="22"/>
          <w:szCs w:val="22"/>
        </w:rPr>
        <w:br/>
      </w:r>
      <w:r w:rsidRPr="00D26131">
        <w:rPr>
          <w:sz w:val="22"/>
          <w:szCs w:val="22"/>
          <w:highlight w:val="yellow"/>
        </w:rPr>
        <w:br/>
      </w:r>
      <w:r w:rsidRPr="00AD41C5">
        <w:rPr>
          <w:sz w:val="22"/>
          <w:szCs w:val="22"/>
        </w:rPr>
        <w:t xml:space="preserve">These gross limits are set to reduce the Council’s exposure to </w:t>
      </w:r>
      <w:proofErr w:type="gramStart"/>
      <w:r w:rsidRPr="00AD41C5">
        <w:rPr>
          <w:sz w:val="22"/>
          <w:szCs w:val="22"/>
        </w:rPr>
        <w:t>large fixed</w:t>
      </w:r>
      <w:proofErr w:type="gramEnd"/>
      <w:r w:rsidRPr="00AD41C5">
        <w:rPr>
          <w:sz w:val="22"/>
          <w:szCs w:val="22"/>
        </w:rPr>
        <w:t xml:space="preserve"> rate sums falling due for refinancing, and are required for upper and lower limits.  </w:t>
      </w:r>
    </w:p>
    <w:p w14:paraId="56E9CF51" w14:textId="77777777" w:rsidR="00C4026D" w:rsidRDefault="00C4026D" w:rsidP="00C4026D">
      <w:pPr>
        <w:tabs>
          <w:tab w:val="num" w:pos="720"/>
          <w:tab w:val="left" w:pos="1260"/>
        </w:tabs>
        <w:ind w:left="720" w:hanging="720"/>
        <w:rPr>
          <w:sz w:val="22"/>
          <w:szCs w:val="22"/>
        </w:rPr>
      </w:pPr>
      <w:r w:rsidRPr="00AD41C5">
        <w:rPr>
          <w:sz w:val="22"/>
          <w:szCs w:val="22"/>
        </w:rPr>
        <w:tab/>
      </w:r>
    </w:p>
    <w:p w14:paraId="62C34CE3" w14:textId="76D3801F" w:rsidR="00C4026D" w:rsidRDefault="00C4026D" w:rsidP="00C4026D">
      <w:pPr>
        <w:tabs>
          <w:tab w:val="num" w:pos="720"/>
          <w:tab w:val="left" w:pos="1260"/>
        </w:tabs>
        <w:ind w:left="720" w:hanging="11"/>
        <w:rPr>
          <w:sz w:val="22"/>
          <w:szCs w:val="22"/>
        </w:rPr>
      </w:pPr>
      <w:r w:rsidRPr="00AD41C5">
        <w:rPr>
          <w:b/>
          <w:sz w:val="22"/>
          <w:szCs w:val="22"/>
        </w:rPr>
        <w:t>(iv)</w:t>
      </w:r>
      <w:r w:rsidRPr="00AD41C5">
        <w:rPr>
          <w:b/>
          <w:sz w:val="22"/>
          <w:szCs w:val="22"/>
        </w:rPr>
        <w:tab/>
      </w:r>
      <w:r w:rsidRPr="00AD41C5">
        <w:rPr>
          <w:sz w:val="22"/>
          <w:szCs w:val="22"/>
        </w:rPr>
        <w:t>The following table highlights the proposed treasury indicators and limits:</w:t>
      </w:r>
    </w:p>
    <w:p w14:paraId="11572790" w14:textId="3A3DFB03" w:rsidR="00AD41C5" w:rsidRDefault="00AD41C5">
      <w:pPr>
        <w:rPr>
          <w:rFonts w:cs="Arial"/>
          <w:sz w:val="22"/>
          <w:szCs w:val="22"/>
        </w:rPr>
      </w:pPr>
    </w:p>
    <w:p w14:paraId="671C7B5C" w14:textId="77777777" w:rsidR="00AD41C5" w:rsidRPr="00AD41C5" w:rsidRDefault="00AD41C5" w:rsidP="00C4026D">
      <w:pPr>
        <w:tabs>
          <w:tab w:val="num" w:pos="720"/>
          <w:tab w:val="left" w:pos="1260"/>
        </w:tabs>
        <w:ind w:left="720" w:hanging="11"/>
        <w:rPr>
          <w:rFonts w:cs="Arial"/>
          <w:sz w:val="22"/>
          <w:szCs w:val="22"/>
        </w:rPr>
      </w:pPr>
    </w:p>
    <w:p w14:paraId="796980F8" w14:textId="77777777" w:rsidR="00FA5486" w:rsidRPr="00D26131" w:rsidRDefault="00FA5486">
      <w:pPr>
        <w:rPr>
          <w:rFonts w:cs="Arial"/>
          <w:color w:val="0000FF"/>
          <w:sz w:val="22"/>
          <w:szCs w:val="22"/>
          <w:highlight w:val="yellow"/>
        </w:rPr>
      </w:pPr>
    </w:p>
    <w:tbl>
      <w:tblPr>
        <w:tblW w:w="9790"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1313"/>
        <w:gridCol w:w="1097"/>
        <w:gridCol w:w="1142"/>
        <w:gridCol w:w="1126"/>
        <w:gridCol w:w="1142"/>
        <w:gridCol w:w="1142"/>
      </w:tblGrid>
      <w:tr w:rsidR="0078365F" w:rsidRPr="00D26131" w14:paraId="622EA8DD" w14:textId="1CF73571" w:rsidTr="002B2F58">
        <w:tc>
          <w:tcPr>
            <w:tcW w:w="2828" w:type="dxa"/>
            <w:shd w:val="clear" w:color="auto" w:fill="auto"/>
          </w:tcPr>
          <w:p w14:paraId="5F85A87F" w14:textId="77777777" w:rsidR="0078365F" w:rsidRPr="001747EB" w:rsidRDefault="0078365F" w:rsidP="0078365F">
            <w:pPr>
              <w:pStyle w:val="BodyText"/>
              <w:jc w:val="center"/>
              <w:rPr>
                <w:rFonts w:ascii="Arial" w:hAnsi="Arial" w:cs="Arial"/>
                <w:b/>
                <w:bCs/>
                <w:sz w:val="22"/>
                <w:szCs w:val="22"/>
              </w:rPr>
            </w:pPr>
            <w:r w:rsidRPr="001747EB">
              <w:rPr>
                <w:rFonts w:ascii="Arial" w:hAnsi="Arial" w:cs="Arial"/>
                <w:b/>
                <w:sz w:val="22"/>
                <w:szCs w:val="22"/>
              </w:rPr>
              <w:t>£m</w:t>
            </w:r>
          </w:p>
        </w:tc>
        <w:tc>
          <w:tcPr>
            <w:tcW w:w="1313" w:type="dxa"/>
            <w:shd w:val="clear" w:color="auto" w:fill="auto"/>
          </w:tcPr>
          <w:p w14:paraId="259DFA76" w14:textId="7FBB8C0C"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Pr>
                <w:rFonts w:ascii="Arial" w:hAnsi="Arial" w:cs="Arial"/>
                <w:b/>
                <w:bCs/>
                <w:sz w:val="22"/>
                <w:szCs w:val="22"/>
              </w:rPr>
              <w:t>3</w:t>
            </w:r>
            <w:r w:rsidRPr="001747EB">
              <w:rPr>
                <w:rFonts w:ascii="Arial" w:hAnsi="Arial" w:cs="Arial"/>
                <w:b/>
                <w:bCs/>
                <w:sz w:val="22"/>
                <w:szCs w:val="22"/>
              </w:rPr>
              <w:t>/2</w:t>
            </w:r>
            <w:r>
              <w:rPr>
                <w:rFonts w:ascii="Arial" w:hAnsi="Arial" w:cs="Arial"/>
                <w:b/>
                <w:bCs/>
                <w:sz w:val="22"/>
                <w:szCs w:val="22"/>
              </w:rPr>
              <w:t>4</w:t>
            </w:r>
          </w:p>
        </w:tc>
        <w:tc>
          <w:tcPr>
            <w:tcW w:w="1097" w:type="dxa"/>
            <w:shd w:val="clear" w:color="auto" w:fill="auto"/>
          </w:tcPr>
          <w:p w14:paraId="389E510B" w14:textId="7CF893B8"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Pr>
                <w:rFonts w:ascii="Arial" w:hAnsi="Arial" w:cs="Arial"/>
                <w:b/>
                <w:bCs/>
                <w:sz w:val="22"/>
                <w:szCs w:val="22"/>
              </w:rPr>
              <w:t>4</w:t>
            </w:r>
            <w:r w:rsidRPr="001747EB">
              <w:rPr>
                <w:rFonts w:ascii="Arial" w:hAnsi="Arial" w:cs="Arial"/>
                <w:b/>
                <w:bCs/>
                <w:sz w:val="22"/>
                <w:szCs w:val="22"/>
              </w:rPr>
              <w:t>/2</w:t>
            </w:r>
            <w:r>
              <w:rPr>
                <w:rFonts w:ascii="Arial" w:hAnsi="Arial" w:cs="Arial"/>
                <w:b/>
                <w:bCs/>
                <w:sz w:val="22"/>
                <w:szCs w:val="22"/>
              </w:rPr>
              <w:t>5</w:t>
            </w:r>
          </w:p>
        </w:tc>
        <w:tc>
          <w:tcPr>
            <w:tcW w:w="1142" w:type="dxa"/>
            <w:shd w:val="clear" w:color="auto" w:fill="auto"/>
          </w:tcPr>
          <w:p w14:paraId="2C97D41C" w14:textId="7864B0E9"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Pr>
                <w:rFonts w:ascii="Arial" w:hAnsi="Arial" w:cs="Arial"/>
                <w:b/>
                <w:bCs/>
                <w:sz w:val="22"/>
                <w:szCs w:val="22"/>
              </w:rPr>
              <w:t>5</w:t>
            </w:r>
            <w:r w:rsidRPr="001747EB">
              <w:rPr>
                <w:rFonts w:ascii="Arial" w:hAnsi="Arial" w:cs="Arial"/>
                <w:b/>
                <w:bCs/>
                <w:sz w:val="22"/>
                <w:szCs w:val="22"/>
              </w:rPr>
              <w:t>/2</w:t>
            </w:r>
            <w:r>
              <w:rPr>
                <w:rFonts w:ascii="Arial" w:hAnsi="Arial" w:cs="Arial"/>
                <w:b/>
                <w:bCs/>
                <w:sz w:val="22"/>
                <w:szCs w:val="22"/>
              </w:rPr>
              <w:t>6</w:t>
            </w:r>
          </w:p>
        </w:tc>
        <w:tc>
          <w:tcPr>
            <w:tcW w:w="1126" w:type="dxa"/>
          </w:tcPr>
          <w:p w14:paraId="57B10A17" w14:textId="34994017"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Pr>
                <w:rFonts w:ascii="Arial" w:hAnsi="Arial" w:cs="Arial"/>
                <w:b/>
                <w:bCs/>
                <w:sz w:val="22"/>
                <w:szCs w:val="22"/>
              </w:rPr>
              <w:t>6</w:t>
            </w:r>
            <w:r w:rsidRPr="001747EB">
              <w:rPr>
                <w:rFonts w:ascii="Arial" w:hAnsi="Arial" w:cs="Arial"/>
                <w:b/>
                <w:bCs/>
                <w:sz w:val="22"/>
                <w:szCs w:val="22"/>
              </w:rPr>
              <w:t>/2</w:t>
            </w:r>
            <w:r>
              <w:rPr>
                <w:rFonts w:ascii="Arial" w:hAnsi="Arial" w:cs="Arial"/>
                <w:b/>
                <w:bCs/>
                <w:sz w:val="22"/>
                <w:szCs w:val="22"/>
              </w:rPr>
              <w:t>7</w:t>
            </w:r>
          </w:p>
        </w:tc>
        <w:tc>
          <w:tcPr>
            <w:tcW w:w="1142" w:type="dxa"/>
          </w:tcPr>
          <w:p w14:paraId="3DDCFEFB" w14:textId="2AE62ED8"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Pr>
                <w:rFonts w:ascii="Arial" w:hAnsi="Arial" w:cs="Arial"/>
                <w:b/>
                <w:bCs/>
                <w:sz w:val="22"/>
                <w:szCs w:val="22"/>
              </w:rPr>
              <w:t>7</w:t>
            </w:r>
            <w:r w:rsidRPr="001747EB">
              <w:rPr>
                <w:rFonts w:ascii="Arial" w:hAnsi="Arial" w:cs="Arial"/>
                <w:b/>
                <w:bCs/>
                <w:sz w:val="22"/>
                <w:szCs w:val="22"/>
              </w:rPr>
              <w:t>/2</w:t>
            </w:r>
            <w:r>
              <w:rPr>
                <w:rFonts w:ascii="Arial" w:hAnsi="Arial" w:cs="Arial"/>
                <w:b/>
                <w:bCs/>
                <w:sz w:val="22"/>
                <w:szCs w:val="22"/>
              </w:rPr>
              <w:t>8</w:t>
            </w:r>
          </w:p>
        </w:tc>
        <w:tc>
          <w:tcPr>
            <w:tcW w:w="1142" w:type="dxa"/>
          </w:tcPr>
          <w:p w14:paraId="52C9F1E9" w14:textId="5BEBA8AC"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202</w:t>
            </w:r>
            <w:r w:rsidR="002B2F58">
              <w:rPr>
                <w:rFonts w:ascii="Arial" w:hAnsi="Arial" w:cs="Arial"/>
                <w:b/>
                <w:bCs/>
                <w:sz w:val="22"/>
                <w:szCs w:val="22"/>
              </w:rPr>
              <w:t>8</w:t>
            </w:r>
            <w:r w:rsidRPr="001747EB">
              <w:rPr>
                <w:rFonts w:ascii="Arial" w:hAnsi="Arial" w:cs="Arial"/>
                <w:b/>
                <w:bCs/>
                <w:sz w:val="22"/>
                <w:szCs w:val="22"/>
              </w:rPr>
              <w:t>/2</w:t>
            </w:r>
            <w:r w:rsidR="002B2F58">
              <w:rPr>
                <w:rFonts w:ascii="Arial" w:hAnsi="Arial" w:cs="Arial"/>
                <w:b/>
                <w:bCs/>
                <w:sz w:val="22"/>
                <w:szCs w:val="22"/>
              </w:rPr>
              <w:t>9</w:t>
            </w:r>
          </w:p>
        </w:tc>
      </w:tr>
      <w:tr w:rsidR="002B2F58" w:rsidRPr="00D26131" w14:paraId="5347BC56" w14:textId="34FD2CDD" w:rsidTr="002B2F58">
        <w:tc>
          <w:tcPr>
            <w:tcW w:w="6380" w:type="dxa"/>
            <w:gridSpan w:val="4"/>
            <w:tcBorders>
              <w:bottom w:val="nil"/>
            </w:tcBorders>
          </w:tcPr>
          <w:p w14:paraId="331123A4" w14:textId="77777777" w:rsidR="002B2F58" w:rsidRPr="001747EB" w:rsidRDefault="002B2F58" w:rsidP="0078365F">
            <w:pPr>
              <w:pStyle w:val="BodyText"/>
              <w:rPr>
                <w:rFonts w:ascii="Arial" w:hAnsi="Arial" w:cs="Arial"/>
                <w:b/>
                <w:bCs/>
                <w:sz w:val="22"/>
                <w:szCs w:val="22"/>
              </w:rPr>
            </w:pPr>
            <w:r w:rsidRPr="001747EB">
              <w:rPr>
                <w:rFonts w:ascii="Arial" w:hAnsi="Arial" w:cs="Arial"/>
                <w:b/>
                <w:bCs/>
                <w:sz w:val="22"/>
                <w:szCs w:val="22"/>
              </w:rPr>
              <w:t>Interest rate exposures</w:t>
            </w:r>
          </w:p>
        </w:tc>
        <w:tc>
          <w:tcPr>
            <w:tcW w:w="1126" w:type="dxa"/>
            <w:tcBorders>
              <w:bottom w:val="nil"/>
            </w:tcBorders>
          </w:tcPr>
          <w:p w14:paraId="33911FFF" w14:textId="77777777" w:rsidR="002B2F58" w:rsidRPr="001747EB" w:rsidRDefault="002B2F58" w:rsidP="0078365F">
            <w:pPr>
              <w:pStyle w:val="BodyText"/>
              <w:rPr>
                <w:rFonts w:ascii="Arial" w:hAnsi="Arial" w:cs="Arial"/>
                <w:b/>
                <w:bCs/>
                <w:sz w:val="22"/>
                <w:szCs w:val="22"/>
              </w:rPr>
            </w:pPr>
          </w:p>
        </w:tc>
        <w:tc>
          <w:tcPr>
            <w:tcW w:w="1142" w:type="dxa"/>
            <w:tcBorders>
              <w:bottom w:val="nil"/>
            </w:tcBorders>
          </w:tcPr>
          <w:p w14:paraId="6185562C" w14:textId="77777777" w:rsidR="002B2F58" w:rsidRPr="001747EB" w:rsidRDefault="002B2F58" w:rsidP="0078365F">
            <w:pPr>
              <w:pStyle w:val="BodyText"/>
              <w:rPr>
                <w:rFonts w:ascii="Arial" w:hAnsi="Arial" w:cs="Arial"/>
                <w:b/>
                <w:bCs/>
                <w:sz w:val="22"/>
                <w:szCs w:val="22"/>
              </w:rPr>
            </w:pPr>
          </w:p>
        </w:tc>
        <w:tc>
          <w:tcPr>
            <w:tcW w:w="1142" w:type="dxa"/>
            <w:tcBorders>
              <w:bottom w:val="nil"/>
            </w:tcBorders>
          </w:tcPr>
          <w:p w14:paraId="7CDB47E0" w14:textId="77777777" w:rsidR="002B2F58" w:rsidRPr="001747EB" w:rsidRDefault="002B2F58" w:rsidP="0078365F">
            <w:pPr>
              <w:pStyle w:val="BodyText"/>
              <w:rPr>
                <w:rFonts w:ascii="Arial" w:hAnsi="Arial" w:cs="Arial"/>
                <w:b/>
                <w:bCs/>
                <w:sz w:val="22"/>
                <w:szCs w:val="22"/>
              </w:rPr>
            </w:pPr>
          </w:p>
        </w:tc>
      </w:tr>
      <w:tr w:rsidR="0078365F" w:rsidRPr="00D26131" w14:paraId="5C9AFCF5" w14:textId="03614C2C" w:rsidTr="002B2F58">
        <w:tc>
          <w:tcPr>
            <w:tcW w:w="2828" w:type="dxa"/>
            <w:tcBorders>
              <w:top w:val="nil"/>
            </w:tcBorders>
          </w:tcPr>
          <w:p w14:paraId="02110DBB" w14:textId="77777777" w:rsidR="0078365F" w:rsidRPr="001747EB" w:rsidRDefault="0078365F" w:rsidP="0078365F">
            <w:pPr>
              <w:pStyle w:val="BodyText"/>
              <w:rPr>
                <w:rFonts w:ascii="Arial" w:hAnsi="Arial" w:cs="Arial"/>
                <w:b/>
                <w:bCs/>
                <w:sz w:val="22"/>
                <w:szCs w:val="22"/>
              </w:rPr>
            </w:pPr>
          </w:p>
        </w:tc>
        <w:tc>
          <w:tcPr>
            <w:tcW w:w="1313" w:type="dxa"/>
            <w:shd w:val="clear" w:color="auto" w:fill="auto"/>
          </w:tcPr>
          <w:p w14:paraId="63487448" w14:textId="77777777"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Upper</w:t>
            </w:r>
          </w:p>
        </w:tc>
        <w:tc>
          <w:tcPr>
            <w:tcW w:w="1097" w:type="dxa"/>
            <w:shd w:val="clear" w:color="auto" w:fill="auto"/>
          </w:tcPr>
          <w:p w14:paraId="6DA1D495" w14:textId="77777777"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Upper</w:t>
            </w:r>
          </w:p>
        </w:tc>
        <w:tc>
          <w:tcPr>
            <w:tcW w:w="1142" w:type="dxa"/>
          </w:tcPr>
          <w:p w14:paraId="74655495" w14:textId="77777777" w:rsidR="0078365F" w:rsidRPr="001747EB" w:rsidRDefault="0078365F" w:rsidP="0078365F">
            <w:pPr>
              <w:pStyle w:val="BodyText"/>
              <w:jc w:val="center"/>
              <w:rPr>
                <w:rFonts w:ascii="Arial" w:hAnsi="Arial" w:cs="Arial"/>
                <w:b/>
                <w:bCs/>
                <w:sz w:val="22"/>
                <w:szCs w:val="22"/>
              </w:rPr>
            </w:pPr>
            <w:r w:rsidRPr="001747EB">
              <w:rPr>
                <w:rFonts w:ascii="Arial" w:hAnsi="Arial" w:cs="Arial"/>
                <w:b/>
                <w:bCs/>
                <w:sz w:val="22"/>
                <w:szCs w:val="22"/>
              </w:rPr>
              <w:t>Upper</w:t>
            </w:r>
          </w:p>
        </w:tc>
        <w:tc>
          <w:tcPr>
            <w:tcW w:w="1126" w:type="dxa"/>
          </w:tcPr>
          <w:p w14:paraId="6E6ACD17" w14:textId="77777777" w:rsidR="0078365F" w:rsidRPr="001747EB" w:rsidRDefault="0078365F" w:rsidP="0078365F">
            <w:pPr>
              <w:jc w:val="center"/>
            </w:pPr>
            <w:r w:rsidRPr="001747EB">
              <w:rPr>
                <w:rFonts w:cs="Arial"/>
                <w:b/>
                <w:bCs/>
                <w:sz w:val="22"/>
                <w:szCs w:val="22"/>
              </w:rPr>
              <w:t>Upper</w:t>
            </w:r>
          </w:p>
        </w:tc>
        <w:tc>
          <w:tcPr>
            <w:tcW w:w="1142" w:type="dxa"/>
          </w:tcPr>
          <w:p w14:paraId="124ADA07" w14:textId="77777777" w:rsidR="0078365F" w:rsidRPr="001747EB" w:rsidRDefault="0078365F" w:rsidP="0078365F">
            <w:pPr>
              <w:jc w:val="center"/>
            </w:pPr>
            <w:r w:rsidRPr="001747EB">
              <w:rPr>
                <w:rFonts w:cs="Arial"/>
                <w:b/>
                <w:bCs/>
                <w:sz w:val="22"/>
                <w:szCs w:val="22"/>
              </w:rPr>
              <w:t>Upper</w:t>
            </w:r>
          </w:p>
        </w:tc>
        <w:tc>
          <w:tcPr>
            <w:tcW w:w="1142" w:type="dxa"/>
          </w:tcPr>
          <w:p w14:paraId="46B3E7C2" w14:textId="3D213E45" w:rsidR="0078365F" w:rsidRPr="001747EB" w:rsidRDefault="0078365F" w:rsidP="0078365F">
            <w:pPr>
              <w:jc w:val="center"/>
              <w:rPr>
                <w:rFonts w:cs="Arial"/>
                <w:b/>
                <w:bCs/>
                <w:sz w:val="22"/>
                <w:szCs w:val="22"/>
              </w:rPr>
            </w:pPr>
            <w:r w:rsidRPr="001747EB">
              <w:rPr>
                <w:rFonts w:cs="Arial"/>
                <w:b/>
                <w:bCs/>
                <w:sz w:val="22"/>
                <w:szCs w:val="22"/>
              </w:rPr>
              <w:t>Upper</w:t>
            </w:r>
          </w:p>
        </w:tc>
      </w:tr>
      <w:tr w:rsidR="0078365F" w:rsidRPr="00D26131" w14:paraId="685ED211" w14:textId="7ECEEB05" w:rsidTr="002B2F58">
        <w:tc>
          <w:tcPr>
            <w:tcW w:w="2828" w:type="dxa"/>
          </w:tcPr>
          <w:p w14:paraId="40E7289B" w14:textId="77777777" w:rsidR="0078365F" w:rsidRPr="001747EB" w:rsidRDefault="0078365F" w:rsidP="0078365F">
            <w:pPr>
              <w:pStyle w:val="BodyText"/>
              <w:rPr>
                <w:rFonts w:ascii="Arial" w:hAnsi="Arial" w:cs="Arial"/>
                <w:b/>
                <w:bCs/>
                <w:sz w:val="22"/>
                <w:szCs w:val="22"/>
              </w:rPr>
            </w:pPr>
            <w:r w:rsidRPr="001747EB">
              <w:rPr>
                <w:rFonts w:ascii="Arial" w:hAnsi="Arial" w:cs="Arial"/>
                <w:b/>
                <w:bCs/>
                <w:sz w:val="22"/>
                <w:szCs w:val="22"/>
              </w:rPr>
              <w:t>Limits on fixed interest rates based on net debt (TI-1)</w:t>
            </w:r>
          </w:p>
        </w:tc>
        <w:tc>
          <w:tcPr>
            <w:tcW w:w="1313" w:type="dxa"/>
            <w:vAlign w:val="center"/>
          </w:tcPr>
          <w:p w14:paraId="7F0DA7D5" w14:textId="5301AAC6" w:rsidR="0078365F" w:rsidRPr="001747EB" w:rsidRDefault="0078365F" w:rsidP="0078365F">
            <w:pPr>
              <w:jc w:val="right"/>
              <w:rPr>
                <w:rFonts w:cs="Arial"/>
                <w:sz w:val="22"/>
                <w:szCs w:val="22"/>
              </w:rPr>
            </w:pPr>
            <w:r w:rsidRPr="001747EB">
              <w:rPr>
                <w:rFonts w:cs="Arial"/>
                <w:sz w:val="22"/>
                <w:szCs w:val="22"/>
              </w:rPr>
              <w:t>4</w:t>
            </w:r>
            <w:r w:rsidR="002B2F58">
              <w:rPr>
                <w:rFonts w:cs="Arial"/>
                <w:sz w:val="22"/>
                <w:szCs w:val="22"/>
              </w:rPr>
              <w:t>86.8</w:t>
            </w:r>
          </w:p>
        </w:tc>
        <w:tc>
          <w:tcPr>
            <w:tcW w:w="1097" w:type="dxa"/>
            <w:vAlign w:val="center"/>
          </w:tcPr>
          <w:p w14:paraId="49EC9B4D" w14:textId="370B6E19" w:rsidR="0078365F" w:rsidRPr="00D26131" w:rsidRDefault="002B2F58" w:rsidP="0078365F">
            <w:pPr>
              <w:jc w:val="right"/>
              <w:rPr>
                <w:rFonts w:cs="Arial"/>
                <w:sz w:val="22"/>
                <w:szCs w:val="22"/>
                <w:highlight w:val="yellow"/>
              </w:rPr>
            </w:pPr>
            <w:r>
              <w:rPr>
                <w:rFonts w:cs="Arial"/>
                <w:sz w:val="22"/>
                <w:szCs w:val="22"/>
              </w:rPr>
              <w:t>497.7</w:t>
            </w:r>
          </w:p>
        </w:tc>
        <w:tc>
          <w:tcPr>
            <w:tcW w:w="1142" w:type="dxa"/>
            <w:vAlign w:val="center"/>
          </w:tcPr>
          <w:p w14:paraId="150EBBCE" w14:textId="7F97B0EA" w:rsidR="0078365F" w:rsidRPr="00D26131" w:rsidRDefault="0078365F" w:rsidP="0078365F">
            <w:pPr>
              <w:tabs>
                <w:tab w:val="right" w:pos="702"/>
              </w:tabs>
              <w:jc w:val="right"/>
              <w:rPr>
                <w:rFonts w:cs="Arial"/>
                <w:sz w:val="22"/>
                <w:szCs w:val="22"/>
                <w:highlight w:val="yellow"/>
              </w:rPr>
            </w:pPr>
            <w:r>
              <w:rPr>
                <w:rFonts w:cs="Arial"/>
                <w:sz w:val="22"/>
                <w:szCs w:val="22"/>
              </w:rPr>
              <w:t>5</w:t>
            </w:r>
            <w:r w:rsidR="002B2F58">
              <w:rPr>
                <w:rFonts w:cs="Arial"/>
                <w:sz w:val="22"/>
                <w:szCs w:val="22"/>
              </w:rPr>
              <w:t>19.1</w:t>
            </w:r>
          </w:p>
        </w:tc>
        <w:tc>
          <w:tcPr>
            <w:tcW w:w="1126" w:type="dxa"/>
            <w:shd w:val="clear" w:color="auto" w:fill="auto"/>
            <w:vAlign w:val="center"/>
          </w:tcPr>
          <w:p w14:paraId="714797B6" w14:textId="793E166D" w:rsidR="0078365F" w:rsidRPr="00D26131" w:rsidRDefault="0078365F" w:rsidP="0078365F">
            <w:pPr>
              <w:jc w:val="right"/>
              <w:rPr>
                <w:rFonts w:cs="Arial"/>
                <w:sz w:val="22"/>
                <w:szCs w:val="22"/>
                <w:highlight w:val="yellow"/>
              </w:rPr>
            </w:pPr>
            <w:r>
              <w:rPr>
                <w:rFonts w:cs="Arial"/>
                <w:sz w:val="22"/>
                <w:szCs w:val="22"/>
              </w:rPr>
              <w:t>5</w:t>
            </w:r>
            <w:r w:rsidR="002B2F58">
              <w:rPr>
                <w:rFonts w:cs="Arial"/>
                <w:sz w:val="22"/>
                <w:szCs w:val="22"/>
              </w:rPr>
              <w:t>15.7</w:t>
            </w:r>
          </w:p>
        </w:tc>
        <w:tc>
          <w:tcPr>
            <w:tcW w:w="1142" w:type="dxa"/>
            <w:shd w:val="clear" w:color="auto" w:fill="auto"/>
            <w:vAlign w:val="center"/>
          </w:tcPr>
          <w:p w14:paraId="62942510" w14:textId="15DD2007" w:rsidR="0078365F" w:rsidRPr="00D26131" w:rsidRDefault="0078365F" w:rsidP="0078365F">
            <w:pPr>
              <w:jc w:val="right"/>
              <w:rPr>
                <w:rFonts w:cs="Arial"/>
                <w:sz w:val="22"/>
                <w:szCs w:val="22"/>
                <w:highlight w:val="yellow"/>
              </w:rPr>
            </w:pPr>
            <w:r w:rsidRPr="001747EB">
              <w:rPr>
                <w:rFonts w:cs="Arial"/>
                <w:sz w:val="22"/>
                <w:szCs w:val="22"/>
              </w:rPr>
              <w:t>5</w:t>
            </w:r>
            <w:r w:rsidR="002B2F58">
              <w:rPr>
                <w:rFonts w:cs="Arial"/>
                <w:sz w:val="22"/>
                <w:szCs w:val="22"/>
              </w:rPr>
              <w:t>02.8</w:t>
            </w:r>
          </w:p>
        </w:tc>
        <w:tc>
          <w:tcPr>
            <w:tcW w:w="1142" w:type="dxa"/>
            <w:vAlign w:val="center"/>
          </w:tcPr>
          <w:p w14:paraId="631B0E15" w14:textId="46E307AC" w:rsidR="0078365F" w:rsidRPr="001747EB" w:rsidRDefault="002B2F58" w:rsidP="0078365F">
            <w:pPr>
              <w:jc w:val="right"/>
              <w:rPr>
                <w:rFonts w:cs="Arial"/>
                <w:sz w:val="22"/>
                <w:szCs w:val="22"/>
              </w:rPr>
            </w:pPr>
            <w:r>
              <w:rPr>
                <w:rFonts w:cs="Arial"/>
                <w:sz w:val="22"/>
                <w:szCs w:val="22"/>
              </w:rPr>
              <w:t>493.8</w:t>
            </w:r>
          </w:p>
        </w:tc>
      </w:tr>
      <w:tr w:rsidR="0078365F" w:rsidRPr="00D26131" w14:paraId="7A0777CE" w14:textId="1FF831CB" w:rsidTr="002B2F58">
        <w:tc>
          <w:tcPr>
            <w:tcW w:w="2828" w:type="dxa"/>
          </w:tcPr>
          <w:p w14:paraId="18ADCEAA" w14:textId="77777777" w:rsidR="0078365F" w:rsidRPr="001747EB" w:rsidRDefault="0078365F" w:rsidP="0078365F">
            <w:pPr>
              <w:pStyle w:val="BodyText"/>
              <w:rPr>
                <w:rFonts w:ascii="Arial" w:hAnsi="Arial" w:cs="Arial"/>
                <w:b/>
                <w:bCs/>
                <w:sz w:val="22"/>
                <w:szCs w:val="22"/>
              </w:rPr>
            </w:pPr>
            <w:r w:rsidRPr="001747EB">
              <w:rPr>
                <w:rFonts w:ascii="Arial" w:hAnsi="Arial" w:cs="Arial"/>
                <w:b/>
                <w:bCs/>
                <w:sz w:val="22"/>
                <w:szCs w:val="22"/>
              </w:rPr>
              <w:t>Limits on variable interest rates based on net debt (TI-2)</w:t>
            </w:r>
          </w:p>
        </w:tc>
        <w:tc>
          <w:tcPr>
            <w:tcW w:w="1313" w:type="dxa"/>
            <w:vAlign w:val="center"/>
          </w:tcPr>
          <w:p w14:paraId="5EDE063B" w14:textId="0A1A6EC1" w:rsidR="0078365F" w:rsidRPr="00D26131" w:rsidRDefault="0078365F" w:rsidP="0078365F">
            <w:pPr>
              <w:keepLines/>
              <w:jc w:val="right"/>
              <w:rPr>
                <w:rFonts w:cs="Arial"/>
                <w:sz w:val="22"/>
                <w:szCs w:val="22"/>
                <w:highlight w:val="yellow"/>
              </w:rPr>
            </w:pPr>
            <w:r w:rsidRPr="001747EB">
              <w:rPr>
                <w:rFonts w:cs="Arial"/>
                <w:sz w:val="22"/>
                <w:szCs w:val="22"/>
              </w:rPr>
              <w:t>1</w:t>
            </w:r>
            <w:r w:rsidR="002B2F58">
              <w:rPr>
                <w:rFonts w:cs="Arial"/>
                <w:sz w:val="22"/>
                <w:szCs w:val="22"/>
              </w:rPr>
              <w:t>70.4</w:t>
            </w:r>
          </w:p>
        </w:tc>
        <w:tc>
          <w:tcPr>
            <w:tcW w:w="1097" w:type="dxa"/>
            <w:vAlign w:val="center"/>
          </w:tcPr>
          <w:p w14:paraId="06A1E14D" w14:textId="0612844E" w:rsidR="0078365F" w:rsidRPr="001747EB" w:rsidRDefault="0078365F" w:rsidP="0078365F">
            <w:pPr>
              <w:keepLines/>
              <w:jc w:val="right"/>
              <w:rPr>
                <w:rFonts w:cs="Arial"/>
                <w:sz w:val="22"/>
                <w:szCs w:val="22"/>
              </w:rPr>
            </w:pPr>
            <w:r>
              <w:rPr>
                <w:rFonts w:cs="Arial"/>
                <w:sz w:val="22"/>
                <w:szCs w:val="22"/>
              </w:rPr>
              <w:t>17</w:t>
            </w:r>
            <w:r w:rsidR="002B2F58">
              <w:rPr>
                <w:rFonts w:cs="Arial"/>
                <w:sz w:val="22"/>
                <w:szCs w:val="22"/>
              </w:rPr>
              <w:t>4.2</w:t>
            </w:r>
          </w:p>
        </w:tc>
        <w:tc>
          <w:tcPr>
            <w:tcW w:w="1142" w:type="dxa"/>
            <w:vAlign w:val="center"/>
          </w:tcPr>
          <w:p w14:paraId="0B4CEE9D" w14:textId="66494038" w:rsidR="0078365F" w:rsidRPr="001747EB" w:rsidRDefault="0078365F" w:rsidP="0078365F">
            <w:pPr>
              <w:keepLines/>
              <w:jc w:val="right"/>
              <w:rPr>
                <w:rFonts w:cs="Arial"/>
                <w:sz w:val="22"/>
                <w:szCs w:val="22"/>
              </w:rPr>
            </w:pPr>
            <w:r>
              <w:rPr>
                <w:rFonts w:cs="Arial"/>
                <w:sz w:val="22"/>
                <w:szCs w:val="22"/>
              </w:rPr>
              <w:t>1</w:t>
            </w:r>
            <w:r w:rsidR="002B2F58">
              <w:rPr>
                <w:rFonts w:cs="Arial"/>
                <w:sz w:val="22"/>
                <w:szCs w:val="22"/>
              </w:rPr>
              <w:t>81.7</w:t>
            </w:r>
          </w:p>
        </w:tc>
        <w:tc>
          <w:tcPr>
            <w:tcW w:w="1126" w:type="dxa"/>
            <w:shd w:val="clear" w:color="auto" w:fill="auto"/>
            <w:vAlign w:val="center"/>
          </w:tcPr>
          <w:p w14:paraId="216AB3E3" w14:textId="40BF14D6" w:rsidR="0078365F" w:rsidRPr="001747EB" w:rsidRDefault="0078365F" w:rsidP="0078365F">
            <w:pPr>
              <w:keepLines/>
              <w:jc w:val="right"/>
              <w:rPr>
                <w:rFonts w:cs="Arial"/>
                <w:sz w:val="22"/>
                <w:szCs w:val="22"/>
              </w:rPr>
            </w:pPr>
            <w:r>
              <w:rPr>
                <w:rFonts w:cs="Arial"/>
                <w:sz w:val="22"/>
                <w:szCs w:val="22"/>
              </w:rPr>
              <w:t>18</w:t>
            </w:r>
            <w:r w:rsidR="002B2F58">
              <w:rPr>
                <w:rFonts w:cs="Arial"/>
                <w:sz w:val="22"/>
                <w:szCs w:val="22"/>
              </w:rPr>
              <w:t>0</w:t>
            </w:r>
            <w:r w:rsidRPr="001747EB">
              <w:rPr>
                <w:rFonts w:cs="Arial"/>
                <w:sz w:val="22"/>
                <w:szCs w:val="22"/>
              </w:rPr>
              <w:t>.</w:t>
            </w:r>
            <w:r>
              <w:rPr>
                <w:rFonts w:cs="Arial"/>
                <w:sz w:val="22"/>
                <w:szCs w:val="22"/>
              </w:rPr>
              <w:t>5</w:t>
            </w:r>
          </w:p>
        </w:tc>
        <w:tc>
          <w:tcPr>
            <w:tcW w:w="1142" w:type="dxa"/>
            <w:shd w:val="clear" w:color="auto" w:fill="auto"/>
            <w:vAlign w:val="center"/>
          </w:tcPr>
          <w:p w14:paraId="1583BD72" w14:textId="4F50608B" w:rsidR="0078365F" w:rsidRPr="001747EB" w:rsidRDefault="0078365F" w:rsidP="0078365F">
            <w:pPr>
              <w:keepLines/>
              <w:jc w:val="right"/>
              <w:rPr>
                <w:rFonts w:cs="Arial"/>
                <w:sz w:val="22"/>
                <w:szCs w:val="22"/>
              </w:rPr>
            </w:pPr>
            <w:r>
              <w:rPr>
                <w:rFonts w:cs="Arial"/>
                <w:sz w:val="22"/>
                <w:szCs w:val="22"/>
              </w:rPr>
              <w:t>1</w:t>
            </w:r>
            <w:r w:rsidR="002B2F58">
              <w:rPr>
                <w:rFonts w:cs="Arial"/>
                <w:sz w:val="22"/>
                <w:szCs w:val="22"/>
              </w:rPr>
              <w:t>76.0</w:t>
            </w:r>
          </w:p>
        </w:tc>
        <w:tc>
          <w:tcPr>
            <w:tcW w:w="1142" w:type="dxa"/>
            <w:vAlign w:val="center"/>
          </w:tcPr>
          <w:p w14:paraId="0F9AFD62" w14:textId="16FC6BD8" w:rsidR="0078365F" w:rsidRDefault="0078365F" w:rsidP="0078365F">
            <w:pPr>
              <w:keepLines/>
              <w:jc w:val="right"/>
              <w:rPr>
                <w:rFonts w:cs="Arial"/>
                <w:sz w:val="22"/>
                <w:szCs w:val="22"/>
              </w:rPr>
            </w:pPr>
            <w:r>
              <w:rPr>
                <w:rFonts w:cs="Arial"/>
                <w:sz w:val="22"/>
                <w:szCs w:val="22"/>
              </w:rPr>
              <w:t>1</w:t>
            </w:r>
            <w:r w:rsidR="002B2F58">
              <w:rPr>
                <w:rFonts w:cs="Arial"/>
                <w:sz w:val="22"/>
                <w:szCs w:val="22"/>
              </w:rPr>
              <w:t>72.8</w:t>
            </w:r>
          </w:p>
        </w:tc>
      </w:tr>
      <w:tr w:rsidR="0078365F" w:rsidRPr="00D26131" w14:paraId="47A3E5E1" w14:textId="47F75AC3" w:rsidTr="002B2F58">
        <w:trPr>
          <w:trHeight w:val="520"/>
        </w:trPr>
        <w:tc>
          <w:tcPr>
            <w:tcW w:w="9790" w:type="dxa"/>
            <w:gridSpan w:val="7"/>
            <w:vAlign w:val="center"/>
          </w:tcPr>
          <w:p w14:paraId="7761D396" w14:textId="16DC7618" w:rsidR="0078365F" w:rsidRPr="00D26131" w:rsidRDefault="0078365F" w:rsidP="0078365F">
            <w:pPr>
              <w:pStyle w:val="BodyText"/>
              <w:rPr>
                <w:rFonts w:ascii="Arial" w:hAnsi="Arial" w:cs="Arial"/>
                <w:b/>
                <w:bCs/>
                <w:sz w:val="22"/>
                <w:szCs w:val="22"/>
                <w:highlight w:val="yellow"/>
              </w:rPr>
            </w:pPr>
            <w:r w:rsidRPr="001747EB">
              <w:rPr>
                <w:rFonts w:ascii="Arial" w:hAnsi="Arial" w:cs="Arial"/>
                <w:b/>
                <w:bCs/>
                <w:sz w:val="22"/>
                <w:szCs w:val="22"/>
              </w:rPr>
              <w:t>Maturity Structure of fixed interest rate borrowing 2023/24 (TI-3)</w:t>
            </w:r>
          </w:p>
        </w:tc>
      </w:tr>
      <w:tr w:rsidR="0078365F" w:rsidRPr="00D26131" w14:paraId="28D84EDF" w14:textId="7EFF1F25" w:rsidTr="002B2F58">
        <w:tc>
          <w:tcPr>
            <w:tcW w:w="4141" w:type="dxa"/>
            <w:gridSpan w:val="2"/>
          </w:tcPr>
          <w:p w14:paraId="75B6CAE4" w14:textId="77777777" w:rsidR="0078365F" w:rsidRPr="00D26131" w:rsidRDefault="0078365F" w:rsidP="0078365F">
            <w:pPr>
              <w:pStyle w:val="BodyText"/>
              <w:rPr>
                <w:rFonts w:ascii="Arial" w:hAnsi="Arial" w:cs="Arial"/>
                <w:b/>
                <w:bCs/>
                <w:sz w:val="22"/>
                <w:szCs w:val="22"/>
                <w:highlight w:val="yellow"/>
              </w:rPr>
            </w:pPr>
          </w:p>
        </w:tc>
        <w:tc>
          <w:tcPr>
            <w:tcW w:w="2239" w:type="dxa"/>
            <w:gridSpan w:val="2"/>
          </w:tcPr>
          <w:p w14:paraId="00928B16" w14:textId="77777777" w:rsidR="0078365F" w:rsidRPr="00AD41C5" w:rsidRDefault="0078365F" w:rsidP="0078365F">
            <w:pPr>
              <w:pStyle w:val="BodyText"/>
              <w:jc w:val="center"/>
              <w:rPr>
                <w:rFonts w:ascii="Arial" w:hAnsi="Arial" w:cs="Arial"/>
                <w:b/>
                <w:bCs/>
                <w:sz w:val="22"/>
                <w:szCs w:val="22"/>
              </w:rPr>
            </w:pPr>
            <w:r w:rsidRPr="00AD41C5">
              <w:rPr>
                <w:rFonts w:ascii="Arial" w:hAnsi="Arial" w:cs="Arial"/>
                <w:b/>
                <w:bCs/>
                <w:sz w:val="22"/>
                <w:szCs w:val="22"/>
              </w:rPr>
              <w:t>Lower</w:t>
            </w:r>
          </w:p>
        </w:tc>
        <w:tc>
          <w:tcPr>
            <w:tcW w:w="3410" w:type="dxa"/>
            <w:gridSpan w:val="3"/>
          </w:tcPr>
          <w:p w14:paraId="1C5ABFCF" w14:textId="5203E2DF" w:rsidR="0078365F" w:rsidRPr="00AD41C5" w:rsidRDefault="0078365F" w:rsidP="0078365F">
            <w:pPr>
              <w:pStyle w:val="BodyText"/>
              <w:jc w:val="center"/>
              <w:rPr>
                <w:rFonts w:ascii="Arial" w:hAnsi="Arial" w:cs="Arial"/>
                <w:b/>
                <w:bCs/>
                <w:sz w:val="22"/>
                <w:szCs w:val="22"/>
              </w:rPr>
            </w:pPr>
            <w:r w:rsidRPr="00AD41C5">
              <w:rPr>
                <w:rFonts w:ascii="Arial" w:hAnsi="Arial" w:cs="Arial"/>
                <w:b/>
                <w:bCs/>
                <w:sz w:val="22"/>
                <w:szCs w:val="22"/>
              </w:rPr>
              <w:t>Upper</w:t>
            </w:r>
          </w:p>
        </w:tc>
      </w:tr>
      <w:tr w:rsidR="0078365F" w:rsidRPr="00D26131" w14:paraId="746E2414" w14:textId="607D3B4B" w:rsidTr="002B2F58">
        <w:trPr>
          <w:trHeight w:val="249"/>
        </w:trPr>
        <w:tc>
          <w:tcPr>
            <w:tcW w:w="4141" w:type="dxa"/>
            <w:gridSpan w:val="2"/>
          </w:tcPr>
          <w:p w14:paraId="0D568CE1" w14:textId="77777777" w:rsidR="0078365F" w:rsidRPr="00AD41C5" w:rsidRDefault="0078365F" w:rsidP="0078365F">
            <w:pPr>
              <w:pStyle w:val="BodyText"/>
              <w:rPr>
                <w:rFonts w:ascii="Arial" w:hAnsi="Arial" w:cs="Arial"/>
                <w:sz w:val="22"/>
                <w:szCs w:val="22"/>
              </w:rPr>
            </w:pPr>
            <w:r w:rsidRPr="00AD41C5">
              <w:rPr>
                <w:rFonts w:ascii="Arial" w:hAnsi="Arial" w:cs="Arial"/>
                <w:sz w:val="22"/>
                <w:szCs w:val="22"/>
              </w:rPr>
              <w:t>Under 12 months</w:t>
            </w:r>
          </w:p>
        </w:tc>
        <w:tc>
          <w:tcPr>
            <w:tcW w:w="2239" w:type="dxa"/>
            <w:gridSpan w:val="2"/>
          </w:tcPr>
          <w:p w14:paraId="4C6756FC" w14:textId="77777777"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0%</w:t>
            </w:r>
          </w:p>
        </w:tc>
        <w:tc>
          <w:tcPr>
            <w:tcW w:w="3410" w:type="dxa"/>
            <w:gridSpan w:val="3"/>
          </w:tcPr>
          <w:p w14:paraId="3F5896F2" w14:textId="7B94F596"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20%</w:t>
            </w:r>
          </w:p>
        </w:tc>
      </w:tr>
      <w:tr w:rsidR="0078365F" w:rsidRPr="00D26131" w14:paraId="057F82B5" w14:textId="44A38E91" w:rsidTr="002B2F58">
        <w:tc>
          <w:tcPr>
            <w:tcW w:w="4141" w:type="dxa"/>
            <w:gridSpan w:val="2"/>
          </w:tcPr>
          <w:p w14:paraId="406AFA4B" w14:textId="77777777" w:rsidR="0078365F" w:rsidRPr="00AD41C5" w:rsidRDefault="0078365F" w:rsidP="0078365F">
            <w:pPr>
              <w:pStyle w:val="BodyText"/>
              <w:rPr>
                <w:rFonts w:ascii="Arial" w:hAnsi="Arial" w:cs="Arial"/>
                <w:sz w:val="22"/>
                <w:szCs w:val="22"/>
              </w:rPr>
            </w:pPr>
            <w:r w:rsidRPr="00AD41C5">
              <w:rPr>
                <w:rFonts w:ascii="Arial" w:hAnsi="Arial" w:cs="Arial"/>
                <w:sz w:val="22"/>
                <w:szCs w:val="22"/>
              </w:rPr>
              <w:t>12 months to 2 years</w:t>
            </w:r>
          </w:p>
        </w:tc>
        <w:tc>
          <w:tcPr>
            <w:tcW w:w="2239" w:type="dxa"/>
            <w:gridSpan w:val="2"/>
          </w:tcPr>
          <w:p w14:paraId="6310DFCB" w14:textId="77777777"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0%</w:t>
            </w:r>
          </w:p>
        </w:tc>
        <w:tc>
          <w:tcPr>
            <w:tcW w:w="3410" w:type="dxa"/>
            <w:gridSpan w:val="3"/>
          </w:tcPr>
          <w:p w14:paraId="51A1238C" w14:textId="0F3CFA1A"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20%</w:t>
            </w:r>
          </w:p>
        </w:tc>
      </w:tr>
      <w:tr w:rsidR="0078365F" w:rsidRPr="00D26131" w14:paraId="183C983E" w14:textId="2DDD87A7" w:rsidTr="002B2F58">
        <w:tc>
          <w:tcPr>
            <w:tcW w:w="4141" w:type="dxa"/>
            <w:gridSpan w:val="2"/>
          </w:tcPr>
          <w:p w14:paraId="07C61FE4" w14:textId="77777777" w:rsidR="0078365F" w:rsidRPr="00AD41C5" w:rsidRDefault="0078365F" w:rsidP="0078365F">
            <w:pPr>
              <w:pStyle w:val="BodyText"/>
              <w:rPr>
                <w:rFonts w:ascii="Arial" w:hAnsi="Arial" w:cs="Arial"/>
                <w:sz w:val="22"/>
                <w:szCs w:val="22"/>
              </w:rPr>
            </w:pPr>
            <w:r w:rsidRPr="00AD41C5">
              <w:rPr>
                <w:rFonts w:ascii="Arial" w:hAnsi="Arial" w:cs="Arial"/>
                <w:sz w:val="22"/>
                <w:szCs w:val="22"/>
              </w:rPr>
              <w:t>2 years to 5 years</w:t>
            </w:r>
          </w:p>
        </w:tc>
        <w:tc>
          <w:tcPr>
            <w:tcW w:w="2239" w:type="dxa"/>
            <w:gridSpan w:val="2"/>
          </w:tcPr>
          <w:p w14:paraId="56C221E7" w14:textId="77777777"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0%</w:t>
            </w:r>
          </w:p>
        </w:tc>
        <w:tc>
          <w:tcPr>
            <w:tcW w:w="3410" w:type="dxa"/>
            <w:gridSpan w:val="3"/>
          </w:tcPr>
          <w:p w14:paraId="26A9EAAF" w14:textId="20840CF5"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20%</w:t>
            </w:r>
          </w:p>
        </w:tc>
      </w:tr>
      <w:tr w:rsidR="0078365F" w:rsidRPr="00D26131" w14:paraId="314FFA4D" w14:textId="5F9D0D52" w:rsidTr="002B2F58">
        <w:tc>
          <w:tcPr>
            <w:tcW w:w="4141" w:type="dxa"/>
            <w:gridSpan w:val="2"/>
          </w:tcPr>
          <w:p w14:paraId="67A953D2" w14:textId="77777777" w:rsidR="0078365F" w:rsidRPr="00AD41C5" w:rsidRDefault="0078365F" w:rsidP="0078365F">
            <w:pPr>
              <w:pStyle w:val="BodyText"/>
              <w:rPr>
                <w:rFonts w:ascii="Arial" w:hAnsi="Arial" w:cs="Arial"/>
                <w:sz w:val="22"/>
                <w:szCs w:val="22"/>
              </w:rPr>
            </w:pPr>
            <w:r w:rsidRPr="00AD41C5">
              <w:rPr>
                <w:rFonts w:ascii="Arial" w:hAnsi="Arial" w:cs="Arial"/>
                <w:sz w:val="22"/>
                <w:szCs w:val="22"/>
              </w:rPr>
              <w:t>5 years to 10 years</w:t>
            </w:r>
          </w:p>
        </w:tc>
        <w:tc>
          <w:tcPr>
            <w:tcW w:w="2239" w:type="dxa"/>
            <w:gridSpan w:val="2"/>
          </w:tcPr>
          <w:p w14:paraId="66017C33" w14:textId="77777777"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0%</w:t>
            </w:r>
          </w:p>
        </w:tc>
        <w:tc>
          <w:tcPr>
            <w:tcW w:w="3410" w:type="dxa"/>
            <w:gridSpan w:val="3"/>
          </w:tcPr>
          <w:p w14:paraId="2714E326" w14:textId="36ED3C25"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20%</w:t>
            </w:r>
          </w:p>
        </w:tc>
      </w:tr>
      <w:tr w:rsidR="0078365F" w:rsidRPr="00D26131" w14:paraId="44DA72CD" w14:textId="675AF2E8" w:rsidTr="002B2F58">
        <w:tc>
          <w:tcPr>
            <w:tcW w:w="4141" w:type="dxa"/>
            <w:gridSpan w:val="2"/>
          </w:tcPr>
          <w:p w14:paraId="6442398E" w14:textId="77777777" w:rsidR="0078365F" w:rsidRPr="00AD41C5" w:rsidRDefault="0078365F" w:rsidP="0078365F">
            <w:pPr>
              <w:pStyle w:val="BodyText"/>
              <w:rPr>
                <w:rFonts w:ascii="Arial" w:hAnsi="Arial" w:cs="Arial"/>
                <w:sz w:val="22"/>
                <w:szCs w:val="22"/>
              </w:rPr>
            </w:pPr>
            <w:r w:rsidRPr="00AD41C5">
              <w:rPr>
                <w:rFonts w:ascii="Arial" w:hAnsi="Arial" w:cs="Arial"/>
                <w:sz w:val="22"/>
                <w:szCs w:val="22"/>
              </w:rPr>
              <w:t>10 years and above</w:t>
            </w:r>
          </w:p>
        </w:tc>
        <w:tc>
          <w:tcPr>
            <w:tcW w:w="2239" w:type="dxa"/>
            <w:gridSpan w:val="2"/>
          </w:tcPr>
          <w:p w14:paraId="5BA6F7C4" w14:textId="77777777"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20%</w:t>
            </w:r>
          </w:p>
        </w:tc>
        <w:tc>
          <w:tcPr>
            <w:tcW w:w="3410" w:type="dxa"/>
            <w:gridSpan w:val="3"/>
          </w:tcPr>
          <w:p w14:paraId="2725A0C6" w14:textId="103931C2" w:rsidR="0078365F" w:rsidRPr="00AD41C5" w:rsidRDefault="0078365F" w:rsidP="0078365F">
            <w:pPr>
              <w:pStyle w:val="BodyText"/>
              <w:jc w:val="center"/>
              <w:rPr>
                <w:rFonts w:ascii="Arial" w:hAnsi="Arial" w:cs="Arial"/>
                <w:sz w:val="22"/>
                <w:szCs w:val="22"/>
              </w:rPr>
            </w:pPr>
            <w:r w:rsidRPr="00AD41C5">
              <w:rPr>
                <w:rFonts w:ascii="Arial" w:hAnsi="Arial" w:cs="Arial"/>
                <w:sz w:val="22"/>
                <w:szCs w:val="22"/>
              </w:rPr>
              <w:t>100%</w:t>
            </w:r>
          </w:p>
        </w:tc>
      </w:tr>
    </w:tbl>
    <w:p w14:paraId="0B72FDF7" w14:textId="77777777" w:rsidR="00C4026D" w:rsidRPr="00D26131" w:rsidRDefault="00C4026D" w:rsidP="00DE46F1">
      <w:pPr>
        <w:keepLines/>
        <w:rPr>
          <w:highlight w:val="yellow"/>
        </w:rPr>
      </w:pPr>
    </w:p>
    <w:p w14:paraId="558597E3" w14:textId="77777777" w:rsidR="00692C21" w:rsidRPr="00D26131" w:rsidRDefault="00692C21" w:rsidP="00692C21">
      <w:pPr>
        <w:keepLines/>
        <w:ind w:left="720"/>
        <w:rPr>
          <w:b/>
          <w:color w:val="993366"/>
          <w:sz w:val="22"/>
          <w:szCs w:val="22"/>
          <w:highlight w:val="yellow"/>
        </w:rPr>
        <w:sectPr w:rsidR="00692C21" w:rsidRPr="00D26131" w:rsidSect="001E029F">
          <w:headerReference w:type="default" r:id="rId16"/>
          <w:headerReference w:type="first" r:id="rId17"/>
          <w:pgSz w:w="11907" w:h="16840" w:code="9"/>
          <w:pgMar w:top="1134" w:right="851" w:bottom="567" w:left="851" w:header="709" w:footer="709" w:gutter="0"/>
          <w:cols w:space="720"/>
          <w:titlePg/>
        </w:sectPr>
      </w:pPr>
    </w:p>
    <w:p w14:paraId="49507297" w14:textId="77777777" w:rsidR="00777AAA" w:rsidRDefault="00777AAA" w:rsidP="00272A07">
      <w:pPr>
        <w:rPr>
          <w:b/>
          <w:color w:val="632423"/>
          <w:sz w:val="28"/>
          <w:szCs w:val="28"/>
        </w:rPr>
      </w:pPr>
    </w:p>
    <w:p w14:paraId="0120D149" w14:textId="46D3E04B" w:rsidR="004F44E3" w:rsidRPr="00B21198" w:rsidRDefault="00062BC5" w:rsidP="00272A07">
      <w:pPr>
        <w:rPr>
          <w:b/>
          <w:color w:val="632423"/>
          <w:sz w:val="28"/>
          <w:szCs w:val="28"/>
        </w:rPr>
      </w:pPr>
      <w:r w:rsidRPr="00B21198">
        <w:rPr>
          <w:b/>
          <w:color w:val="632423"/>
          <w:sz w:val="28"/>
          <w:szCs w:val="28"/>
        </w:rPr>
        <w:t>ANNE</w:t>
      </w:r>
      <w:r w:rsidR="00FB4DFE" w:rsidRPr="00B21198">
        <w:rPr>
          <w:b/>
          <w:color w:val="632423"/>
          <w:sz w:val="28"/>
          <w:szCs w:val="28"/>
        </w:rPr>
        <w:t>X B: INTEREST RATE FORECASTS 202</w:t>
      </w:r>
      <w:r w:rsidR="0060256C" w:rsidRPr="00B21198">
        <w:rPr>
          <w:b/>
          <w:color w:val="632423"/>
          <w:sz w:val="28"/>
          <w:szCs w:val="28"/>
        </w:rPr>
        <w:t>4</w:t>
      </w:r>
      <w:r w:rsidR="00692C21" w:rsidRPr="00B21198">
        <w:rPr>
          <w:b/>
          <w:color w:val="632423"/>
          <w:sz w:val="28"/>
          <w:szCs w:val="28"/>
        </w:rPr>
        <w:t>-2</w:t>
      </w:r>
      <w:r w:rsidR="0060256C" w:rsidRPr="00B21198">
        <w:rPr>
          <w:b/>
          <w:color w:val="632423"/>
          <w:sz w:val="28"/>
          <w:szCs w:val="28"/>
        </w:rPr>
        <w:t>7</w:t>
      </w:r>
      <w:r w:rsidR="009F316A" w:rsidRPr="00B21198">
        <w:rPr>
          <w:b/>
          <w:color w:val="632423"/>
          <w:sz w:val="28"/>
          <w:szCs w:val="28"/>
        </w:rPr>
        <w:t xml:space="preserve"> </w:t>
      </w:r>
    </w:p>
    <w:p w14:paraId="63098D9F" w14:textId="5E15BC9F" w:rsidR="00692C21" w:rsidRDefault="00A05CCA" w:rsidP="00A05CCA">
      <w:pPr>
        <w:pStyle w:val="subhead"/>
        <w:spacing w:before="0" w:after="0"/>
        <w:rPr>
          <w:spacing w:val="-5"/>
          <w:sz w:val="16"/>
          <w:szCs w:val="16"/>
        </w:rPr>
      </w:pPr>
      <w:r w:rsidRPr="009F316A">
        <w:rPr>
          <w:spacing w:val="-5"/>
          <w:sz w:val="16"/>
          <w:szCs w:val="16"/>
        </w:rPr>
        <w:t>[</w:t>
      </w:r>
      <w:r w:rsidR="00692C21" w:rsidRPr="009F316A">
        <w:rPr>
          <w:spacing w:val="-5"/>
          <w:sz w:val="16"/>
          <w:szCs w:val="16"/>
        </w:rPr>
        <w:t>PWLB rates and forecast shown below have taken into account the 20 basis point certainty rate reduction effective as of the 1st November 2012.</w:t>
      </w:r>
      <w:r w:rsidRPr="009F316A">
        <w:rPr>
          <w:spacing w:val="-5"/>
          <w:sz w:val="16"/>
          <w:szCs w:val="16"/>
        </w:rPr>
        <w:t>]</w:t>
      </w:r>
      <w:r w:rsidR="009F316A" w:rsidRPr="009F316A">
        <w:rPr>
          <w:spacing w:val="-5"/>
          <w:sz w:val="16"/>
          <w:szCs w:val="16"/>
        </w:rPr>
        <w:t xml:space="preserve">  There are no changes to these forecasts as at </w:t>
      </w:r>
      <w:r w:rsidR="007D2FC5">
        <w:rPr>
          <w:spacing w:val="-5"/>
          <w:sz w:val="16"/>
          <w:szCs w:val="16"/>
        </w:rPr>
        <w:t>30.01.24</w:t>
      </w:r>
      <w:r w:rsidR="009F316A" w:rsidRPr="009F316A">
        <w:rPr>
          <w:spacing w:val="-5"/>
          <w:sz w:val="16"/>
          <w:szCs w:val="16"/>
        </w:rPr>
        <w:t>.</w:t>
      </w:r>
    </w:p>
    <w:p w14:paraId="1BDE2E22" w14:textId="77777777" w:rsidR="007D2FC5" w:rsidRDefault="007D2FC5" w:rsidP="00A05CCA">
      <w:pPr>
        <w:pStyle w:val="subhead"/>
        <w:spacing w:before="0" w:after="0"/>
        <w:rPr>
          <w:spacing w:val="-5"/>
          <w:sz w:val="16"/>
          <w:szCs w:val="16"/>
        </w:rPr>
      </w:pPr>
    </w:p>
    <w:p w14:paraId="3CD679B5" w14:textId="77777777" w:rsidR="00777AAA" w:rsidRDefault="00777AAA" w:rsidP="00A05CCA">
      <w:pPr>
        <w:pStyle w:val="subhead"/>
        <w:spacing w:before="0" w:after="0"/>
        <w:rPr>
          <w:spacing w:val="-5"/>
          <w:sz w:val="16"/>
          <w:szCs w:val="16"/>
        </w:rPr>
      </w:pPr>
    </w:p>
    <w:p w14:paraId="5061485D" w14:textId="2D8F58A2" w:rsidR="007D2FC5" w:rsidRPr="009F316A" w:rsidRDefault="007D2FC5" w:rsidP="00A05CCA">
      <w:pPr>
        <w:pStyle w:val="subhead"/>
        <w:spacing w:before="0" w:after="0"/>
        <w:rPr>
          <w:spacing w:val="-5"/>
          <w:sz w:val="16"/>
          <w:szCs w:val="16"/>
        </w:rPr>
      </w:pPr>
      <w:r>
        <w:drawing>
          <wp:inline distT="0" distB="0" distL="0" distR="0" wp14:anchorId="6F47FA0B" wp14:editId="26F757E7">
            <wp:extent cx="7096125" cy="1483409"/>
            <wp:effectExtent l="0" t="0" r="0" b="2540"/>
            <wp:docPr id="882215934" name="Picture 88221593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15934" name="Picture 882215934" descr="A screen 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9106" cy="1511208"/>
                    </a:xfrm>
                    <a:prstGeom prst="rect">
                      <a:avLst/>
                    </a:prstGeom>
                    <a:noFill/>
                  </pic:spPr>
                </pic:pic>
              </a:graphicData>
            </a:graphic>
          </wp:inline>
        </w:drawing>
      </w:r>
    </w:p>
    <w:p w14:paraId="008AFE22" w14:textId="319F5C11" w:rsidR="00D80AAB" w:rsidRPr="009F316A" w:rsidRDefault="00D80AAB" w:rsidP="00A05CCA">
      <w:pPr>
        <w:pStyle w:val="subhead"/>
        <w:spacing w:before="0" w:after="0"/>
        <w:rPr>
          <w:spacing w:val="-5"/>
          <w:sz w:val="16"/>
          <w:szCs w:val="16"/>
        </w:rPr>
      </w:pPr>
    </w:p>
    <w:p w14:paraId="60845E14" w14:textId="564B7484" w:rsidR="0060256C" w:rsidRDefault="0060256C" w:rsidP="00272A07">
      <w:pPr>
        <w:rPr>
          <w:noProof/>
        </w:rPr>
      </w:pPr>
    </w:p>
    <w:p w14:paraId="5393A2F7" w14:textId="77777777" w:rsidR="0060256C" w:rsidRDefault="0060256C" w:rsidP="00272A07">
      <w:pPr>
        <w:rPr>
          <w:noProof/>
        </w:rPr>
      </w:pPr>
    </w:p>
    <w:p w14:paraId="0B9296F8" w14:textId="0BA85E06" w:rsidR="0060256C" w:rsidRDefault="0060256C" w:rsidP="00272A07">
      <w:pPr>
        <w:rPr>
          <w:noProof/>
        </w:rPr>
      </w:pPr>
      <w:r>
        <w:rPr>
          <w:noProof/>
        </w:rPr>
        <w:drawing>
          <wp:inline distT="0" distB="0" distL="0" distR="0" wp14:anchorId="007CB320" wp14:editId="4AF08414">
            <wp:extent cx="7096125" cy="2295525"/>
            <wp:effectExtent l="0" t="0" r="9525" b="9525"/>
            <wp:docPr id="106628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7025" name=""/>
                    <pic:cNvPicPr/>
                  </pic:nvPicPr>
                  <pic:blipFill>
                    <a:blip r:embed="rId19"/>
                    <a:stretch>
                      <a:fillRect/>
                    </a:stretch>
                  </pic:blipFill>
                  <pic:spPr>
                    <a:xfrm>
                      <a:off x="0" y="0"/>
                      <a:ext cx="7096125" cy="2295525"/>
                    </a:xfrm>
                    <a:prstGeom prst="rect">
                      <a:avLst/>
                    </a:prstGeom>
                  </pic:spPr>
                </pic:pic>
              </a:graphicData>
            </a:graphic>
          </wp:inline>
        </w:drawing>
      </w:r>
    </w:p>
    <w:p w14:paraId="1BA7646E" w14:textId="77777777" w:rsidR="0060256C" w:rsidRDefault="0060256C" w:rsidP="00272A07">
      <w:pPr>
        <w:rPr>
          <w:noProof/>
        </w:rPr>
      </w:pPr>
    </w:p>
    <w:p w14:paraId="325A8132" w14:textId="77777777" w:rsidR="0060256C" w:rsidRDefault="0060256C" w:rsidP="00272A07">
      <w:pPr>
        <w:rPr>
          <w:b/>
          <w:i/>
          <w:noProof/>
          <w:color w:val="993366"/>
          <w:sz w:val="18"/>
          <w:szCs w:val="18"/>
        </w:rPr>
      </w:pPr>
    </w:p>
    <w:p w14:paraId="6F441678" w14:textId="775705BF" w:rsidR="00D142C9" w:rsidRPr="009F316A" w:rsidRDefault="00080DE2" w:rsidP="00272A07">
      <w:pPr>
        <w:rPr>
          <w:b/>
          <w:sz w:val="18"/>
          <w:szCs w:val="18"/>
        </w:rPr>
        <w:sectPr w:rsidR="00D142C9" w:rsidRPr="009F316A" w:rsidSect="001E029F">
          <w:headerReference w:type="first" r:id="rId20"/>
          <w:pgSz w:w="16840" w:h="11907" w:orient="landscape" w:code="9"/>
          <w:pgMar w:top="1151" w:right="1259" w:bottom="993" w:left="720" w:header="709" w:footer="709" w:gutter="0"/>
          <w:cols w:space="720"/>
          <w:titlePg/>
          <w:docGrid w:linePitch="272"/>
        </w:sectPr>
      </w:pPr>
      <w:r w:rsidRPr="009F316A">
        <w:rPr>
          <w:b/>
          <w:i/>
          <w:noProof/>
          <w:color w:val="993366"/>
          <w:sz w:val="18"/>
          <w:szCs w:val="18"/>
        </w:rPr>
        <w:t>S</w:t>
      </w:r>
      <w:r w:rsidR="00D142C9" w:rsidRPr="009F316A">
        <w:rPr>
          <w:b/>
          <w:i/>
          <w:noProof/>
          <w:color w:val="993366"/>
          <w:sz w:val="18"/>
          <w:szCs w:val="18"/>
        </w:rPr>
        <w:t xml:space="preserve">ource: </w:t>
      </w:r>
      <w:r w:rsidR="00581B86" w:rsidRPr="009F316A">
        <w:rPr>
          <w:b/>
          <w:i/>
          <w:noProof/>
          <w:color w:val="993366"/>
          <w:sz w:val="18"/>
          <w:szCs w:val="18"/>
        </w:rPr>
        <w:t>Link</w:t>
      </w:r>
      <w:r w:rsidR="005F3903" w:rsidRPr="009F316A">
        <w:rPr>
          <w:b/>
          <w:i/>
          <w:noProof/>
          <w:color w:val="993366"/>
          <w:sz w:val="18"/>
          <w:szCs w:val="18"/>
        </w:rPr>
        <w:t xml:space="preserve"> Treasury</w:t>
      </w:r>
      <w:r w:rsidR="00D142C9" w:rsidRPr="009F316A">
        <w:rPr>
          <w:b/>
          <w:i/>
          <w:noProof/>
          <w:color w:val="993366"/>
          <w:sz w:val="18"/>
          <w:szCs w:val="18"/>
        </w:rPr>
        <w:t xml:space="preserve"> Services, </w:t>
      </w:r>
      <w:r w:rsidR="007D2FC5">
        <w:rPr>
          <w:b/>
          <w:i/>
          <w:noProof/>
          <w:color w:val="993366"/>
          <w:sz w:val="18"/>
          <w:szCs w:val="18"/>
        </w:rPr>
        <w:t xml:space="preserve"> January 2024</w:t>
      </w:r>
    </w:p>
    <w:p w14:paraId="4AFCE785" w14:textId="77777777" w:rsidR="00777AAA" w:rsidRPr="004443C7" w:rsidRDefault="00777AAA" w:rsidP="00272A07">
      <w:pPr>
        <w:rPr>
          <w:b/>
          <w:noProof/>
          <w:color w:val="993366"/>
          <w:sz w:val="22"/>
          <w:szCs w:val="22"/>
        </w:rPr>
      </w:pPr>
    </w:p>
    <w:p w14:paraId="221EFBAC" w14:textId="29421BAB" w:rsidR="00062BC5" w:rsidRDefault="00062BC5" w:rsidP="00272A07">
      <w:pPr>
        <w:rPr>
          <w:b/>
          <w:noProof/>
          <w:color w:val="993366"/>
          <w:sz w:val="28"/>
          <w:szCs w:val="28"/>
        </w:rPr>
      </w:pPr>
      <w:r w:rsidRPr="00BA7339">
        <w:rPr>
          <w:b/>
          <w:noProof/>
          <w:color w:val="993366"/>
          <w:sz w:val="28"/>
          <w:szCs w:val="28"/>
        </w:rPr>
        <w:t>ANNEX C</w:t>
      </w:r>
      <w:r w:rsidR="00B21198">
        <w:rPr>
          <w:b/>
          <w:noProof/>
          <w:color w:val="993366"/>
          <w:sz w:val="28"/>
          <w:szCs w:val="28"/>
        </w:rPr>
        <w:t xml:space="preserve">: </w:t>
      </w:r>
      <w:r w:rsidRPr="00BA7339">
        <w:rPr>
          <w:b/>
          <w:noProof/>
          <w:color w:val="993366"/>
          <w:sz w:val="28"/>
          <w:szCs w:val="28"/>
        </w:rPr>
        <w:t>E</w:t>
      </w:r>
      <w:r w:rsidR="00B21198">
        <w:rPr>
          <w:b/>
          <w:noProof/>
          <w:color w:val="993366"/>
          <w:sz w:val="28"/>
          <w:szCs w:val="28"/>
        </w:rPr>
        <w:t>CONOMIC BACKGROUND</w:t>
      </w:r>
      <w:r w:rsidR="00622277">
        <w:rPr>
          <w:b/>
          <w:noProof/>
          <w:color w:val="993366"/>
          <w:sz w:val="28"/>
          <w:szCs w:val="28"/>
        </w:rPr>
        <w:t xml:space="preserve"> – supplied by Link</w:t>
      </w:r>
    </w:p>
    <w:p w14:paraId="76C9ABD0" w14:textId="77777777" w:rsidR="00B21198" w:rsidRPr="00BA7339" w:rsidRDefault="00B21198" w:rsidP="00272A07">
      <w:pPr>
        <w:rPr>
          <w:b/>
          <w:noProof/>
          <w:color w:val="993366"/>
          <w:sz w:val="28"/>
          <w:szCs w:val="28"/>
        </w:rPr>
      </w:pPr>
    </w:p>
    <w:p w14:paraId="7D4FD8AE" w14:textId="77777777" w:rsidR="00B21198" w:rsidRDefault="00B21198" w:rsidP="004443C7">
      <w:pPr>
        <w:jc w:val="both"/>
        <w:rPr>
          <w:rFonts w:eastAsiaTheme="minorHAnsi" w:cs="Arial"/>
          <w:spacing w:val="0"/>
          <w:sz w:val="22"/>
          <w:szCs w:val="22"/>
        </w:rPr>
      </w:pPr>
      <w:r w:rsidRPr="000A5753">
        <w:rPr>
          <w:rFonts w:eastAsiaTheme="minorHAnsi" w:cs="Arial"/>
          <w:spacing w:val="0"/>
          <w:sz w:val="22"/>
          <w:szCs w:val="22"/>
        </w:rPr>
        <w:t xml:space="preserve">The third quarter of 2023/24 saw: </w:t>
      </w:r>
    </w:p>
    <w:p w14:paraId="5D84389B" w14:textId="77777777" w:rsidR="00EF12E1" w:rsidRPr="000A5753" w:rsidRDefault="00EF12E1" w:rsidP="004443C7">
      <w:pPr>
        <w:jc w:val="both"/>
        <w:rPr>
          <w:rFonts w:eastAsiaTheme="minorHAnsi" w:cs="Arial"/>
          <w:spacing w:val="0"/>
          <w:sz w:val="22"/>
          <w:szCs w:val="22"/>
        </w:rPr>
      </w:pPr>
    </w:p>
    <w:p w14:paraId="7B387CCD" w14:textId="77777777" w:rsidR="00B21198" w:rsidRDefault="00B21198" w:rsidP="004443C7">
      <w:pPr>
        <w:numPr>
          <w:ilvl w:val="0"/>
          <w:numId w:val="59"/>
        </w:numPr>
        <w:rPr>
          <w:rFonts w:eastAsiaTheme="minorHAnsi" w:cs="Arial"/>
          <w:spacing w:val="0"/>
          <w:sz w:val="22"/>
          <w:szCs w:val="22"/>
        </w:rPr>
      </w:pPr>
      <w:r w:rsidRPr="000A5753">
        <w:rPr>
          <w:rFonts w:eastAsiaTheme="minorHAnsi" w:cs="Arial"/>
          <w:spacing w:val="0"/>
          <w:sz w:val="22"/>
          <w:szCs w:val="22"/>
        </w:rPr>
        <w:t>A 0.3% m/m decline in real GDP in October, potentially partly due to unseasonably wet weather, but also due to the ongoing drag from higher interest rates.  Growth for the second quarter, ending 30</w:t>
      </w:r>
      <w:r w:rsidRPr="000A5753">
        <w:rPr>
          <w:rFonts w:eastAsiaTheme="minorHAnsi" w:cs="Arial"/>
          <w:spacing w:val="0"/>
          <w:sz w:val="22"/>
          <w:szCs w:val="22"/>
          <w:vertAlign w:val="superscript"/>
        </w:rPr>
        <w:t>th</w:t>
      </w:r>
      <w:r w:rsidRPr="000A5753">
        <w:rPr>
          <w:rFonts w:eastAsiaTheme="minorHAnsi" w:cs="Arial"/>
          <w:spacing w:val="0"/>
          <w:sz w:val="22"/>
          <w:szCs w:val="22"/>
        </w:rPr>
        <w:t xml:space="preserve"> September, was revised downwards to -0.1% and growth on an annual basis was also revised downwards, to 0.3%; </w:t>
      </w:r>
    </w:p>
    <w:p w14:paraId="7674D921" w14:textId="77777777" w:rsidR="00EF12E1" w:rsidRPr="000A5753" w:rsidRDefault="00EF12E1" w:rsidP="00EF12E1">
      <w:pPr>
        <w:ind w:left="785"/>
        <w:rPr>
          <w:rFonts w:eastAsiaTheme="minorHAnsi" w:cs="Arial"/>
          <w:spacing w:val="0"/>
          <w:sz w:val="22"/>
          <w:szCs w:val="22"/>
        </w:rPr>
      </w:pPr>
    </w:p>
    <w:p w14:paraId="4118AC66" w14:textId="77777777" w:rsidR="00B21198" w:rsidRDefault="00B21198" w:rsidP="004443C7">
      <w:pPr>
        <w:numPr>
          <w:ilvl w:val="0"/>
          <w:numId w:val="59"/>
        </w:numPr>
        <w:rPr>
          <w:rFonts w:eastAsiaTheme="minorHAnsi" w:cs="Arial"/>
          <w:spacing w:val="0"/>
          <w:sz w:val="22"/>
          <w:szCs w:val="22"/>
        </w:rPr>
      </w:pPr>
      <w:r w:rsidRPr="000A5753">
        <w:rPr>
          <w:rFonts w:eastAsiaTheme="minorHAnsi" w:cs="Arial"/>
          <w:spacing w:val="0"/>
          <w:sz w:val="22"/>
          <w:szCs w:val="22"/>
        </w:rPr>
        <w:t>A sharp fall in wage growth, with the headline 3myy rate declining from 8.0% in September to 7.2% in October, although the ONS “experimental” rate of unemployment has remained low at 4.2%;</w:t>
      </w:r>
    </w:p>
    <w:p w14:paraId="24C67A0C" w14:textId="77777777" w:rsidR="00EF12E1" w:rsidRPr="000A5753" w:rsidRDefault="00EF12E1" w:rsidP="00EF12E1">
      <w:pPr>
        <w:rPr>
          <w:rFonts w:eastAsiaTheme="minorHAnsi" w:cs="Arial"/>
          <w:spacing w:val="0"/>
          <w:sz w:val="22"/>
          <w:szCs w:val="22"/>
        </w:rPr>
      </w:pPr>
    </w:p>
    <w:p w14:paraId="6A9A9C7E" w14:textId="77777777" w:rsidR="00B21198" w:rsidRDefault="00B21198" w:rsidP="004443C7">
      <w:pPr>
        <w:numPr>
          <w:ilvl w:val="0"/>
          <w:numId w:val="59"/>
        </w:numPr>
        <w:rPr>
          <w:rFonts w:eastAsiaTheme="minorHAnsi" w:cs="Arial"/>
          <w:spacing w:val="0"/>
          <w:sz w:val="22"/>
          <w:szCs w:val="22"/>
        </w:rPr>
      </w:pPr>
      <w:r w:rsidRPr="000A5753">
        <w:rPr>
          <w:rFonts w:eastAsiaTheme="minorHAnsi" w:cs="Arial"/>
          <w:spacing w:val="0"/>
          <w:sz w:val="22"/>
          <w:szCs w:val="22"/>
        </w:rPr>
        <w:t>CPI inflation continuing on its downward trajectory, from 8.7% in April to 4.6% in October, then again to 3.9% in November;</w:t>
      </w:r>
    </w:p>
    <w:p w14:paraId="079276F3" w14:textId="77777777" w:rsidR="00EF12E1" w:rsidRPr="000A5753" w:rsidRDefault="00EF12E1" w:rsidP="00EF12E1">
      <w:pPr>
        <w:rPr>
          <w:rFonts w:eastAsiaTheme="minorHAnsi" w:cs="Arial"/>
          <w:spacing w:val="0"/>
          <w:sz w:val="22"/>
          <w:szCs w:val="22"/>
        </w:rPr>
      </w:pPr>
    </w:p>
    <w:p w14:paraId="48728D00" w14:textId="77777777" w:rsidR="00B21198" w:rsidRDefault="00B21198" w:rsidP="004443C7">
      <w:pPr>
        <w:numPr>
          <w:ilvl w:val="0"/>
          <w:numId w:val="59"/>
        </w:numPr>
        <w:jc w:val="both"/>
        <w:rPr>
          <w:rFonts w:eastAsiaTheme="minorHAnsi" w:cs="Arial"/>
          <w:spacing w:val="0"/>
          <w:sz w:val="22"/>
          <w:szCs w:val="22"/>
        </w:rPr>
      </w:pPr>
      <w:r w:rsidRPr="000A5753">
        <w:rPr>
          <w:rFonts w:eastAsiaTheme="minorHAnsi" w:cs="Arial"/>
          <w:spacing w:val="0"/>
          <w:sz w:val="22"/>
          <w:szCs w:val="22"/>
        </w:rPr>
        <w:t>Core CPI inflation decreasing from April and May’s 31 years’ high of 7.1% to 5.1% in November, the lowest rate since January 2022;</w:t>
      </w:r>
    </w:p>
    <w:p w14:paraId="1E906294" w14:textId="77777777" w:rsidR="00EF12E1" w:rsidRPr="000A5753" w:rsidRDefault="00EF12E1" w:rsidP="00EF12E1">
      <w:pPr>
        <w:jc w:val="both"/>
        <w:rPr>
          <w:rFonts w:eastAsiaTheme="minorHAnsi" w:cs="Arial"/>
          <w:spacing w:val="0"/>
          <w:sz w:val="22"/>
          <w:szCs w:val="22"/>
        </w:rPr>
      </w:pPr>
    </w:p>
    <w:p w14:paraId="6D98232C" w14:textId="77777777" w:rsidR="00B21198" w:rsidRDefault="00B21198" w:rsidP="004443C7">
      <w:pPr>
        <w:numPr>
          <w:ilvl w:val="0"/>
          <w:numId w:val="59"/>
        </w:numPr>
        <w:jc w:val="both"/>
        <w:rPr>
          <w:rFonts w:eastAsiaTheme="minorHAnsi" w:cs="Arial"/>
          <w:spacing w:val="0"/>
          <w:sz w:val="22"/>
          <w:szCs w:val="22"/>
        </w:rPr>
      </w:pPr>
      <w:r w:rsidRPr="000A5753">
        <w:rPr>
          <w:rFonts w:eastAsiaTheme="minorHAnsi" w:cs="Arial"/>
          <w:spacing w:val="0"/>
          <w:sz w:val="22"/>
          <w:szCs w:val="22"/>
        </w:rPr>
        <w:t xml:space="preserve">The Bank of England holding </w:t>
      </w:r>
      <w:r>
        <w:rPr>
          <w:rFonts w:eastAsiaTheme="minorHAnsi" w:cs="Arial"/>
          <w:spacing w:val="0"/>
          <w:sz w:val="22"/>
          <w:szCs w:val="22"/>
        </w:rPr>
        <w:t>Bank Rate</w:t>
      </w:r>
      <w:r w:rsidRPr="000A5753">
        <w:rPr>
          <w:rFonts w:eastAsiaTheme="minorHAnsi" w:cs="Arial"/>
          <w:spacing w:val="0"/>
          <w:sz w:val="22"/>
          <w:szCs w:val="22"/>
        </w:rPr>
        <w:t xml:space="preserve"> at 5.25% in November and December;</w:t>
      </w:r>
    </w:p>
    <w:p w14:paraId="23831FC3" w14:textId="77777777" w:rsidR="00EF12E1" w:rsidRPr="000A5753" w:rsidRDefault="00EF12E1" w:rsidP="00EF12E1">
      <w:pPr>
        <w:jc w:val="both"/>
        <w:rPr>
          <w:rFonts w:eastAsiaTheme="minorHAnsi" w:cs="Arial"/>
          <w:spacing w:val="0"/>
          <w:sz w:val="22"/>
          <w:szCs w:val="22"/>
        </w:rPr>
      </w:pPr>
    </w:p>
    <w:p w14:paraId="008A3797" w14:textId="1D244918" w:rsidR="00B21198" w:rsidRDefault="00B21198" w:rsidP="004443C7">
      <w:pPr>
        <w:numPr>
          <w:ilvl w:val="0"/>
          <w:numId w:val="59"/>
        </w:numPr>
        <w:jc w:val="both"/>
        <w:rPr>
          <w:rFonts w:eastAsiaTheme="minorHAnsi" w:cs="Arial"/>
          <w:spacing w:val="0"/>
          <w:sz w:val="22"/>
          <w:szCs w:val="22"/>
        </w:rPr>
      </w:pPr>
      <w:r w:rsidRPr="000A5753">
        <w:rPr>
          <w:rFonts w:eastAsiaTheme="minorHAnsi" w:cs="Arial"/>
          <w:spacing w:val="0"/>
          <w:sz w:val="22"/>
          <w:szCs w:val="22"/>
        </w:rPr>
        <w:t>A steady fall in 10-year gilt yields as investors revised their interest rate expectations lower</w:t>
      </w:r>
      <w:r w:rsidR="00EF12E1">
        <w:rPr>
          <w:rFonts w:eastAsiaTheme="minorHAnsi" w:cs="Arial"/>
          <w:spacing w:val="0"/>
          <w:sz w:val="22"/>
          <w:szCs w:val="22"/>
        </w:rPr>
        <w:t>.</w:t>
      </w:r>
    </w:p>
    <w:p w14:paraId="6398A805" w14:textId="77777777" w:rsidR="00EF12E1" w:rsidRDefault="00EF12E1" w:rsidP="00EF12E1">
      <w:pPr>
        <w:pStyle w:val="ListParagraph"/>
        <w:rPr>
          <w:rFonts w:eastAsiaTheme="minorHAnsi" w:cs="Arial"/>
          <w:spacing w:val="0"/>
          <w:sz w:val="22"/>
          <w:szCs w:val="22"/>
        </w:rPr>
      </w:pPr>
    </w:p>
    <w:p w14:paraId="7CF524FB" w14:textId="77777777" w:rsidR="00EF12E1" w:rsidRPr="000A5753" w:rsidRDefault="00EF12E1" w:rsidP="00EF12E1">
      <w:pPr>
        <w:jc w:val="both"/>
        <w:rPr>
          <w:rFonts w:eastAsiaTheme="minorHAnsi" w:cs="Arial"/>
          <w:spacing w:val="0"/>
          <w:sz w:val="22"/>
          <w:szCs w:val="22"/>
        </w:rPr>
      </w:pPr>
    </w:p>
    <w:p w14:paraId="51833ED9"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The revision of GDP data in Q2 to a 0.1% q/q fall may mean the mildest of mild recessions has begun. Indeed, real GDP in October fell 0.3% m/m which does suggest that the economy may stagnate again in Q3. The weakness in October may partly be due to the unseasonably wet weather. That said, as the weakness was broad based it may also be the case that the ongoing drag from higher interest rates is more than offsetting any boost from the rise in real wages.</w:t>
      </w:r>
    </w:p>
    <w:p w14:paraId="2DE0AE6E" w14:textId="77777777" w:rsidR="00EF12E1" w:rsidRPr="000A5753" w:rsidRDefault="00EF12E1" w:rsidP="004443C7">
      <w:pPr>
        <w:rPr>
          <w:rFonts w:eastAsiaTheme="minorHAnsi" w:cs="Arial"/>
          <w:spacing w:val="0"/>
          <w:sz w:val="22"/>
          <w:szCs w:val="22"/>
        </w:rPr>
      </w:pPr>
    </w:p>
    <w:p w14:paraId="065E9403" w14:textId="77777777" w:rsidR="00EF12E1" w:rsidRDefault="00B21198" w:rsidP="004443C7">
      <w:pPr>
        <w:rPr>
          <w:rFonts w:eastAsiaTheme="minorHAnsi" w:cs="Arial"/>
          <w:spacing w:val="0"/>
          <w:sz w:val="22"/>
          <w:szCs w:val="22"/>
        </w:rPr>
      </w:pPr>
      <w:r w:rsidRPr="000A5753">
        <w:rPr>
          <w:rFonts w:eastAsiaTheme="minorHAnsi" w:cs="Arial"/>
          <w:spacing w:val="0"/>
          <w:sz w:val="22"/>
          <w:szCs w:val="22"/>
        </w:rPr>
        <w:t xml:space="preserve">However, the rise in the flash composite activity Purchasing Managers Index, from 50.7 in November to 51.7 in December, did increase the chances of the economy avoiding a contraction in Q3. The improvement was entirely driven by the increase in the services activity balance from 50.9 to 52.7. (Scores above 50 </w:t>
      </w:r>
      <w:proofErr w:type="gramStart"/>
      <w:r w:rsidRPr="000A5753">
        <w:rPr>
          <w:rFonts w:eastAsiaTheme="minorHAnsi" w:cs="Arial"/>
          <w:spacing w:val="0"/>
          <w:sz w:val="22"/>
          <w:szCs w:val="22"/>
        </w:rPr>
        <w:t>point</w:t>
      </w:r>
      <w:proofErr w:type="gramEnd"/>
      <w:r w:rsidRPr="000A5753">
        <w:rPr>
          <w:rFonts w:eastAsiaTheme="minorHAnsi" w:cs="Arial"/>
          <w:spacing w:val="0"/>
          <w:sz w:val="22"/>
          <w:szCs w:val="22"/>
        </w:rPr>
        <w:t xml:space="preserve"> to expansion in the economy, although only tepid in this instance.)  The press release noted that this was primarily driven by a revival in consumer demand in the technological and financial services sectors. This chimes with the further improvement in the GfK measure of consumer confidence in December, from -24 to -22.</w:t>
      </w:r>
    </w:p>
    <w:p w14:paraId="2224CD93" w14:textId="77777777" w:rsidR="00EF12E1" w:rsidRDefault="00EF12E1" w:rsidP="004443C7">
      <w:pPr>
        <w:rPr>
          <w:rFonts w:eastAsiaTheme="minorHAnsi" w:cs="Arial"/>
          <w:spacing w:val="0"/>
          <w:sz w:val="22"/>
          <w:szCs w:val="22"/>
        </w:rPr>
      </w:pPr>
    </w:p>
    <w:p w14:paraId="330EDE01" w14:textId="78EF4110" w:rsidR="00B21198" w:rsidRDefault="00B21198" w:rsidP="004443C7">
      <w:pPr>
        <w:rPr>
          <w:rFonts w:eastAsiaTheme="minorHAnsi" w:cs="Arial"/>
          <w:spacing w:val="0"/>
          <w:sz w:val="22"/>
          <w:szCs w:val="22"/>
        </w:rPr>
      </w:pPr>
      <w:r w:rsidRPr="000A5753">
        <w:rPr>
          <w:rFonts w:eastAsiaTheme="minorHAnsi" w:cs="Arial"/>
          <w:spacing w:val="0"/>
          <w:sz w:val="22"/>
          <w:szCs w:val="22"/>
        </w:rPr>
        <w:t>The services PMI is now consistent with non-retail services output growing by 0.5% q/q in Q3, but this is in stark contrast to the manufacturing sector where the output balance slumped from 49.2 to 45.9 and, at face value, the output balance is consistent with a 1.5% q/q fall in manufacturing output in Q3.</w:t>
      </w:r>
    </w:p>
    <w:p w14:paraId="4D393271" w14:textId="77777777" w:rsidR="00EF12E1" w:rsidRPr="000A5753" w:rsidRDefault="00EF12E1" w:rsidP="004443C7">
      <w:pPr>
        <w:rPr>
          <w:rFonts w:eastAsiaTheme="minorHAnsi" w:cs="Arial"/>
          <w:spacing w:val="0"/>
          <w:sz w:val="22"/>
          <w:szCs w:val="22"/>
        </w:rPr>
      </w:pPr>
    </w:p>
    <w:p w14:paraId="093E151E" w14:textId="77777777" w:rsidR="00EF12E1" w:rsidRDefault="00B21198" w:rsidP="004443C7">
      <w:pPr>
        <w:rPr>
          <w:rFonts w:eastAsiaTheme="minorHAnsi" w:cs="Arial"/>
          <w:spacing w:val="0"/>
          <w:sz w:val="22"/>
          <w:szCs w:val="22"/>
        </w:rPr>
      </w:pPr>
      <w:r w:rsidRPr="000A5753">
        <w:rPr>
          <w:rFonts w:eastAsiaTheme="minorHAnsi" w:cs="Arial"/>
          <w:spacing w:val="0"/>
          <w:sz w:val="22"/>
          <w:szCs w:val="22"/>
        </w:rPr>
        <w:t>The 0.3% m/m fall in retail sales volumes in October means that after contracting by 1.0% q/q (which was downwardly revised from -0.8% q/q) in Q2, retail activity remained weak at the start of Q3. That suggests higher interest rates are taking a bigger toll on real consumer spending.</w:t>
      </w:r>
    </w:p>
    <w:p w14:paraId="5C67A321" w14:textId="2650EA6D" w:rsidR="00B21198" w:rsidRPr="000A5753" w:rsidRDefault="00B21198" w:rsidP="004443C7">
      <w:pPr>
        <w:rPr>
          <w:rFonts w:eastAsiaTheme="minorHAnsi" w:cs="Arial"/>
          <w:spacing w:val="0"/>
          <w:sz w:val="22"/>
          <w:szCs w:val="22"/>
        </w:rPr>
      </w:pPr>
      <w:r w:rsidRPr="000A5753">
        <w:rPr>
          <w:rFonts w:eastAsiaTheme="minorHAnsi" w:cs="Arial"/>
          <w:spacing w:val="0"/>
          <w:sz w:val="22"/>
          <w:szCs w:val="22"/>
        </w:rPr>
        <w:t xml:space="preserve"> </w:t>
      </w:r>
    </w:p>
    <w:p w14:paraId="0EEA0FDE"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Higher interest rates have filtered through the financial channels and weakened the housing market but, overall, it remains surprisingly resilient with </w:t>
      </w:r>
      <w:r>
        <w:rPr>
          <w:rFonts w:eastAsiaTheme="minorHAnsi" w:cs="Arial"/>
          <w:spacing w:val="0"/>
          <w:sz w:val="22"/>
          <w:szCs w:val="22"/>
        </w:rPr>
        <w:t>the Halifax house price index recently pointing to a 1.7% year on year increase whilst</w:t>
      </w:r>
      <w:r w:rsidRPr="000A5753">
        <w:rPr>
          <w:rFonts w:eastAsiaTheme="minorHAnsi" w:cs="Arial"/>
          <w:spacing w:val="0"/>
          <w:sz w:val="22"/>
          <w:szCs w:val="22"/>
        </w:rPr>
        <w:t xml:space="preserve"> Nationwide</w:t>
      </w:r>
      <w:r>
        <w:rPr>
          <w:rFonts w:eastAsiaTheme="minorHAnsi" w:cs="Arial"/>
          <w:spacing w:val="0"/>
          <w:sz w:val="22"/>
          <w:szCs w:val="22"/>
        </w:rPr>
        <w:t xml:space="preserve">’s December data pointed to a </w:t>
      </w:r>
      <w:r w:rsidRPr="000A5753">
        <w:rPr>
          <w:rFonts w:eastAsiaTheme="minorHAnsi" w:cs="Arial"/>
          <w:spacing w:val="0"/>
          <w:sz w:val="22"/>
          <w:szCs w:val="22"/>
        </w:rPr>
        <w:t>-1.8%</w:t>
      </w:r>
      <w:r>
        <w:rPr>
          <w:rFonts w:eastAsiaTheme="minorHAnsi" w:cs="Arial"/>
          <w:spacing w:val="0"/>
          <w:sz w:val="22"/>
          <w:szCs w:val="22"/>
        </w:rPr>
        <w:t xml:space="preserve"> year on year decrease</w:t>
      </w:r>
      <w:r w:rsidRPr="000A5753">
        <w:rPr>
          <w:rFonts w:eastAsiaTheme="minorHAnsi" w:cs="Arial"/>
          <w:spacing w:val="0"/>
          <w:sz w:val="22"/>
          <w:szCs w:val="22"/>
        </w:rPr>
        <w:t xml:space="preserve">.  However, the full weakness in real consumer spending and real business investment has yet to come as currently it is estimated that around two thirds to a half of the impact of higher interest rates on household interest payments has yet to be felt. </w:t>
      </w:r>
    </w:p>
    <w:p w14:paraId="40C0B324" w14:textId="77777777" w:rsidR="00EF12E1" w:rsidRPr="000A5753" w:rsidRDefault="00EF12E1" w:rsidP="004443C7">
      <w:pPr>
        <w:rPr>
          <w:rFonts w:eastAsiaTheme="minorHAnsi" w:cs="Arial"/>
          <w:spacing w:val="0"/>
          <w:sz w:val="22"/>
          <w:szCs w:val="22"/>
        </w:rPr>
      </w:pPr>
    </w:p>
    <w:p w14:paraId="4E80B9A8" w14:textId="77777777" w:rsidR="00EF12E1" w:rsidRDefault="00EF12E1" w:rsidP="004443C7">
      <w:pPr>
        <w:rPr>
          <w:rFonts w:eastAsiaTheme="minorHAnsi" w:cs="Arial"/>
          <w:spacing w:val="0"/>
          <w:sz w:val="22"/>
          <w:szCs w:val="22"/>
        </w:rPr>
      </w:pPr>
    </w:p>
    <w:p w14:paraId="4D9D21CC" w14:textId="77777777" w:rsidR="00EF12E1" w:rsidRDefault="00EF12E1" w:rsidP="004443C7">
      <w:pPr>
        <w:rPr>
          <w:rFonts w:eastAsiaTheme="minorHAnsi" w:cs="Arial"/>
          <w:spacing w:val="0"/>
          <w:sz w:val="22"/>
          <w:szCs w:val="22"/>
        </w:rPr>
      </w:pPr>
    </w:p>
    <w:p w14:paraId="7EA30C47" w14:textId="77777777" w:rsidR="00EF12E1" w:rsidRDefault="00EF12E1" w:rsidP="004443C7">
      <w:pPr>
        <w:rPr>
          <w:rFonts w:eastAsiaTheme="minorHAnsi" w:cs="Arial"/>
          <w:spacing w:val="0"/>
          <w:sz w:val="22"/>
          <w:szCs w:val="22"/>
        </w:rPr>
      </w:pPr>
    </w:p>
    <w:p w14:paraId="1ACAF16E" w14:textId="77777777" w:rsidR="00862C9A" w:rsidRDefault="00862C9A" w:rsidP="004443C7">
      <w:pPr>
        <w:rPr>
          <w:rFonts w:eastAsiaTheme="minorHAnsi" w:cs="Arial"/>
          <w:spacing w:val="0"/>
          <w:sz w:val="22"/>
          <w:szCs w:val="22"/>
        </w:rPr>
      </w:pPr>
    </w:p>
    <w:p w14:paraId="446F7A2F" w14:textId="35230030" w:rsidR="00B21198" w:rsidRDefault="00B21198" w:rsidP="004443C7">
      <w:pPr>
        <w:rPr>
          <w:rFonts w:eastAsiaTheme="minorHAnsi" w:cs="Arial"/>
          <w:spacing w:val="0"/>
          <w:sz w:val="22"/>
          <w:szCs w:val="22"/>
        </w:rPr>
      </w:pPr>
      <w:r w:rsidRPr="000A5753">
        <w:rPr>
          <w:rFonts w:eastAsiaTheme="minorHAnsi" w:cs="Arial"/>
          <w:spacing w:val="0"/>
          <w:sz w:val="22"/>
          <w:szCs w:val="22"/>
        </w:rPr>
        <w:t>Overall, we expect real GDP growth to remain subdued throughout 2024 as the drag from higher interest rates is protracted but a fading of the cost-of-living crisis and interest rate cuts in the second half of 2024 will support a recovery in GDP growth in 2025.</w:t>
      </w:r>
    </w:p>
    <w:p w14:paraId="38C17574" w14:textId="77777777" w:rsidR="00EF12E1" w:rsidRPr="000A5753" w:rsidRDefault="00EF12E1" w:rsidP="004443C7">
      <w:pPr>
        <w:rPr>
          <w:rFonts w:eastAsiaTheme="minorHAnsi" w:cs="Arial"/>
          <w:spacing w:val="0"/>
          <w:sz w:val="22"/>
          <w:szCs w:val="22"/>
        </w:rPr>
      </w:pPr>
    </w:p>
    <w:p w14:paraId="75FB509A" w14:textId="77777777" w:rsidR="00E51B6F" w:rsidRDefault="00B21198" w:rsidP="004443C7">
      <w:pPr>
        <w:rPr>
          <w:rFonts w:eastAsiaTheme="minorHAnsi" w:cs="Arial"/>
          <w:spacing w:val="0"/>
          <w:sz w:val="22"/>
          <w:szCs w:val="22"/>
        </w:rPr>
      </w:pPr>
      <w:r w:rsidRPr="000A5753">
        <w:rPr>
          <w:rFonts w:eastAsiaTheme="minorHAnsi" w:cs="Arial"/>
          <w:spacing w:val="0"/>
          <w:sz w:val="22"/>
          <w:szCs w:val="22"/>
        </w:rPr>
        <w:t xml:space="preserve">The labour market remains tight by historical standards, but the sharp fall in wage growth seen in October will reinforce the growing belief in markets that interest rates will be cut mid-2024. Wage </w:t>
      </w:r>
    </w:p>
    <w:p w14:paraId="03AF424E" w14:textId="45502AF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growth eased in October much faster than the consensus expected. Total earnings fell by 1.6% m/m, which meant the headline 3myy rate eased from 8.0% in September to 7.2% in October. This news will be welcomed by the Bank of England. Indeed, the timelier three-month annualised rate of average earnings growth fell from +2.4% to -1.2%. Excluding bonuses, it fell from 5.3% to 2.0%. Furthermore, one of the Bank’s key barometers of inflation persistence, regular private sector pay growth, dropped from 7.9% 3myy to 7.3%, which leaves it comfortably on track to fall to 7.2% by December, as predicted by the Bank in November. </w:t>
      </w:r>
    </w:p>
    <w:p w14:paraId="1F4165DA" w14:textId="77777777" w:rsidR="00EF12E1" w:rsidRPr="000A5753" w:rsidRDefault="00EF12E1" w:rsidP="004443C7">
      <w:pPr>
        <w:rPr>
          <w:rFonts w:eastAsiaTheme="minorHAnsi" w:cs="Arial"/>
          <w:spacing w:val="0"/>
          <w:sz w:val="22"/>
          <w:szCs w:val="22"/>
        </w:rPr>
      </w:pPr>
    </w:p>
    <w:p w14:paraId="758F6D05"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The fall in wage growth occurred despite labour demand being stronger in October than expected. The three-month change in employment eased only a touch from +52,000 in September to +50,000 in October. But resilient labour demand was offset by a further 63,000 </w:t>
      </w:r>
      <w:proofErr w:type="gramStart"/>
      <w:r w:rsidRPr="000A5753">
        <w:rPr>
          <w:rFonts w:eastAsiaTheme="minorHAnsi" w:cs="Arial"/>
          <w:spacing w:val="0"/>
          <w:sz w:val="22"/>
          <w:szCs w:val="22"/>
        </w:rPr>
        <w:t>rise</w:t>
      </w:r>
      <w:proofErr w:type="gramEnd"/>
      <w:r w:rsidRPr="000A5753">
        <w:rPr>
          <w:rFonts w:eastAsiaTheme="minorHAnsi" w:cs="Arial"/>
          <w:spacing w:val="0"/>
          <w:sz w:val="22"/>
          <w:szCs w:val="22"/>
        </w:rPr>
        <w:t xml:space="preserve"> in the supply of workers in the three months to October. That meant labour supply exceeded its pre-pandemic level for the first time, and the unemployment rate remained at 4.2% in October. In the three months to November, the number of job vacancies fell for the 17</w:t>
      </w:r>
      <w:r w:rsidRPr="000A5753">
        <w:rPr>
          <w:rFonts w:eastAsiaTheme="minorHAnsi" w:cs="Arial"/>
          <w:spacing w:val="0"/>
          <w:sz w:val="22"/>
          <w:szCs w:val="22"/>
          <w:vertAlign w:val="superscript"/>
        </w:rPr>
        <w:t>th</w:t>
      </w:r>
      <w:r w:rsidRPr="000A5753">
        <w:rPr>
          <w:rFonts w:eastAsiaTheme="minorHAnsi" w:cs="Arial"/>
          <w:spacing w:val="0"/>
          <w:sz w:val="22"/>
          <w:szCs w:val="22"/>
        </w:rPr>
        <w:t xml:space="preserve"> month in a row, from around 959,000 in October to around 949,000. That has reduced the vacancy to unemployment ratio as demand for labour eases relative to supply, which may support a further easing in wage growth in the coming months.</w:t>
      </w:r>
    </w:p>
    <w:p w14:paraId="64314323" w14:textId="77777777" w:rsidR="00EF12E1" w:rsidRPr="000A5753" w:rsidRDefault="00EF12E1" w:rsidP="004443C7">
      <w:pPr>
        <w:rPr>
          <w:rFonts w:eastAsiaTheme="minorHAnsi" w:cs="Arial"/>
          <w:spacing w:val="0"/>
          <w:sz w:val="22"/>
          <w:szCs w:val="22"/>
        </w:rPr>
      </w:pPr>
    </w:p>
    <w:p w14:paraId="1A564BFC"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CPI inflation fell from 6.7% in September to 4.6% in October, and then again to 3.9% in November. Both these falls were bigger than expected and there are clear signs of easing in domestic inflationary pressures. The fall in core CPI inflation from 5.7% to 5.1% in November was bigger than expected (consensus forecast 5.6%). That’s the lowest rate since January 2022. Some of the decline in core inflation was due to the global influence of core goods inflation, which slowed from 4.3% to 3.3%. But some of it was due to services inflation falling from 6.6% to 6.3%. The Bank views the latter as a key barometer of the persistence of inflation and it came in further below the Bank’s forecast of 6.9% in its November Monetary Policy Report. This will give the Bank more confidence that services inflation is now on a firmly downward path. </w:t>
      </w:r>
    </w:p>
    <w:p w14:paraId="284C5688" w14:textId="77777777" w:rsidR="00EF12E1" w:rsidRPr="000A5753" w:rsidRDefault="00EF12E1" w:rsidP="004443C7">
      <w:pPr>
        <w:rPr>
          <w:rFonts w:eastAsiaTheme="minorHAnsi" w:cs="Arial"/>
          <w:spacing w:val="0"/>
          <w:sz w:val="22"/>
          <w:szCs w:val="22"/>
        </w:rPr>
      </w:pPr>
    </w:p>
    <w:p w14:paraId="7BADBD10"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The Bank of England sprung no surprises with its December monetary policy committee (MPC) meeting, leaving interest rates at 5.25% for the third time in a row and pushing back against the prospect of near-term interest rate cuts. The Bank continued to sound hawkish, with the MPC maintaining its tightening bias saying that “further tightening in monetary policy would be required if there were evidence of more persistent inflationary pressures”. And it stuck to the familiar script, saying that policy will be “sufficiently restrictive for sufficiently long” and that “monetary policy is likely to need to be restrictive for an extended period of time”. In other words, the message is that the MPC is not yet willing to endorse investors’ expectations that rates will be cut as soon as May 2024.</w:t>
      </w:r>
    </w:p>
    <w:p w14:paraId="0E01FB71" w14:textId="77777777" w:rsidR="00EF12E1" w:rsidRPr="000A5753" w:rsidRDefault="00EF12E1" w:rsidP="004443C7">
      <w:pPr>
        <w:rPr>
          <w:rFonts w:eastAsiaTheme="minorHAnsi" w:cs="Arial"/>
          <w:spacing w:val="0"/>
          <w:sz w:val="22"/>
          <w:szCs w:val="22"/>
        </w:rPr>
      </w:pPr>
    </w:p>
    <w:p w14:paraId="533B09B2"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Looking ahead, our colleagues at Capital Economics forecast that the recent downward trends in CPI and core inflation will stall over the next few months before starting to decline more decisively again in February. That explains why we think the Bank of England won’t feel comfortable cutting interest rates until H2 2024. </w:t>
      </w:r>
    </w:p>
    <w:p w14:paraId="17046BC0" w14:textId="77777777" w:rsidR="00EF12E1" w:rsidRPr="000A5753" w:rsidRDefault="00EF12E1" w:rsidP="004443C7">
      <w:pPr>
        <w:rPr>
          <w:rFonts w:eastAsiaTheme="minorHAnsi" w:cs="Arial"/>
          <w:spacing w:val="0"/>
          <w:sz w:val="22"/>
          <w:szCs w:val="22"/>
        </w:rPr>
      </w:pPr>
    </w:p>
    <w:p w14:paraId="1AEFC74F" w14:textId="77777777"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The fall in UK market interest rate expectations in December has driven most of the decline in 10-year gilt yields, which have fallen in line with 10-year US Treasury and euro-zone yields. 10-year gilt yields have fallen from 4.68% in October 2023 to around 3.70% </w:t>
      </w:r>
      <w:r>
        <w:rPr>
          <w:rFonts w:eastAsiaTheme="minorHAnsi" w:cs="Arial"/>
          <w:spacing w:val="0"/>
          <w:sz w:val="22"/>
          <w:szCs w:val="22"/>
        </w:rPr>
        <w:t>in early January</w:t>
      </w:r>
      <w:r w:rsidRPr="000A5753">
        <w:rPr>
          <w:rFonts w:eastAsiaTheme="minorHAnsi" w:cs="Arial"/>
          <w:spacing w:val="0"/>
          <w:sz w:val="22"/>
          <w:szCs w:val="22"/>
        </w:rPr>
        <w:t>, with further declines likely if the falling inflation story is maintained.</w:t>
      </w:r>
    </w:p>
    <w:p w14:paraId="4DD260E0" w14:textId="77777777" w:rsidR="00EF12E1" w:rsidRDefault="00EF12E1" w:rsidP="004443C7">
      <w:pPr>
        <w:rPr>
          <w:rFonts w:eastAsiaTheme="minorHAnsi" w:cs="Arial"/>
          <w:spacing w:val="0"/>
          <w:sz w:val="22"/>
          <w:szCs w:val="22"/>
        </w:rPr>
      </w:pPr>
    </w:p>
    <w:p w14:paraId="6CC6ED49" w14:textId="77777777" w:rsidR="00EF12E1" w:rsidRDefault="00EF12E1" w:rsidP="004443C7">
      <w:pPr>
        <w:rPr>
          <w:rFonts w:eastAsiaTheme="minorHAnsi" w:cs="Arial"/>
          <w:spacing w:val="0"/>
          <w:sz w:val="22"/>
          <w:szCs w:val="22"/>
        </w:rPr>
      </w:pPr>
    </w:p>
    <w:p w14:paraId="14768011" w14:textId="77777777" w:rsidR="00EF12E1" w:rsidRDefault="00EF12E1" w:rsidP="004443C7">
      <w:pPr>
        <w:rPr>
          <w:rFonts w:eastAsiaTheme="minorHAnsi" w:cs="Arial"/>
          <w:spacing w:val="0"/>
          <w:sz w:val="22"/>
          <w:szCs w:val="22"/>
        </w:rPr>
      </w:pPr>
    </w:p>
    <w:p w14:paraId="4154D2AD" w14:textId="77777777" w:rsidR="00EF12E1" w:rsidRDefault="00EF12E1" w:rsidP="004443C7">
      <w:pPr>
        <w:rPr>
          <w:rFonts w:eastAsiaTheme="minorHAnsi" w:cs="Arial"/>
          <w:spacing w:val="0"/>
          <w:sz w:val="22"/>
          <w:szCs w:val="22"/>
        </w:rPr>
      </w:pPr>
    </w:p>
    <w:p w14:paraId="51106F72" w14:textId="77777777" w:rsidR="00EF12E1" w:rsidRPr="000A5753" w:rsidRDefault="00EF12E1" w:rsidP="004443C7">
      <w:pPr>
        <w:rPr>
          <w:rFonts w:eastAsiaTheme="minorHAnsi" w:cs="Arial"/>
          <w:spacing w:val="0"/>
          <w:sz w:val="22"/>
          <w:szCs w:val="22"/>
        </w:rPr>
      </w:pPr>
    </w:p>
    <w:p w14:paraId="7BBDECC6" w14:textId="2A9F430F"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Investors’ growing expectations that the Fed will cut interest rates soon has led to an improvement in risk sentiment, which has boosted the pound and other risky assets. In addition, the rise in the pound, from $1.21 in November to $1.27 now, has also been supported by the recent relative decline in UK wholesale gas prices. </w:t>
      </w:r>
    </w:p>
    <w:p w14:paraId="5C942C02" w14:textId="77777777" w:rsidR="004443C7" w:rsidRDefault="004443C7" w:rsidP="004443C7">
      <w:pPr>
        <w:rPr>
          <w:rFonts w:eastAsiaTheme="minorHAnsi" w:cs="Arial"/>
          <w:spacing w:val="0"/>
          <w:sz w:val="22"/>
          <w:szCs w:val="22"/>
        </w:rPr>
      </w:pPr>
    </w:p>
    <w:p w14:paraId="051BAF2A" w14:textId="78EAA3A0" w:rsidR="005E69B1" w:rsidRDefault="00B21198" w:rsidP="004443C7">
      <w:pPr>
        <w:rPr>
          <w:rFonts w:eastAsiaTheme="minorHAnsi" w:cs="Arial"/>
          <w:spacing w:val="0"/>
          <w:sz w:val="22"/>
          <w:szCs w:val="22"/>
        </w:rPr>
      </w:pPr>
      <w:r w:rsidRPr="000A5753">
        <w:rPr>
          <w:rFonts w:eastAsiaTheme="minorHAnsi" w:cs="Arial"/>
          <w:spacing w:val="0"/>
          <w:sz w:val="22"/>
          <w:szCs w:val="22"/>
        </w:rPr>
        <w:t>The further fall in 10-year real gilt yields in December has supported the recent rise in the FTSE 100. That said, the index remains 5% below its record high in February</w:t>
      </w:r>
      <w:r>
        <w:rPr>
          <w:rFonts w:eastAsiaTheme="minorHAnsi" w:cs="Arial"/>
          <w:spacing w:val="0"/>
          <w:sz w:val="22"/>
          <w:szCs w:val="22"/>
        </w:rPr>
        <w:t xml:space="preserve"> 2023</w:t>
      </w:r>
      <w:r w:rsidRPr="000A5753">
        <w:rPr>
          <w:rFonts w:eastAsiaTheme="minorHAnsi" w:cs="Arial"/>
          <w:spacing w:val="0"/>
          <w:sz w:val="22"/>
          <w:szCs w:val="22"/>
        </w:rPr>
        <w:t xml:space="preserve">. This modest rise in </w:t>
      </w:r>
      <w:r w:rsidR="004443C7">
        <w:rPr>
          <w:rFonts w:eastAsiaTheme="minorHAnsi" w:cs="Arial"/>
          <w:spacing w:val="0"/>
          <w:sz w:val="22"/>
          <w:szCs w:val="22"/>
        </w:rPr>
        <w:t>e</w:t>
      </w:r>
      <w:r w:rsidRPr="000A5753">
        <w:rPr>
          <w:rFonts w:eastAsiaTheme="minorHAnsi" w:cs="Arial"/>
          <w:spacing w:val="0"/>
          <w:sz w:val="22"/>
          <w:szCs w:val="22"/>
        </w:rPr>
        <w:t xml:space="preserve">quities </w:t>
      </w:r>
      <w:r w:rsidR="00E51B6F" w:rsidRPr="000A5753">
        <w:rPr>
          <w:rFonts w:eastAsiaTheme="minorHAnsi" w:cs="Arial"/>
          <w:spacing w:val="0"/>
          <w:sz w:val="22"/>
          <w:szCs w:val="22"/>
        </w:rPr>
        <w:t>appear</w:t>
      </w:r>
      <w:r w:rsidRPr="000A5753">
        <w:rPr>
          <w:rFonts w:eastAsiaTheme="minorHAnsi" w:cs="Arial"/>
          <w:spacing w:val="0"/>
          <w:sz w:val="22"/>
          <w:szCs w:val="22"/>
        </w:rPr>
        <w:t xml:space="preserve"> to have been mostly driven by strong performances in the industrials and rate-sensitive technology sectors. But UK equities have continued to underperform US and euro-zone </w:t>
      </w:r>
    </w:p>
    <w:p w14:paraId="02136937" w14:textId="77777777" w:rsidR="00EF12E1" w:rsidRDefault="00B21198" w:rsidP="004443C7">
      <w:pPr>
        <w:rPr>
          <w:rFonts w:eastAsiaTheme="minorHAnsi" w:cs="Arial"/>
          <w:spacing w:val="0"/>
          <w:sz w:val="22"/>
          <w:szCs w:val="22"/>
        </w:rPr>
      </w:pPr>
      <w:r w:rsidRPr="000A5753">
        <w:rPr>
          <w:rFonts w:eastAsiaTheme="minorHAnsi" w:cs="Arial"/>
          <w:spacing w:val="0"/>
          <w:sz w:val="22"/>
          <w:szCs w:val="22"/>
        </w:rPr>
        <w:t xml:space="preserve">equities. The FTSE 100 has risen by 2.2% in December, while the S&amp;P 500 has risen by 3.8%. </w:t>
      </w:r>
    </w:p>
    <w:p w14:paraId="5C47C0E6" w14:textId="77777777" w:rsidR="00EF12E1" w:rsidRDefault="00EF12E1" w:rsidP="004443C7">
      <w:pPr>
        <w:rPr>
          <w:rFonts w:eastAsiaTheme="minorHAnsi" w:cs="Arial"/>
          <w:spacing w:val="0"/>
          <w:sz w:val="22"/>
          <w:szCs w:val="22"/>
        </w:rPr>
      </w:pPr>
    </w:p>
    <w:p w14:paraId="40316848" w14:textId="3DB823F2" w:rsidR="00B21198" w:rsidRDefault="00B21198" w:rsidP="004443C7">
      <w:pPr>
        <w:rPr>
          <w:rFonts w:eastAsiaTheme="minorHAnsi" w:cs="Arial"/>
          <w:spacing w:val="0"/>
          <w:sz w:val="22"/>
          <w:szCs w:val="22"/>
        </w:rPr>
      </w:pPr>
      <w:r w:rsidRPr="000A5753">
        <w:rPr>
          <w:rFonts w:eastAsiaTheme="minorHAnsi" w:cs="Arial"/>
          <w:spacing w:val="0"/>
          <w:sz w:val="22"/>
          <w:szCs w:val="22"/>
        </w:rPr>
        <w:t xml:space="preserve">This is partly due to lower energy prices, which have been a relatively bigger drag on the FTSE 100, due to the index’s high concentration of energy companies. </w:t>
      </w:r>
    </w:p>
    <w:p w14:paraId="2FDAF0AE" w14:textId="77777777" w:rsidR="00EF12E1" w:rsidRPr="000A5753" w:rsidRDefault="00EF12E1" w:rsidP="004443C7">
      <w:pPr>
        <w:rPr>
          <w:rFonts w:eastAsiaTheme="minorHAnsi" w:cs="Arial"/>
          <w:spacing w:val="0"/>
          <w:sz w:val="22"/>
          <w:szCs w:val="22"/>
        </w:rPr>
      </w:pPr>
    </w:p>
    <w:p w14:paraId="427A71D7" w14:textId="77777777" w:rsidR="00B21198" w:rsidRPr="000A5753" w:rsidRDefault="00B21198" w:rsidP="004443C7">
      <w:pPr>
        <w:rPr>
          <w:rFonts w:eastAsiaTheme="minorHAnsi" w:cs="Arial"/>
          <w:spacing w:val="0"/>
          <w:sz w:val="22"/>
          <w:szCs w:val="22"/>
        </w:rPr>
      </w:pPr>
      <w:r w:rsidRPr="000A5753">
        <w:rPr>
          <w:rFonts w:eastAsiaTheme="minorHAnsi" w:cs="Arial"/>
          <w:spacing w:val="0"/>
          <w:sz w:val="22"/>
          <w:szCs w:val="22"/>
        </w:rPr>
        <w:t>In the chart below, the rise in gilt yields across the curve in the first half of 2023/24, and therein PWLB rates, is clear to see, prior to the end of year rally based on a mix of supportive domestic and international factors.</w:t>
      </w:r>
    </w:p>
    <w:p w14:paraId="19A9C117" w14:textId="77777777" w:rsidR="00062BC5" w:rsidRPr="00D26131" w:rsidRDefault="00062BC5" w:rsidP="004443C7">
      <w:pPr>
        <w:numPr>
          <w:ilvl w:val="12"/>
          <w:numId w:val="0"/>
        </w:numPr>
        <w:jc w:val="both"/>
        <w:rPr>
          <w:rFonts w:eastAsia="MS Mincho" w:cs="Arial"/>
          <w:b/>
          <w:color w:val="0D0D0D"/>
          <w:spacing w:val="0"/>
          <w:sz w:val="22"/>
          <w:szCs w:val="22"/>
          <w:highlight w:val="yellow"/>
          <w:lang w:eastAsia="ja-JP"/>
        </w:rPr>
      </w:pPr>
    </w:p>
    <w:p w14:paraId="37D4D283" w14:textId="1F9F5C65" w:rsidR="002D57F6" w:rsidRDefault="002D57F6" w:rsidP="004443C7">
      <w:pPr>
        <w:rPr>
          <w:rFonts w:eastAsia="Arial" w:cs="Arial"/>
          <w:bCs/>
          <w:color w:val="1D1B11"/>
          <w:spacing w:val="0"/>
          <w:sz w:val="22"/>
          <w:szCs w:val="22"/>
          <w:lang w:val="en-AU"/>
        </w:rPr>
      </w:pPr>
      <w:bookmarkStart w:id="25" w:name="_Hlk90913098"/>
    </w:p>
    <w:p w14:paraId="3FA85413" w14:textId="46D384FA" w:rsidR="002D57F6" w:rsidRPr="00D26131" w:rsidRDefault="00B21198" w:rsidP="004443C7">
      <w:pPr>
        <w:rPr>
          <w:rFonts w:eastAsia="Arial" w:cs="Arial"/>
          <w:bCs/>
          <w:color w:val="1D1B11"/>
          <w:spacing w:val="0"/>
          <w:sz w:val="22"/>
          <w:szCs w:val="22"/>
          <w:highlight w:val="yellow"/>
          <w:lang w:val="en-AU"/>
        </w:rPr>
      </w:pPr>
      <w:r w:rsidRPr="000A5753">
        <w:rPr>
          <w:rFonts w:ascii="Calibri" w:eastAsia="Bliss 2 Regular" w:hAnsi="Calibri"/>
          <w:noProof/>
          <w:color w:val="3A3B3C"/>
          <w:spacing w:val="0"/>
          <w:sz w:val="21"/>
          <w:szCs w:val="22"/>
        </w:rPr>
        <w:drawing>
          <wp:inline distT="0" distB="0" distL="0" distR="0" wp14:anchorId="3BA150E0" wp14:editId="16D58652">
            <wp:extent cx="6099175" cy="3985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985260"/>
                    </a:xfrm>
                    <a:prstGeom prst="rect">
                      <a:avLst/>
                    </a:prstGeom>
                    <a:noFill/>
                    <a:ln>
                      <a:noFill/>
                    </a:ln>
                  </pic:spPr>
                </pic:pic>
              </a:graphicData>
            </a:graphic>
          </wp:inline>
        </w:drawing>
      </w:r>
    </w:p>
    <w:p w14:paraId="4C9F286E" w14:textId="77777777" w:rsidR="008A603C" w:rsidRPr="00D26131" w:rsidRDefault="008A603C" w:rsidP="004443C7">
      <w:pPr>
        <w:ind w:left="284" w:hanging="284"/>
        <w:rPr>
          <w:rFonts w:eastAsia="Arial" w:cs="Arial"/>
          <w:bCs/>
          <w:color w:val="1D1B11"/>
          <w:spacing w:val="0"/>
          <w:sz w:val="22"/>
          <w:szCs w:val="22"/>
          <w:highlight w:val="yellow"/>
          <w:lang w:val="en-AU"/>
        </w:rPr>
      </w:pPr>
    </w:p>
    <w:p w14:paraId="40BEA88C" w14:textId="77777777" w:rsidR="00B21198" w:rsidRDefault="00B21198" w:rsidP="004443C7">
      <w:pPr>
        <w:rPr>
          <w:rFonts w:cs="Arial"/>
          <w:sz w:val="22"/>
          <w:szCs w:val="22"/>
        </w:rPr>
      </w:pPr>
    </w:p>
    <w:p w14:paraId="67AE6950" w14:textId="3FB7AFD4" w:rsidR="002D57F6" w:rsidRPr="00B21198" w:rsidRDefault="00B21198" w:rsidP="004443C7">
      <w:pPr>
        <w:rPr>
          <w:rFonts w:cs="Arial"/>
          <w:sz w:val="22"/>
          <w:szCs w:val="22"/>
        </w:rPr>
      </w:pPr>
      <w:r w:rsidRPr="005664FA">
        <w:rPr>
          <w:rFonts w:ascii="Calibri" w:eastAsia="Bliss 2 Regular" w:hAnsi="Calibri"/>
          <w:noProof/>
          <w:color w:val="3A3B3C"/>
          <w:spacing w:val="0"/>
          <w:sz w:val="21"/>
          <w:szCs w:val="22"/>
        </w:rPr>
        <w:drawing>
          <wp:inline distT="0" distB="0" distL="0" distR="0" wp14:anchorId="0098E256" wp14:editId="042FA9D4">
            <wp:extent cx="5741035" cy="1334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35" cy="1334135"/>
                    </a:xfrm>
                    <a:prstGeom prst="rect">
                      <a:avLst/>
                    </a:prstGeom>
                    <a:noFill/>
                    <a:ln>
                      <a:noFill/>
                    </a:ln>
                  </pic:spPr>
                </pic:pic>
              </a:graphicData>
            </a:graphic>
          </wp:inline>
        </w:drawing>
      </w:r>
    </w:p>
    <w:p w14:paraId="51688DB6" w14:textId="77777777" w:rsidR="008A603C" w:rsidRPr="00D26131" w:rsidRDefault="008A603C" w:rsidP="004443C7">
      <w:pPr>
        <w:ind w:left="284" w:hanging="284"/>
        <w:rPr>
          <w:rFonts w:eastAsia="Arial" w:cs="Arial"/>
          <w:bCs/>
          <w:color w:val="1D1B11"/>
          <w:spacing w:val="0"/>
          <w:sz w:val="22"/>
          <w:szCs w:val="22"/>
          <w:highlight w:val="yellow"/>
          <w:lang w:val="en-AU"/>
        </w:rPr>
      </w:pPr>
    </w:p>
    <w:p w14:paraId="0637E4BC" w14:textId="77777777" w:rsidR="00EF12E1" w:rsidRDefault="00EF12E1" w:rsidP="004443C7">
      <w:pPr>
        <w:jc w:val="both"/>
        <w:rPr>
          <w:rFonts w:eastAsia="Arial" w:cs="Arial"/>
          <w:b/>
          <w:color w:val="0D0D0D"/>
          <w:spacing w:val="0"/>
          <w:sz w:val="22"/>
          <w:lang w:val="en-AU"/>
        </w:rPr>
      </w:pPr>
    </w:p>
    <w:p w14:paraId="4A22D24F" w14:textId="77777777" w:rsidR="00EF12E1" w:rsidRDefault="00EF12E1" w:rsidP="004443C7">
      <w:pPr>
        <w:jc w:val="both"/>
        <w:rPr>
          <w:rFonts w:eastAsia="Arial" w:cs="Arial"/>
          <w:b/>
          <w:color w:val="0D0D0D"/>
          <w:spacing w:val="0"/>
          <w:sz w:val="22"/>
          <w:lang w:val="en-AU"/>
        </w:rPr>
      </w:pPr>
    </w:p>
    <w:p w14:paraId="37C238FA" w14:textId="77777777" w:rsidR="00EF12E1" w:rsidRDefault="00EF12E1" w:rsidP="004443C7">
      <w:pPr>
        <w:jc w:val="both"/>
        <w:rPr>
          <w:rFonts w:eastAsia="Arial" w:cs="Arial"/>
          <w:b/>
          <w:color w:val="0D0D0D"/>
          <w:spacing w:val="0"/>
          <w:sz w:val="22"/>
          <w:lang w:val="en-AU"/>
        </w:rPr>
      </w:pPr>
    </w:p>
    <w:p w14:paraId="6353D724" w14:textId="34EB08ED" w:rsidR="00B21198" w:rsidRPr="000A5753" w:rsidRDefault="00B21198" w:rsidP="004443C7">
      <w:pPr>
        <w:jc w:val="both"/>
        <w:rPr>
          <w:rFonts w:eastAsia="Arial" w:cs="Arial"/>
          <w:b/>
          <w:color w:val="0D0D0D"/>
          <w:spacing w:val="0"/>
          <w:sz w:val="22"/>
          <w:lang w:val="en-AU"/>
        </w:rPr>
      </w:pPr>
      <w:r w:rsidRPr="000A5753">
        <w:rPr>
          <w:rFonts w:eastAsia="Arial" w:cs="Arial"/>
          <w:b/>
          <w:color w:val="0D0D0D"/>
          <w:spacing w:val="0"/>
          <w:sz w:val="22"/>
          <w:lang w:val="en-AU"/>
        </w:rPr>
        <w:t>MPC meetings 2</w:t>
      </w:r>
      <w:r w:rsidRPr="000A5753">
        <w:rPr>
          <w:rFonts w:eastAsia="Arial" w:cs="Arial"/>
          <w:b/>
          <w:color w:val="0D0D0D"/>
          <w:spacing w:val="0"/>
          <w:sz w:val="22"/>
          <w:vertAlign w:val="superscript"/>
          <w:lang w:val="en-AU"/>
        </w:rPr>
        <w:t>nd</w:t>
      </w:r>
      <w:r w:rsidRPr="000A5753">
        <w:rPr>
          <w:rFonts w:eastAsia="Arial" w:cs="Arial"/>
          <w:b/>
          <w:color w:val="0D0D0D"/>
          <w:spacing w:val="0"/>
          <w:sz w:val="22"/>
          <w:lang w:val="en-AU"/>
        </w:rPr>
        <w:t xml:space="preserve"> November and 14</w:t>
      </w:r>
      <w:r w:rsidRPr="000A5753">
        <w:rPr>
          <w:rFonts w:eastAsia="Arial" w:cs="Arial"/>
          <w:b/>
          <w:color w:val="0D0D0D"/>
          <w:spacing w:val="0"/>
          <w:sz w:val="22"/>
          <w:vertAlign w:val="superscript"/>
          <w:lang w:val="en-AU"/>
        </w:rPr>
        <w:t>th</w:t>
      </w:r>
      <w:r w:rsidRPr="000A5753">
        <w:rPr>
          <w:rFonts w:eastAsia="Arial" w:cs="Arial"/>
          <w:b/>
          <w:color w:val="0D0D0D"/>
          <w:spacing w:val="0"/>
          <w:sz w:val="22"/>
          <w:lang w:val="en-AU"/>
        </w:rPr>
        <w:t xml:space="preserve"> December 2023</w:t>
      </w:r>
    </w:p>
    <w:p w14:paraId="637A173A" w14:textId="77777777" w:rsidR="00EF12E1" w:rsidRDefault="00EF12E1" w:rsidP="004443C7">
      <w:pPr>
        <w:rPr>
          <w:rFonts w:eastAsiaTheme="minorHAnsi" w:cs="Arial"/>
          <w:color w:val="000000" w:themeColor="text1"/>
          <w:spacing w:val="0"/>
          <w:sz w:val="22"/>
          <w:szCs w:val="22"/>
        </w:rPr>
      </w:pPr>
    </w:p>
    <w:p w14:paraId="227163A9" w14:textId="3110903C" w:rsidR="00B21198" w:rsidRDefault="00B21198" w:rsidP="004443C7">
      <w:pPr>
        <w:rPr>
          <w:rFonts w:eastAsiaTheme="minorHAnsi" w:cs="Arial"/>
          <w:color w:val="000000" w:themeColor="text1"/>
          <w:spacing w:val="0"/>
          <w:sz w:val="22"/>
          <w:szCs w:val="22"/>
        </w:rPr>
      </w:pPr>
      <w:r w:rsidRPr="000A5753">
        <w:rPr>
          <w:rFonts w:eastAsiaTheme="minorHAnsi" w:cs="Arial"/>
          <w:color w:val="000000" w:themeColor="text1"/>
          <w:spacing w:val="0"/>
          <w:sz w:val="22"/>
          <w:szCs w:val="22"/>
        </w:rPr>
        <w:t>On 2</w:t>
      </w:r>
      <w:r w:rsidRPr="000A5753">
        <w:rPr>
          <w:rFonts w:eastAsiaTheme="minorHAnsi" w:cs="Arial"/>
          <w:color w:val="000000" w:themeColor="text1"/>
          <w:spacing w:val="0"/>
          <w:sz w:val="22"/>
          <w:szCs w:val="22"/>
          <w:vertAlign w:val="superscript"/>
        </w:rPr>
        <w:t>nd</w:t>
      </w:r>
      <w:r w:rsidRPr="000A5753">
        <w:rPr>
          <w:rFonts w:eastAsiaTheme="minorHAnsi" w:cs="Arial"/>
          <w:color w:val="000000" w:themeColor="text1"/>
          <w:spacing w:val="0"/>
          <w:sz w:val="22"/>
          <w:szCs w:val="22"/>
        </w:rPr>
        <w:t xml:space="preserve"> November, the Bank of England’s Monetary Policy Committee (MPC) voted to keep Bank Rate on hold at 5.25%, and on 14</w:t>
      </w:r>
      <w:r w:rsidRPr="000A5753">
        <w:rPr>
          <w:rFonts w:eastAsiaTheme="minorHAnsi" w:cs="Arial"/>
          <w:color w:val="000000" w:themeColor="text1"/>
          <w:spacing w:val="0"/>
          <w:sz w:val="22"/>
          <w:szCs w:val="22"/>
          <w:vertAlign w:val="superscript"/>
        </w:rPr>
        <w:t>th</w:t>
      </w:r>
      <w:r w:rsidRPr="000A5753">
        <w:rPr>
          <w:rFonts w:eastAsiaTheme="minorHAnsi" w:cs="Arial"/>
          <w:color w:val="000000" w:themeColor="text1"/>
          <w:spacing w:val="0"/>
          <w:sz w:val="22"/>
          <w:szCs w:val="22"/>
        </w:rPr>
        <w:t xml:space="preserve"> December reiterated that view.  Both increases reflected a split vote, the latter by 6 votes to 3, with the minority grouping voting for an increase of 0.25% as concerns about “sticky” inflation remained in place.  </w:t>
      </w:r>
    </w:p>
    <w:p w14:paraId="0FBC98DD" w14:textId="77777777" w:rsidR="004443C7" w:rsidRPr="000A5753" w:rsidRDefault="004443C7" w:rsidP="004443C7">
      <w:pPr>
        <w:rPr>
          <w:rFonts w:eastAsiaTheme="minorHAnsi" w:cs="Arial"/>
          <w:color w:val="000000" w:themeColor="text1"/>
          <w:spacing w:val="0"/>
          <w:sz w:val="22"/>
          <w:szCs w:val="22"/>
        </w:rPr>
      </w:pPr>
    </w:p>
    <w:p w14:paraId="68677037" w14:textId="77777777" w:rsidR="004443C7" w:rsidRDefault="00B21198" w:rsidP="004443C7">
      <w:pPr>
        <w:rPr>
          <w:rFonts w:eastAsiaTheme="minorHAnsi" w:cs="Arial"/>
          <w:color w:val="000000" w:themeColor="text1"/>
          <w:spacing w:val="0"/>
          <w:sz w:val="22"/>
          <w:szCs w:val="22"/>
        </w:rPr>
      </w:pPr>
      <w:r w:rsidRPr="000A5753">
        <w:rPr>
          <w:rFonts w:eastAsiaTheme="minorHAnsi" w:cs="Arial"/>
          <w:color w:val="000000" w:themeColor="text1"/>
          <w:spacing w:val="0"/>
          <w:sz w:val="22"/>
          <w:szCs w:val="22"/>
        </w:rPr>
        <w:t xml:space="preserve">Nonetheless, with UK CPI inflation now at 3.9%, and core inflating beginning to moderate (5.1%), markets are voicing a view that rate cuts should begin in Q1 2024/25, some way ahead of the </w:t>
      </w:r>
    </w:p>
    <w:p w14:paraId="7A7CD114" w14:textId="77777777" w:rsidR="004443C7" w:rsidRDefault="004443C7" w:rsidP="004443C7">
      <w:pPr>
        <w:rPr>
          <w:rFonts w:eastAsiaTheme="minorHAnsi" w:cs="Arial"/>
          <w:color w:val="000000" w:themeColor="text1"/>
          <w:spacing w:val="0"/>
          <w:sz w:val="22"/>
          <w:szCs w:val="22"/>
        </w:rPr>
      </w:pPr>
    </w:p>
    <w:p w14:paraId="73090D3A" w14:textId="6348CA11" w:rsidR="00B21198" w:rsidRPr="000A5753" w:rsidRDefault="00B21198" w:rsidP="004443C7">
      <w:pPr>
        <w:rPr>
          <w:rFonts w:eastAsiaTheme="minorHAnsi" w:cs="Arial"/>
          <w:color w:val="000000" w:themeColor="text1"/>
          <w:spacing w:val="0"/>
          <w:sz w:val="22"/>
          <w:szCs w:val="22"/>
        </w:rPr>
      </w:pPr>
      <w:r w:rsidRPr="000A5753">
        <w:rPr>
          <w:rFonts w:eastAsiaTheme="minorHAnsi" w:cs="Arial"/>
          <w:color w:val="000000" w:themeColor="text1"/>
          <w:spacing w:val="0"/>
          <w:sz w:val="22"/>
          <w:szCs w:val="22"/>
        </w:rPr>
        <w:t>indications from MPC members.  Of course, the data will be the ultimate determinant, so upcoming publications of employment, wages and inflation numbers will be of particular importance, and on-going volatility in Bank Rate expectations and the gilt yield curve can be expected.</w:t>
      </w:r>
    </w:p>
    <w:p w14:paraId="0E26FBA4" w14:textId="77777777" w:rsidR="00B21198" w:rsidRDefault="00B21198" w:rsidP="004443C7">
      <w:pPr>
        <w:jc w:val="both"/>
        <w:rPr>
          <w:rFonts w:eastAsia="Arial" w:cs="Arial"/>
          <w:color w:val="000000" w:themeColor="text1"/>
          <w:spacing w:val="0"/>
          <w:sz w:val="22"/>
          <w:szCs w:val="22"/>
          <w:lang w:val="en-AU"/>
        </w:rPr>
      </w:pPr>
    </w:p>
    <w:p w14:paraId="55AED1DC" w14:textId="047ADE20" w:rsidR="008A603C" w:rsidRPr="00D26131" w:rsidRDefault="00B21198" w:rsidP="004443C7">
      <w:pPr>
        <w:rPr>
          <w:rFonts w:eastAsia="Arial" w:cs="Arial"/>
          <w:bCs/>
          <w:color w:val="1D1B11"/>
          <w:spacing w:val="0"/>
          <w:sz w:val="22"/>
          <w:szCs w:val="22"/>
          <w:highlight w:val="yellow"/>
        </w:rPr>
      </w:pPr>
      <w:r w:rsidRPr="000A5753">
        <w:rPr>
          <w:rFonts w:eastAsia="Arial" w:cs="Arial"/>
          <w:color w:val="000000" w:themeColor="text1"/>
          <w:spacing w:val="0"/>
          <w:sz w:val="22"/>
          <w:szCs w:val="22"/>
          <w:lang w:val="en-AU"/>
        </w:rPr>
        <w:t>In addition, what happens outside of the UK is also critical to movement in gilt yields.  The US FOMC has kept short-term rates in the range of 5.25%-5.50%, whilst the ECB has moved its Deposit rate to a probable peak of 4%.  Markets currently expect both central banks to start cutting rates in 2024</w:t>
      </w:r>
      <w:r>
        <w:rPr>
          <w:rFonts w:eastAsia="Arial" w:cs="Arial"/>
          <w:color w:val="000000" w:themeColor="text1"/>
          <w:spacing w:val="0"/>
          <w:sz w:val="22"/>
          <w:szCs w:val="22"/>
          <w:lang w:val="en-AU"/>
        </w:rPr>
        <w:t>.</w:t>
      </w:r>
    </w:p>
    <w:bookmarkEnd w:id="25"/>
    <w:p w14:paraId="2FD024C7" w14:textId="77777777" w:rsidR="008A603C" w:rsidRPr="00D26131" w:rsidRDefault="008A603C" w:rsidP="004443C7">
      <w:pPr>
        <w:numPr>
          <w:ilvl w:val="12"/>
          <w:numId w:val="0"/>
        </w:numPr>
        <w:ind w:left="284" w:hanging="284"/>
        <w:rPr>
          <w:rFonts w:eastAsia="MS Mincho" w:cs="Arial"/>
          <w:b/>
          <w:color w:val="0D0D0D"/>
          <w:spacing w:val="0"/>
          <w:sz w:val="22"/>
          <w:szCs w:val="22"/>
          <w:highlight w:val="yellow"/>
          <w:lang w:eastAsia="ja-JP"/>
        </w:rPr>
      </w:pPr>
    </w:p>
    <w:p w14:paraId="5F1FA5FB" w14:textId="77777777" w:rsidR="00023023" w:rsidRPr="00D26131" w:rsidRDefault="00023023" w:rsidP="004443C7">
      <w:pPr>
        <w:rPr>
          <w:rFonts w:cs="Arial"/>
          <w:b/>
          <w:noProof/>
          <w:color w:val="993366"/>
          <w:sz w:val="22"/>
          <w:szCs w:val="22"/>
          <w:highlight w:val="yellow"/>
        </w:rPr>
      </w:pPr>
      <w:r w:rsidRPr="00D26131">
        <w:rPr>
          <w:rFonts w:cs="Arial"/>
          <w:b/>
          <w:noProof/>
          <w:color w:val="993366"/>
          <w:sz w:val="22"/>
          <w:szCs w:val="22"/>
          <w:highlight w:val="yellow"/>
        </w:rPr>
        <w:br w:type="page"/>
      </w:r>
    </w:p>
    <w:p w14:paraId="410568E5" w14:textId="77777777" w:rsidR="00D54B27" w:rsidRPr="004443C7" w:rsidRDefault="00D54B27" w:rsidP="00334294">
      <w:pPr>
        <w:pStyle w:val="BodyText2"/>
        <w:jc w:val="both"/>
        <w:rPr>
          <w:rFonts w:ascii="Arial" w:hAnsi="Arial" w:cs="Arial"/>
          <w:b/>
          <w:noProof/>
          <w:color w:val="993366"/>
          <w:spacing w:val="-5"/>
          <w:szCs w:val="22"/>
        </w:rPr>
      </w:pPr>
    </w:p>
    <w:p w14:paraId="6DE9E40E" w14:textId="74598463" w:rsidR="00D54B27" w:rsidRPr="00E51B6F" w:rsidRDefault="00334294" w:rsidP="00334294">
      <w:pPr>
        <w:pStyle w:val="BodyText2"/>
        <w:jc w:val="both"/>
        <w:rPr>
          <w:rFonts w:ascii="Arial" w:hAnsi="Arial" w:cs="Arial"/>
          <w:b/>
          <w:noProof/>
          <w:color w:val="993366"/>
          <w:sz w:val="28"/>
          <w:szCs w:val="28"/>
        </w:rPr>
      </w:pPr>
      <w:r w:rsidRPr="00E51B6F">
        <w:rPr>
          <w:rFonts w:ascii="Arial" w:hAnsi="Arial" w:cs="Arial"/>
          <w:b/>
          <w:noProof/>
          <w:color w:val="993366"/>
          <w:spacing w:val="-5"/>
          <w:sz w:val="28"/>
          <w:szCs w:val="28"/>
        </w:rPr>
        <w:t>A</w:t>
      </w:r>
      <w:r w:rsidR="00D54B27" w:rsidRPr="00E51B6F">
        <w:rPr>
          <w:rFonts w:ascii="Arial" w:hAnsi="Arial" w:cs="Arial"/>
          <w:b/>
          <w:noProof/>
          <w:color w:val="993366"/>
          <w:spacing w:val="-5"/>
          <w:sz w:val="28"/>
          <w:szCs w:val="28"/>
        </w:rPr>
        <w:t>NNEX</w:t>
      </w:r>
      <w:r w:rsidRPr="00E51B6F">
        <w:rPr>
          <w:rFonts w:ascii="Arial" w:hAnsi="Arial" w:cs="Arial"/>
          <w:b/>
          <w:noProof/>
          <w:color w:val="993366"/>
          <w:spacing w:val="-5"/>
          <w:sz w:val="28"/>
          <w:szCs w:val="28"/>
        </w:rPr>
        <w:t xml:space="preserve"> D</w:t>
      </w:r>
      <w:r w:rsidR="00D54B27" w:rsidRPr="00E51B6F">
        <w:rPr>
          <w:rFonts w:ascii="Arial" w:hAnsi="Arial" w:cs="Arial"/>
          <w:b/>
          <w:noProof/>
          <w:color w:val="993366"/>
          <w:spacing w:val="-5"/>
          <w:sz w:val="28"/>
          <w:szCs w:val="28"/>
        </w:rPr>
        <w:t xml:space="preserve">: </w:t>
      </w:r>
      <w:r w:rsidRPr="00E51B6F">
        <w:rPr>
          <w:rFonts w:ascii="Arial" w:hAnsi="Arial" w:cs="Arial"/>
          <w:b/>
          <w:noProof/>
          <w:color w:val="993366"/>
          <w:sz w:val="28"/>
          <w:szCs w:val="28"/>
        </w:rPr>
        <w:t>TRE</w:t>
      </w:r>
      <w:r w:rsidR="00C723E5" w:rsidRPr="00E51B6F">
        <w:rPr>
          <w:rFonts w:ascii="Arial" w:hAnsi="Arial" w:cs="Arial"/>
          <w:b/>
          <w:noProof/>
          <w:color w:val="993366"/>
          <w:sz w:val="28"/>
          <w:szCs w:val="28"/>
        </w:rPr>
        <w:t>ASURY MANAGEMENT PRACTICE</w:t>
      </w:r>
    </w:p>
    <w:p w14:paraId="40A71FA2" w14:textId="77777777" w:rsidR="00D54B27" w:rsidRDefault="00D54B27" w:rsidP="00334294">
      <w:pPr>
        <w:pStyle w:val="BodyText2"/>
        <w:jc w:val="both"/>
        <w:rPr>
          <w:rFonts w:ascii="Arial" w:hAnsi="Arial" w:cs="Arial"/>
          <w:b/>
          <w:noProof/>
          <w:color w:val="993366"/>
          <w:sz w:val="28"/>
          <w:szCs w:val="28"/>
        </w:rPr>
      </w:pPr>
    </w:p>
    <w:p w14:paraId="23FB25BB" w14:textId="40DEDBE8" w:rsidR="00334294" w:rsidRPr="00D54B27" w:rsidRDefault="00334294" w:rsidP="00334294">
      <w:pPr>
        <w:pStyle w:val="BodyText2"/>
        <w:jc w:val="both"/>
        <w:rPr>
          <w:rFonts w:ascii="Arial" w:hAnsi="Arial" w:cs="Arial"/>
          <w:b/>
          <w:noProof/>
          <w:color w:val="993366"/>
          <w:spacing w:val="-5"/>
          <w:sz w:val="32"/>
          <w:szCs w:val="32"/>
        </w:rPr>
      </w:pPr>
      <w:r w:rsidRPr="002D57F6">
        <w:rPr>
          <w:rFonts w:ascii="Arial" w:hAnsi="Arial" w:cs="Arial"/>
          <w:b/>
          <w:noProof/>
          <w:color w:val="993366"/>
          <w:sz w:val="28"/>
          <w:szCs w:val="28"/>
        </w:rPr>
        <w:t>PERMITTED INVESTMENTS</w:t>
      </w:r>
      <w:r w:rsidR="00C723E5" w:rsidRPr="002D57F6">
        <w:rPr>
          <w:rFonts w:ascii="Arial" w:hAnsi="Arial" w:cs="Arial"/>
          <w:b/>
          <w:noProof/>
          <w:color w:val="993366"/>
          <w:sz w:val="28"/>
          <w:szCs w:val="28"/>
        </w:rPr>
        <w:t>, ASSOCIATED CONTROLS AND LIMITS</w:t>
      </w:r>
      <w:r w:rsidRPr="002D57F6">
        <w:rPr>
          <w:rFonts w:ascii="Arial" w:hAnsi="Arial" w:cs="Arial"/>
          <w:b/>
          <w:noProof/>
          <w:color w:val="993366"/>
          <w:sz w:val="28"/>
          <w:szCs w:val="28"/>
        </w:rPr>
        <w:t xml:space="preserve"> </w:t>
      </w:r>
    </w:p>
    <w:p w14:paraId="74E3357F" w14:textId="77777777" w:rsidR="00334294" w:rsidRPr="00D26131" w:rsidRDefault="00334294" w:rsidP="00923237">
      <w:pPr>
        <w:autoSpaceDE w:val="0"/>
        <w:autoSpaceDN w:val="0"/>
        <w:adjustRightInd w:val="0"/>
        <w:ind w:left="180"/>
        <w:jc w:val="both"/>
        <w:rPr>
          <w:rFonts w:cs="Arial"/>
          <w:b/>
          <w:sz w:val="22"/>
          <w:szCs w:val="22"/>
          <w:highlight w:val="yellow"/>
        </w:rPr>
      </w:pPr>
    </w:p>
    <w:p w14:paraId="4B883CAD" w14:textId="77777777" w:rsidR="00334294" w:rsidRPr="00597ACC" w:rsidRDefault="00334294" w:rsidP="00EA5F9C">
      <w:pPr>
        <w:autoSpaceDE w:val="0"/>
        <w:autoSpaceDN w:val="0"/>
        <w:adjustRightInd w:val="0"/>
        <w:jc w:val="both"/>
        <w:rPr>
          <w:rFonts w:cs="Arial"/>
          <w:b/>
          <w:sz w:val="22"/>
          <w:szCs w:val="22"/>
        </w:rPr>
      </w:pPr>
      <w:r w:rsidRPr="00597ACC">
        <w:rPr>
          <w:rFonts w:cs="Arial"/>
          <w:sz w:val="22"/>
          <w:szCs w:val="22"/>
        </w:rPr>
        <w:t xml:space="preserve">This Council approves the following forms of investment instrument for use as permitted investments </w:t>
      </w:r>
    </w:p>
    <w:p w14:paraId="448C9649" w14:textId="77777777" w:rsidR="00334294" w:rsidRPr="00597ACC" w:rsidRDefault="00334294" w:rsidP="00923237">
      <w:pPr>
        <w:autoSpaceDE w:val="0"/>
        <w:autoSpaceDN w:val="0"/>
        <w:adjustRightInd w:val="0"/>
        <w:ind w:left="180"/>
        <w:jc w:val="both"/>
        <w:rPr>
          <w:rFonts w:cs="Arial"/>
          <w:b/>
          <w:sz w:val="22"/>
          <w:szCs w:val="22"/>
        </w:rPr>
      </w:pPr>
    </w:p>
    <w:p w14:paraId="606E3566" w14:textId="77777777" w:rsidR="00334294" w:rsidRPr="00597ACC" w:rsidRDefault="00334294" w:rsidP="00334294">
      <w:pPr>
        <w:jc w:val="both"/>
        <w:rPr>
          <w:rFonts w:cs="Arial"/>
          <w:b/>
          <w:iCs/>
          <w:sz w:val="22"/>
          <w:szCs w:val="22"/>
        </w:rPr>
      </w:pPr>
      <w:r w:rsidRPr="00597ACC">
        <w:rPr>
          <w:rFonts w:cs="Arial"/>
          <w:b/>
          <w:iCs/>
          <w:sz w:val="22"/>
          <w:szCs w:val="22"/>
        </w:rPr>
        <w:t>Treasury risks</w:t>
      </w:r>
    </w:p>
    <w:p w14:paraId="7F0383CF" w14:textId="77777777" w:rsidR="00334294" w:rsidRPr="00597ACC" w:rsidRDefault="00334294" w:rsidP="00334294">
      <w:pPr>
        <w:numPr>
          <w:ilvl w:val="12"/>
          <w:numId w:val="0"/>
        </w:numPr>
        <w:tabs>
          <w:tab w:val="left" w:pos="360"/>
        </w:tabs>
        <w:jc w:val="both"/>
        <w:rPr>
          <w:rFonts w:cs="Arial"/>
          <w:sz w:val="22"/>
          <w:szCs w:val="22"/>
        </w:rPr>
      </w:pPr>
      <w:r w:rsidRPr="00597ACC">
        <w:rPr>
          <w:rFonts w:cs="Arial"/>
          <w:sz w:val="22"/>
          <w:szCs w:val="22"/>
        </w:rPr>
        <w:t xml:space="preserve">All the investment instruments are subject to the following risks: - </w:t>
      </w:r>
    </w:p>
    <w:p w14:paraId="44E4A2C5" w14:textId="77777777" w:rsidR="00334294" w:rsidRPr="00597ACC" w:rsidRDefault="00334294" w:rsidP="00923237">
      <w:pPr>
        <w:autoSpaceDE w:val="0"/>
        <w:autoSpaceDN w:val="0"/>
        <w:adjustRightInd w:val="0"/>
        <w:ind w:left="180"/>
        <w:jc w:val="both"/>
        <w:rPr>
          <w:rFonts w:cs="Arial"/>
          <w:b/>
          <w:sz w:val="22"/>
          <w:szCs w:val="22"/>
        </w:rPr>
      </w:pPr>
    </w:p>
    <w:p w14:paraId="1245421A" w14:textId="03F296E3" w:rsidR="00257324" w:rsidRPr="00597ACC" w:rsidRDefault="00257324" w:rsidP="00D54B27">
      <w:pPr>
        <w:numPr>
          <w:ilvl w:val="0"/>
          <w:numId w:val="36"/>
        </w:numPr>
        <w:autoSpaceDE w:val="0"/>
        <w:autoSpaceDN w:val="0"/>
        <w:adjustRightInd w:val="0"/>
        <w:rPr>
          <w:rFonts w:cs="Arial"/>
          <w:sz w:val="22"/>
          <w:szCs w:val="22"/>
        </w:rPr>
      </w:pPr>
      <w:r w:rsidRPr="00597ACC">
        <w:rPr>
          <w:rFonts w:cs="Arial"/>
          <w:b/>
          <w:sz w:val="22"/>
          <w:szCs w:val="22"/>
        </w:rPr>
        <w:t>Credit and counter-party risk:</w:t>
      </w:r>
      <w:r w:rsidRPr="00597ACC">
        <w:rPr>
          <w:rFonts w:cs="Arial"/>
          <w:sz w:val="22"/>
          <w:szCs w:val="22"/>
        </w:rPr>
        <w:t xml:space="preserve"> this is the risk of failure by a counterparty (bank or building society) to meet its contractual obligations to the organisation particularly </w:t>
      </w:r>
      <w:r w:rsidR="00D54B27" w:rsidRPr="00597ACC">
        <w:rPr>
          <w:rFonts w:cs="Arial"/>
          <w:sz w:val="22"/>
          <w:szCs w:val="22"/>
        </w:rPr>
        <w:t>because of</w:t>
      </w:r>
      <w:r w:rsidRPr="00597ACC">
        <w:rPr>
          <w:rFonts w:cs="Arial"/>
          <w:sz w:val="22"/>
          <w:szCs w:val="22"/>
        </w:rPr>
        <w:t xml:space="preserve"> the counterparty’s diminished creditworthiness, and the resulting detrimental effect on the organisation’s capital or current (revenue) resources. There are no counterparties where this risk is zero although AAA rated organisations have the highest, relative, level of creditworthiness.</w:t>
      </w:r>
    </w:p>
    <w:p w14:paraId="06058D75" w14:textId="77777777" w:rsidR="00257324" w:rsidRPr="00597ACC" w:rsidRDefault="00257324" w:rsidP="00257324">
      <w:pPr>
        <w:autoSpaceDE w:val="0"/>
        <w:autoSpaceDN w:val="0"/>
        <w:adjustRightInd w:val="0"/>
        <w:ind w:left="360"/>
        <w:jc w:val="both"/>
        <w:rPr>
          <w:rFonts w:cs="Arial"/>
          <w:sz w:val="22"/>
          <w:szCs w:val="22"/>
        </w:rPr>
      </w:pPr>
    </w:p>
    <w:p w14:paraId="1E1062D9" w14:textId="77777777" w:rsidR="00257324" w:rsidRPr="00597ACC" w:rsidRDefault="00257324" w:rsidP="00D54B27">
      <w:pPr>
        <w:numPr>
          <w:ilvl w:val="0"/>
          <w:numId w:val="36"/>
        </w:numPr>
        <w:autoSpaceDE w:val="0"/>
        <w:autoSpaceDN w:val="0"/>
        <w:adjustRightInd w:val="0"/>
        <w:rPr>
          <w:rFonts w:cs="Arial"/>
          <w:sz w:val="22"/>
          <w:szCs w:val="22"/>
        </w:rPr>
      </w:pPr>
      <w:r w:rsidRPr="00597ACC">
        <w:rPr>
          <w:rFonts w:cs="Arial"/>
          <w:b/>
          <w:sz w:val="22"/>
          <w:szCs w:val="22"/>
        </w:rPr>
        <w:t>Liquidity risk:</w:t>
      </w:r>
      <w:r w:rsidRPr="00597ACC">
        <w:rPr>
          <w:rFonts w:cs="Arial"/>
          <w:sz w:val="22"/>
          <w:szCs w:val="22"/>
        </w:rPr>
        <w:t xml:space="preserve"> this is the risk that cash will not be available when it is needed.   While it could be said that all counterparties are subject to at least a very small level of liquidity risk as credit risk can never be zero, in this document, liquidity risk has been treated as whether or not instant access to cash can be obtained from each form of investment instrument.  However, it has to be pointed out that while some forms of investment e.g. gilts, CDs, corporate bonds can usually be sold immediately if the need arises, there are two caveats: - a.  cash may not be available until a settlement date up to three days after the sale  b.  there is an implied assumption that markets will not freeze up and so the instrument in question will find a ready buyer.  </w:t>
      </w:r>
    </w:p>
    <w:p w14:paraId="75ACF226" w14:textId="77777777" w:rsidR="00257324" w:rsidRPr="00597ACC" w:rsidRDefault="00257324" w:rsidP="00257324">
      <w:pPr>
        <w:autoSpaceDE w:val="0"/>
        <w:autoSpaceDN w:val="0"/>
        <w:adjustRightInd w:val="0"/>
        <w:jc w:val="both"/>
        <w:rPr>
          <w:rFonts w:cs="Arial"/>
          <w:sz w:val="22"/>
          <w:szCs w:val="22"/>
        </w:rPr>
      </w:pPr>
    </w:p>
    <w:p w14:paraId="06D29B69" w14:textId="77777777" w:rsidR="00257324" w:rsidRPr="00597ACC" w:rsidRDefault="00257324" w:rsidP="00D54B27">
      <w:pPr>
        <w:numPr>
          <w:ilvl w:val="0"/>
          <w:numId w:val="36"/>
        </w:numPr>
        <w:autoSpaceDE w:val="0"/>
        <w:autoSpaceDN w:val="0"/>
        <w:adjustRightInd w:val="0"/>
        <w:rPr>
          <w:rFonts w:cs="Arial"/>
          <w:sz w:val="22"/>
          <w:szCs w:val="22"/>
        </w:rPr>
      </w:pPr>
      <w:r w:rsidRPr="00597ACC">
        <w:rPr>
          <w:rFonts w:cs="Arial"/>
          <w:b/>
          <w:sz w:val="22"/>
          <w:szCs w:val="22"/>
        </w:rPr>
        <w:t>Market risk:</w:t>
      </w:r>
      <w:r w:rsidRPr="00597ACC">
        <w:rPr>
          <w:rFonts w:cs="Arial"/>
          <w:sz w:val="22"/>
          <w:szCs w:val="22"/>
        </w:rPr>
        <w:t xml:space="preserve"> this is the risk that, through adverse market fluctuations in the value of the principal sums an organisation borrows and invests, its stated treasury management policies and objectives are compromised, against which effects it has failed to protect itself adequately.  However, some cash rich local authorities may positively want exposure to market risk e.g. those investing in investment instruments with a view to obtaining a </w:t>
      </w:r>
      <w:proofErr w:type="gramStart"/>
      <w:r w:rsidRPr="00597ACC">
        <w:rPr>
          <w:rFonts w:cs="Arial"/>
          <w:sz w:val="22"/>
          <w:szCs w:val="22"/>
        </w:rPr>
        <w:t>long term</w:t>
      </w:r>
      <w:proofErr w:type="gramEnd"/>
      <w:r w:rsidRPr="00597ACC">
        <w:rPr>
          <w:rFonts w:cs="Arial"/>
          <w:sz w:val="22"/>
          <w:szCs w:val="22"/>
        </w:rPr>
        <w:t xml:space="preserve"> increase in value.</w:t>
      </w:r>
    </w:p>
    <w:p w14:paraId="58A0CB82" w14:textId="77777777" w:rsidR="00257324" w:rsidRPr="00597ACC" w:rsidRDefault="00257324" w:rsidP="00257324">
      <w:pPr>
        <w:autoSpaceDE w:val="0"/>
        <w:autoSpaceDN w:val="0"/>
        <w:adjustRightInd w:val="0"/>
        <w:jc w:val="both"/>
        <w:rPr>
          <w:rFonts w:cs="Arial"/>
          <w:sz w:val="22"/>
          <w:szCs w:val="22"/>
        </w:rPr>
      </w:pPr>
    </w:p>
    <w:p w14:paraId="2BAC1531" w14:textId="77777777" w:rsidR="00257324" w:rsidRPr="00597ACC" w:rsidRDefault="00257324" w:rsidP="00D54B27">
      <w:pPr>
        <w:numPr>
          <w:ilvl w:val="0"/>
          <w:numId w:val="36"/>
        </w:numPr>
        <w:autoSpaceDE w:val="0"/>
        <w:autoSpaceDN w:val="0"/>
        <w:adjustRightInd w:val="0"/>
        <w:rPr>
          <w:rFonts w:cs="Arial"/>
          <w:sz w:val="22"/>
          <w:szCs w:val="22"/>
        </w:rPr>
      </w:pPr>
      <w:r w:rsidRPr="00597ACC">
        <w:rPr>
          <w:rFonts w:cs="Arial"/>
          <w:b/>
          <w:sz w:val="22"/>
          <w:szCs w:val="22"/>
        </w:rPr>
        <w:t>Interest rate risk</w:t>
      </w:r>
      <w:r w:rsidRPr="00597ACC">
        <w:rPr>
          <w:rFonts w:cs="Arial"/>
          <w:sz w:val="22"/>
          <w:szCs w:val="22"/>
        </w:rPr>
        <w:t xml:space="preserve">: this is the risk that fluctuations in the levels of interest rates create an unexpected or unbudgeted burden on the organisation’s finances, against which the organisation has failed to protect itself adequately.  This authority has set limits for its fixed and variable rate exposure in its Treasury Indicators in this report.  </w:t>
      </w:r>
    </w:p>
    <w:p w14:paraId="03B5BFE9" w14:textId="77777777" w:rsidR="001E77AB" w:rsidRPr="00D26131" w:rsidRDefault="001E77AB" w:rsidP="001E77AB">
      <w:pPr>
        <w:autoSpaceDE w:val="0"/>
        <w:autoSpaceDN w:val="0"/>
        <w:adjustRightInd w:val="0"/>
        <w:jc w:val="both"/>
        <w:rPr>
          <w:rFonts w:cs="Arial"/>
          <w:sz w:val="22"/>
          <w:szCs w:val="22"/>
          <w:highlight w:val="yellow"/>
        </w:rPr>
      </w:pPr>
    </w:p>
    <w:p w14:paraId="6E900F94" w14:textId="77777777" w:rsidR="00257324" w:rsidRPr="00597ACC" w:rsidRDefault="00257324" w:rsidP="00D54B27">
      <w:pPr>
        <w:numPr>
          <w:ilvl w:val="0"/>
          <w:numId w:val="36"/>
        </w:numPr>
        <w:autoSpaceDE w:val="0"/>
        <w:autoSpaceDN w:val="0"/>
        <w:adjustRightInd w:val="0"/>
        <w:rPr>
          <w:rFonts w:cs="Arial"/>
          <w:sz w:val="22"/>
          <w:szCs w:val="22"/>
        </w:rPr>
      </w:pPr>
      <w:r w:rsidRPr="00597ACC">
        <w:rPr>
          <w:rFonts w:cs="Arial"/>
          <w:b/>
          <w:sz w:val="22"/>
          <w:szCs w:val="22"/>
        </w:rPr>
        <w:t>Legal and regulatory risk:</w:t>
      </w:r>
      <w:r w:rsidRPr="00597ACC">
        <w:rPr>
          <w:rFonts w:cs="Arial"/>
          <w:sz w:val="22"/>
          <w:szCs w:val="22"/>
        </w:rPr>
        <w:t xml:space="preserve"> this is the risk that the organisation itself, or an organisation with which it is dealing in its treasury management activities, fails to act in accordance with its legal powers or regulatory requirements, and that the organisation suffers losses accordingly.  </w:t>
      </w:r>
    </w:p>
    <w:p w14:paraId="27B29AFA" w14:textId="77777777" w:rsidR="00182D61" w:rsidRPr="00D26131" w:rsidRDefault="00182D61" w:rsidP="00182D61">
      <w:pPr>
        <w:autoSpaceDE w:val="0"/>
        <w:autoSpaceDN w:val="0"/>
        <w:adjustRightInd w:val="0"/>
        <w:jc w:val="both"/>
        <w:rPr>
          <w:rFonts w:cs="Arial"/>
          <w:sz w:val="22"/>
          <w:szCs w:val="22"/>
          <w:highlight w:val="yellow"/>
        </w:rPr>
      </w:pPr>
    </w:p>
    <w:p w14:paraId="09F02631" w14:textId="77777777" w:rsidR="00182D61" w:rsidRPr="00597ACC" w:rsidRDefault="00182D61" w:rsidP="00182D61">
      <w:pPr>
        <w:numPr>
          <w:ilvl w:val="12"/>
          <w:numId w:val="0"/>
        </w:numPr>
        <w:tabs>
          <w:tab w:val="left" w:pos="360"/>
        </w:tabs>
        <w:spacing w:after="180"/>
        <w:jc w:val="both"/>
        <w:rPr>
          <w:rFonts w:cs="Arial"/>
          <w:b/>
          <w:sz w:val="22"/>
          <w:szCs w:val="22"/>
        </w:rPr>
      </w:pPr>
      <w:r w:rsidRPr="00597ACC">
        <w:rPr>
          <w:rFonts w:cs="Arial"/>
          <w:b/>
          <w:sz w:val="22"/>
          <w:szCs w:val="22"/>
        </w:rPr>
        <w:t>Controls on treasury risks</w:t>
      </w:r>
    </w:p>
    <w:p w14:paraId="5CF5D035" w14:textId="77777777" w:rsidR="00182D61" w:rsidRPr="002D57F6" w:rsidRDefault="00182D61" w:rsidP="00D54B27">
      <w:pPr>
        <w:numPr>
          <w:ilvl w:val="0"/>
          <w:numId w:val="38"/>
        </w:numPr>
        <w:autoSpaceDE w:val="0"/>
        <w:autoSpaceDN w:val="0"/>
        <w:adjustRightInd w:val="0"/>
        <w:rPr>
          <w:rFonts w:cs="Arial"/>
          <w:sz w:val="22"/>
          <w:szCs w:val="22"/>
        </w:rPr>
      </w:pPr>
      <w:r w:rsidRPr="00597ACC">
        <w:rPr>
          <w:rFonts w:cs="Arial"/>
          <w:b/>
          <w:sz w:val="22"/>
          <w:szCs w:val="22"/>
        </w:rPr>
        <w:t>Credit and counter-party risk:</w:t>
      </w:r>
      <w:r w:rsidRPr="00597ACC">
        <w:rPr>
          <w:rFonts w:cs="Arial"/>
          <w:sz w:val="22"/>
          <w:szCs w:val="22"/>
        </w:rPr>
        <w:t xml:space="preserve"> this authority has set minimum credit criteria to determine which counterparties and countries are of sufficiently high creditworthiness to be considered for investment purposes.  See </w:t>
      </w:r>
      <w:r w:rsidRPr="002D57F6">
        <w:rPr>
          <w:rFonts w:cs="Arial"/>
          <w:sz w:val="22"/>
          <w:szCs w:val="22"/>
        </w:rPr>
        <w:t xml:space="preserve">paragraphs </w:t>
      </w:r>
      <w:r w:rsidR="00BD43A0" w:rsidRPr="002D57F6">
        <w:rPr>
          <w:rFonts w:cs="Arial"/>
          <w:sz w:val="22"/>
          <w:szCs w:val="22"/>
        </w:rPr>
        <w:t>5.3</w:t>
      </w:r>
      <w:r w:rsidRPr="002D57F6">
        <w:rPr>
          <w:rFonts w:cs="Arial"/>
          <w:sz w:val="22"/>
          <w:szCs w:val="22"/>
        </w:rPr>
        <w:t xml:space="preserve"> and </w:t>
      </w:r>
      <w:r w:rsidR="00BD43A0" w:rsidRPr="002D57F6">
        <w:rPr>
          <w:rFonts w:cs="Arial"/>
          <w:sz w:val="22"/>
          <w:szCs w:val="22"/>
        </w:rPr>
        <w:t>5.4</w:t>
      </w:r>
      <w:r w:rsidRPr="002D57F6">
        <w:rPr>
          <w:rFonts w:cs="Arial"/>
          <w:sz w:val="22"/>
          <w:szCs w:val="22"/>
        </w:rPr>
        <w:t>.</w:t>
      </w:r>
    </w:p>
    <w:p w14:paraId="5D417A1D" w14:textId="77777777" w:rsidR="00182D61" w:rsidRPr="00597ACC" w:rsidRDefault="00182D61" w:rsidP="00182D61">
      <w:pPr>
        <w:autoSpaceDE w:val="0"/>
        <w:autoSpaceDN w:val="0"/>
        <w:adjustRightInd w:val="0"/>
        <w:ind w:left="360"/>
        <w:jc w:val="both"/>
        <w:rPr>
          <w:rFonts w:cs="Arial"/>
          <w:sz w:val="22"/>
          <w:szCs w:val="22"/>
        </w:rPr>
      </w:pPr>
    </w:p>
    <w:p w14:paraId="33F683DA" w14:textId="77777777" w:rsidR="00182D61" w:rsidRPr="00597ACC" w:rsidRDefault="00182D61" w:rsidP="00D54B27">
      <w:pPr>
        <w:numPr>
          <w:ilvl w:val="0"/>
          <w:numId w:val="38"/>
        </w:numPr>
        <w:autoSpaceDE w:val="0"/>
        <w:autoSpaceDN w:val="0"/>
        <w:adjustRightInd w:val="0"/>
        <w:rPr>
          <w:rFonts w:cs="Arial"/>
          <w:sz w:val="22"/>
          <w:szCs w:val="22"/>
        </w:rPr>
      </w:pPr>
      <w:r w:rsidRPr="00597ACC">
        <w:rPr>
          <w:rFonts w:cs="Arial"/>
          <w:b/>
          <w:sz w:val="22"/>
          <w:szCs w:val="22"/>
        </w:rPr>
        <w:t>Liquidity risk:</w:t>
      </w:r>
      <w:r w:rsidRPr="00597ACC">
        <w:rPr>
          <w:rFonts w:cs="Arial"/>
          <w:sz w:val="22"/>
          <w:szCs w:val="22"/>
        </w:rPr>
        <w:t xml:space="preserve"> this authority has a cash flow forecasting model to enable it to determine how long investments can be made for and how much can be invested.</w:t>
      </w:r>
    </w:p>
    <w:p w14:paraId="132D0975" w14:textId="77777777" w:rsidR="00182D61" w:rsidRPr="00597ACC" w:rsidRDefault="00182D61" w:rsidP="00182D61">
      <w:pPr>
        <w:autoSpaceDE w:val="0"/>
        <w:autoSpaceDN w:val="0"/>
        <w:adjustRightInd w:val="0"/>
        <w:jc w:val="both"/>
        <w:rPr>
          <w:rFonts w:cs="Arial"/>
          <w:sz w:val="22"/>
          <w:szCs w:val="22"/>
        </w:rPr>
      </w:pPr>
    </w:p>
    <w:p w14:paraId="41D07704" w14:textId="77777777" w:rsidR="00182D61" w:rsidRPr="00597ACC" w:rsidRDefault="00182D61" w:rsidP="00D54B27">
      <w:pPr>
        <w:numPr>
          <w:ilvl w:val="0"/>
          <w:numId w:val="38"/>
        </w:numPr>
        <w:autoSpaceDE w:val="0"/>
        <w:autoSpaceDN w:val="0"/>
        <w:adjustRightInd w:val="0"/>
        <w:rPr>
          <w:rFonts w:cs="Arial"/>
          <w:sz w:val="22"/>
          <w:szCs w:val="22"/>
        </w:rPr>
      </w:pPr>
      <w:r w:rsidRPr="00597ACC">
        <w:rPr>
          <w:rFonts w:cs="Arial"/>
          <w:b/>
          <w:sz w:val="22"/>
          <w:szCs w:val="22"/>
        </w:rPr>
        <w:t>Market risk:</w:t>
      </w:r>
      <w:r w:rsidRPr="00597ACC">
        <w:rPr>
          <w:rFonts w:cs="Arial"/>
          <w:sz w:val="22"/>
          <w:szCs w:val="22"/>
        </w:rPr>
        <w:t xml:space="preserve"> this authority does not purchase investment instruments which are subject to market risk in terms of fluctuation in their value. </w:t>
      </w:r>
    </w:p>
    <w:p w14:paraId="7572A00E" w14:textId="77777777" w:rsidR="00182D61" w:rsidRPr="00597ACC" w:rsidRDefault="00182D61" w:rsidP="00182D61">
      <w:pPr>
        <w:autoSpaceDE w:val="0"/>
        <w:autoSpaceDN w:val="0"/>
        <w:adjustRightInd w:val="0"/>
        <w:jc w:val="both"/>
        <w:rPr>
          <w:rFonts w:cs="Arial"/>
          <w:sz w:val="22"/>
          <w:szCs w:val="22"/>
        </w:rPr>
      </w:pPr>
    </w:p>
    <w:p w14:paraId="49731D7D" w14:textId="77777777" w:rsidR="00182D61" w:rsidRPr="00A63AB7" w:rsidRDefault="00182D61" w:rsidP="00D54B27">
      <w:pPr>
        <w:numPr>
          <w:ilvl w:val="0"/>
          <w:numId w:val="38"/>
        </w:numPr>
        <w:autoSpaceDE w:val="0"/>
        <w:autoSpaceDN w:val="0"/>
        <w:adjustRightInd w:val="0"/>
        <w:rPr>
          <w:rFonts w:cs="Arial"/>
          <w:b/>
          <w:sz w:val="22"/>
          <w:szCs w:val="22"/>
        </w:rPr>
      </w:pPr>
      <w:r w:rsidRPr="00597ACC">
        <w:rPr>
          <w:rFonts w:cs="Arial"/>
          <w:b/>
          <w:sz w:val="22"/>
          <w:szCs w:val="22"/>
        </w:rPr>
        <w:t>Interest rate risk</w:t>
      </w:r>
      <w:r w:rsidRPr="00597ACC">
        <w:rPr>
          <w:rFonts w:cs="Arial"/>
          <w:sz w:val="22"/>
          <w:szCs w:val="22"/>
        </w:rPr>
        <w:t>: this authority manages this risk by having a view of the future course of interest rates and then formulating a treasury management strategy accordingly which aims to maximise investment earnings consistent with control of risk or alternatively, seeks to minimise expenditure on interest costs on borrowing</w:t>
      </w:r>
      <w:r w:rsidR="00B61F23" w:rsidRPr="00597ACC">
        <w:rPr>
          <w:rFonts w:cs="Arial"/>
          <w:sz w:val="22"/>
          <w:szCs w:val="22"/>
        </w:rPr>
        <w:t>.</w:t>
      </w:r>
      <w:r w:rsidR="005056B7" w:rsidRPr="00597ACC">
        <w:rPr>
          <w:rFonts w:cs="Arial"/>
          <w:sz w:val="22"/>
          <w:szCs w:val="22"/>
        </w:rPr>
        <w:t xml:space="preserve">  See </w:t>
      </w:r>
      <w:r w:rsidR="005056B7" w:rsidRPr="00A63AB7">
        <w:rPr>
          <w:rFonts w:cs="Arial"/>
          <w:sz w:val="22"/>
          <w:szCs w:val="22"/>
        </w:rPr>
        <w:t>paragraph 5.7.</w:t>
      </w:r>
    </w:p>
    <w:p w14:paraId="603F2D88" w14:textId="77777777" w:rsidR="00B61F23" w:rsidRDefault="00B61F23" w:rsidP="00B61F23">
      <w:pPr>
        <w:autoSpaceDE w:val="0"/>
        <w:autoSpaceDN w:val="0"/>
        <w:adjustRightInd w:val="0"/>
        <w:jc w:val="both"/>
        <w:rPr>
          <w:rFonts w:cs="Arial"/>
          <w:b/>
          <w:sz w:val="22"/>
          <w:szCs w:val="22"/>
        </w:rPr>
      </w:pPr>
    </w:p>
    <w:p w14:paraId="08C8E291" w14:textId="77777777" w:rsidR="004443C7" w:rsidRPr="00597ACC" w:rsidRDefault="004443C7" w:rsidP="00B61F23">
      <w:pPr>
        <w:autoSpaceDE w:val="0"/>
        <w:autoSpaceDN w:val="0"/>
        <w:adjustRightInd w:val="0"/>
        <w:jc w:val="both"/>
        <w:rPr>
          <w:rFonts w:cs="Arial"/>
          <w:b/>
          <w:sz w:val="22"/>
          <w:szCs w:val="22"/>
        </w:rPr>
      </w:pPr>
    </w:p>
    <w:p w14:paraId="72C2B489" w14:textId="77777777" w:rsidR="00182D61" w:rsidRPr="00597ACC" w:rsidRDefault="00182D61" w:rsidP="00D54B27">
      <w:pPr>
        <w:numPr>
          <w:ilvl w:val="0"/>
          <w:numId w:val="38"/>
        </w:numPr>
        <w:autoSpaceDE w:val="0"/>
        <w:autoSpaceDN w:val="0"/>
        <w:adjustRightInd w:val="0"/>
        <w:rPr>
          <w:rFonts w:cs="Arial"/>
          <w:b/>
          <w:sz w:val="22"/>
          <w:szCs w:val="22"/>
        </w:rPr>
      </w:pPr>
      <w:r w:rsidRPr="00597ACC">
        <w:rPr>
          <w:rFonts w:cs="Arial"/>
          <w:b/>
          <w:sz w:val="22"/>
          <w:szCs w:val="22"/>
        </w:rPr>
        <w:t>Legal and regulatory risk:</w:t>
      </w:r>
      <w:r w:rsidRPr="00597ACC">
        <w:rPr>
          <w:rFonts w:cs="Arial"/>
          <w:sz w:val="22"/>
          <w:szCs w:val="22"/>
        </w:rPr>
        <w:t xml:space="preserve"> this authority will not undertake any form of investing until it has ensured that it has all necessary powers and also complied with all regulations.  All types of investment instruments</w:t>
      </w:r>
    </w:p>
    <w:p w14:paraId="3294EED2" w14:textId="77777777" w:rsidR="00182D61" w:rsidRPr="00597ACC" w:rsidRDefault="00182D61" w:rsidP="00182D61">
      <w:pPr>
        <w:numPr>
          <w:ilvl w:val="12"/>
          <w:numId w:val="0"/>
        </w:numPr>
        <w:tabs>
          <w:tab w:val="left" w:pos="360"/>
        </w:tabs>
        <w:spacing w:before="180" w:after="90"/>
        <w:jc w:val="both"/>
        <w:rPr>
          <w:rFonts w:cs="Arial"/>
          <w:b/>
          <w:sz w:val="22"/>
          <w:szCs w:val="22"/>
        </w:rPr>
      </w:pPr>
      <w:r w:rsidRPr="00597ACC">
        <w:rPr>
          <w:rFonts w:cs="Arial"/>
          <w:b/>
          <w:sz w:val="22"/>
          <w:szCs w:val="22"/>
        </w:rPr>
        <w:t>Unlimited investments</w:t>
      </w:r>
    </w:p>
    <w:p w14:paraId="169ABC4B" w14:textId="77777777" w:rsidR="00182D61" w:rsidRPr="00597ACC" w:rsidRDefault="00182D61" w:rsidP="00D54B27">
      <w:pPr>
        <w:numPr>
          <w:ilvl w:val="12"/>
          <w:numId w:val="0"/>
        </w:numPr>
        <w:tabs>
          <w:tab w:val="left" w:pos="360"/>
        </w:tabs>
        <w:rPr>
          <w:rFonts w:cs="Arial"/>
          <w:sz w:val="22"/>
          <w:szCs w:val="22"/>
        </w:rPr>
      </w:pPr>
      <w:r w:rsidRPr="00597ACC">
        <w:rPr>
          <w:rFonts w:cs="Arial"/>
          <w:sz w:val="22"/>
          <w:szCs w:val="22"/>
        </w:rPr>
        <w:t>Regulation 24 states that an investment can be shown as being ‘unlimited’ in terms of the maximum amount or percentage of the total portfolio that can be put into that type of investment.  However, it also requires that an explanation must be given for using that category</w:t>
      </w:r>
      <w:r w:rsidR="00B61F23" w:rsidRPr="00597ACC">
        <w:rPr>
          <w:rFonts w:cs="Arial"/>
          <w:sz w:val="22"/>
          <w:szCs w:val="22"/>
        </w:rPr>
        <w:t xml:space="preserve">.  </w:t>
      </w:r>
      <w:r w:rsidRPr="00597ACC">
        <w:rPr>
          <w:rFonts w:cs="Arial"/>
          <w:sz w:val="22"/>
          <w:szCs w:val="22"/>
        </w:rPr>
        <w:t>The authority has given the following types of investment an unlimited category: -</w:t>
      </w:r>
    </w:p>
    <w:p w14:paraId="49364018" w14:textId="77777777" w:rsidR="00182D61" w:rsidRPr="00597ACC" w:rsidRDefault="00182D61" w:rsidP="00182D61">
      <w:pPr>
        <w:numPr>
          <w:ilvl w:val="12"/>
          <w:numId w:val="0"/>
        </w:numPr>
        <w:tabs>
          <w:tab w:val="left" w:pos="360"/>
        </w:tabs>
        <w:jc w:val="both"/>
        <w:rPr>
          <w:rFonts w:cs="Arial"/>
          <w:sz w:val="22"/>
          <w:szCs w:val="22"/>
        </w:rPr>
      </w:pPr>
    </w:p>
    <w:p w14:paraId="4145B10F" w14:textId="77777777" w:rsidR="00A624C8" w:rsidRDefault="00182D61" w:rsidP="00D54B27">
      <w:pPr>
        <w:numPr>
          <w:ilvl w:val="0"/>
          <w:numId w:val="37"/>
        </w:numPr>
        <w:tabs>
          <w:tab w:val="left" w:pos="360"/>
        </w:tabs>
        <w:ind w:left="714" w:hanging="357"/>
        <w:rPr>
          <w:rFonts w:cs="Arial"/>
          <w:sz w:val="22"/>
          <w:szCs w:val="22"/>
        </w:rPr>
      </w:pPr>
      <w:r w:rsidRPr="00597ACC">
        <w:rPr>
          <w:rFonts w:cs="Arial"/>
          <w:b/>
          <w:sz w:val="22"/>
          <w:szCs w:val="22"/>
        </w:rPr>
        <w:t>Debt Management Agency Deposit Facility.</w:t>
      </w:r>
      <w:r w:rsidRPr="00597ACC">
        <w:rPr>
          <w:rFonts w:cs="Arial"/>
          <w:sz w:val="22"/>
          <w:szCs w:val="22"/>
        </w:rPr>
        <w:t xml:space="preserve">  </w:t>
      </w:r>
      <w:r w:rsidR="00257324" w:rsidRPr="00597ACC">
        <w:rPr>
          <w:rFonts w:cs="Arial"/>
          <w:sz w:val="22"/>
          <w:szCs w:val="22"/>
        </w:rPr>
        <w:t>This offers the lowest risk form of investment available to local authorities as it is effectively an investment placed with the Government.  It is also easy to use as it is a deposit account and avoids the complications of buying and holding Government issued treasury bills or gilts.  As it is low risk it also earns low rates of interest.  However, it is very useful for authorities whose overriding priority is the avoidance of risk.  The longest period for a term deposit with the DMADF is 6 months</w:t>
      </w:r>
      <w:r w:rsidRPr="00597ACC">
        <w:rPr>
          <w:rFonts w:cs="Arial"/>
          <w:sz w:val="22"/>
          <w:szCs w:val="22"/>
        </w:rPr>
        <w:t>.</w:t>
      </w:r>
    </w:p>
    <w:p w14:paraId="29A66C36" w14:textId="77777777" w:rsidR="007E3CD3" w:rsidRDefault="007E3CD3" w:rsidP="007E3CD3">
      <w:pPr>
        <w:tabs>
          <w:tab w:val="left" w:pos="360"/>
        </w:tabs>
        <w:jc w:val="both"/>
        <w:rPr>
          <w:rFonts w:cs="Arial"/>
          <w:sz w:val="22"/>
          <w:szCs w:val="22"/>
        </w:rPr>
      </w:pPr>
    </w:p>
    <w:p w14:paraId="343EC281" w14:textId="77777777" w:rsidR="00A63AB7" w:rsidRDefault="00A63AB7" w:rsidP="00A63AB7">
      <w:pPr>
        <w:tabs>
          <w:tab w:val="left" w:pos="360"/>
        </w:tabs>
        <w:jc w:val="both"/>
        <w:rPr>
          <w:rFonts w:cs="Arial"/>
          <w:sz w:val="22"/>
          <w:szCs w:val="22"/>
        </w:rPr>
      </w:pPr>
      <w:r w:rsidRPr="00D07ABD">
        <w:rPr>
          <w:rFonts w:cs="Arial"/>
          <w:b/>
          <w:color w:val="000000"/>
          <w:sz w:val="22"/>
          <w:szCs w:val="22"/>
        </w:rPr>
        <w:t>Environmental, Social &amp; Governance (ESG) Considerations</w:t>
      </w:r>
      <w:r w:rsidRPr="00597ACC">
        <w:rPr>
          <w:rFonts w:cs="Arial"/>
          <w:sz w:val="22"/>
          <w:szCs w:val="22"/>
        </w:rPr>
        <w:t xml:space="preserve"> </w:t>
      </w:r>
    </w:p>
    <w:p w14:paraId="0C33324C" w14:textId="529EBF97" w:rsidR="00A63AB7" w:rsidRDefault="00A63AB7" w:rsidP="00D54B27">
      <w:pPr>
        <w:tabs>
          <w:tab w:val="left" w:pos="360"/>
        </w:tabs>
        <w:rPr>
          <w:rFonts w:cs="Arial"/>
          <w:bCs/>
          <w:color w:val="000000"/>
          <w:sz w:val="22"/>
          <w:szCs w:val="22"/>
        </w:rPr>
      </w:pPr>
      <w:r w:rsidRPr="00D07ABD">
        <w:rPr>
          <w:rFonts w:cs="Arial"/>
          <w:bCs/>
          <w:color w:val="000000"/>
          <w:sz w:val="22"/>
          <w:szCs w:val="22"/>
        </w:rPr>
        <w:t xml:space="preserve">This topic is becoming a more commonplace discussion within the wider investment community, including Local Authorities. While around two thirds of councils have declared a “climate emergency” to date, this has not translated into the incorporation of something more formal within their treasury-related </w:t>
      </w:r>
      <w:r>
        <w:rPr>
          <w:rFonts w:cs="Arial"/>
          <w:bCs/>
          <w:color w:val="000000"/>
          <w:sz w:val="22"/>
          <w:szCs w:val="22"/>
        </w:rPr>
        <w:t>Annual I</w:t>
      </w:r>
      <w:r w:rsidRPr="00D07ABD">
        <w:rPr>
          <w:rFonts w:cs="Arial"/>
          <w:bCs/>
          <w:color w:val="000000"/>
          <w:sz w:val="22"/>
          <w:szCs w:val="22"/>
        </w:rPr>
        <w:t xml:space="preserve">nvestment </w:t>
      </w:r>
      <w:r>
        <w:rPr>
          <w:rFonts w:cs="Arial"/>
          <w:bCs/>
          <w:color w:val="000000"/>
          <w:sz w:val="22"/>
          <w:szCs w:val="22"/>
        </w:rPr>
        <w:t>S</w:t>
      </w:r>
      <w:r w:rsidRPr="00D07ABD">
        <w:rPr>
          <w:rFonts w:cs="Arial"/>
          <w:bCs/>
          <w:color w:val="000000"/>
          <w:sz w:val="22"/>
          <w:szCs w:val="22"/>
        </w:rPr>
        <w:t xml:space="preserve">trategy. </w:t>
      </w:r>
      <w:r>
        <w:rPr>
          <w:rFonts w:cs="Arial"/>
          <w:bCs/>
          <w:color w:val="000000"/>
          <w:sz w:val="22"/>
          <w:szCs w:val="22"/>
        </w:rPr>
        <w:t>C</w:t>
      </w:r>
      <w:r w:rsidRPr="00D07ABD">
        <w:rPr>
          <w:rFonts w:cs="Arial"/>
          <w:bCs/>
          <w:color w:val="000000"/>
          <w:sz w:val="22"/>
          <w:szCs w:val="22"/>
        </w:rPr>
        <w:t>hanges to the CIPFA TM Code 202</w:t>
      </w:r>
      <w:r>
        <w:rPr>
          <w:rFonts w:cs="Arial"/>
          <w:bCs/>
          <w:color w:val="000000"/>
          <w:sz w:val="22"/>
          <w:szCs w:val="22"/>
        </w:rPr>
        <w:t>1</w:t>
      </w:r>
      <w:r w:rsidRPr="00D07ABD">
        <w:rPr>
          <w:rFonts w:cs="Arial"/>
          <w:bCs/>
          <w:color w:val="000000"/>
          <w:sz w:val="22"/>
          <w:szCs w:val="22"/>
        </w:rPr>
        <w:t xml:space="preserve"> </w:t>
      </w:r>
      <w:r>
        <w:rPr>
          <w:rFonts w:cs="Arial"/>
          <w:bCs/>
          <w:color w:val="000000"/>
          <w:sz w:val="22"/>
          <w:szCs w:val="22"/>
        </w:rPr>
        <w:t>will</w:t>
      </w:r>
      <w:r w:rsidRPr="00D07ABD">
        <w:rPr>
          <w:rFonts w:cs="Arial"/>
          <w:bCs/>
          <w:color w:val="000000"/>
          <w:sz w:val="22"/>
          <w:szCs w:val="22"/>
        </w:rPr>
        <w:t xml:space="preserve"> see ESG incorporated into T</w:t>
      </w:r>
      <w:r>
        <w:rPr>
          <w:rFonts w:cs="Arial"/>
          <w:bCs/>
          <w:color w:val="000000"/>
          <w:sz w:val="22"/>
          <w:szCs w:val="22"/>
        </w:rPr>
        <w:t xml:space="preserve">reasury </w:t>
      </w:r>
      <w:r w:rsidRPr="00D07ABD">
        <w:rPr>
          <w:rFonts w:cs="Arial"/>
          <w:bCs/>
          <w:color w:val="000000"/>
          <w:sz w:val="22"/>
          <w:szCs w:val="22"/>
        </w:rPr>
        <w:t>M</w:t>
      </w:r>
      <w:r>
        <w:rPr>
          <w:rFonts w:cs="Arial"/>
          <w:bCs/>
          <w:color w:val="000000"/>
          <w:sz w:val="22"/>
          <w:szCs w:val="22"/>
        </w:rPr>
        <w:t xml:space="preserve">anagement </w:t>
      </w:r>
      <w:r w:rsidRPr="00D07ABD">
        <w:rPr>
          <w:rFonts w:cs="Arial"/>
          <w:bCs/>
          <w:color w:val="000000"/>
          <w:sz w:val="22"/>
          <w:szCs w:val="22"/>
        </w:rPr>
        <w:t>P</w:t>
      </w:r>
      <w:r>
        <w:rPr>
          <w:rFonts w:cs="Arial"/>
          <w:bCs/>
          <w:color w:val="000000"/>
          <w:sz w:val="22"/>
          <w:szCs w:val="22"/>
        </w:rPr>
        <w:t>ractice</w:t>
      </w:r>
      <w:r w:rsidRPr="00D07ABD">
        <w:rPr>
          <w:rFonts w:cs="Arial"/>
          <w:bCs/>
          <w:color w:val="000000"/>
          <w:sz w:val="22"/>
          <w:szCs w:val="22"/>
        </w:rPr>
        <w:t xml:space="preserve"> 1</w:t>
      </w:r>
      <w:r>
        <w:rPr>
          <w:rFonts w:cs="Arial"/>
          <w:bCs/>
          <w:color w:val="000000"/>
          <w:sz w:val="22"/>
          <w:szCs w:val="22"/>
        </w:rPr>
        <w:t>. T</w:t>
      </w:r>
      <w:r w:rsidRPr="00D07ABD">
        <w:rPr>
          <w:rFonts w:cs="Arial"/>
          <w:bCs/>
          <w:color w:val="000000"/>
          <w:sz w:val="22"/>
          <w:szCs w:val="22"/>
        </w:rPr>
        <w:t xml:space="preserve">he </w:t>
      </w:r>
      <w:r>
        <w:rPr>
          <w:rFonts w:cs="Arial"/>
          <w:bCs/>
          <w:color w:val="000000"/>
          <w:sz w:val="22"/>
          <w:szCs w:val="22"/>
        </w:rPr>
        <w:t xml:space="preserve">following </w:t>
      </w:r>
      <w:r w:rsidRPr="00D07ABD">
        <w:rPr>
          <w:rFonts w:cs="Arial"/>
          <w:bCs/>
          <w:color w:val="000000"/>
          <w:sz w:val="22"/>
          <w:szCs w:val="22"/>
        </w:rPr>
        <w:t>wording</w:t>
      </w:r>
      <w:r>
        <w:rPr>
          <w:rFonts w:cs="Arial"/>
          <w:bCs/>
          <w:color w:val="000000"/>
          <w:sz w:val="22"/>
          <w:szCs w:val="22"/>
        </w:rPr>
        <w:t xml:space="preserve"> (page 18 of the Treasury Management Code) suggests the scope of what is included: “</w:t>
      </w:r>
      <w:r w:rsidRPr="00D510BE">
        <w:rPr>
          <w:rFonts w:cs="Arial"/>
          <w:bCs/>
          <w:color w:val="000000"/>
          <w:sz w:val="22"/>
          <w:szCs w:val="22"/>
        </w:rPr>
        <w:t>The organisation's credit and counterparty policies should set out its policy and practices relating to</w:t>
      </w:r>
      <w:r>
        <w:rPr>
          <w:rFonts w:cs="Arial"/>
          <w:bCs/>
          <w:color w:val="000000"/>
          <w:sz w:val="22"/>
          <w:szCs w:val="22"/>
        </w:rPr>
        <w:t xml:space="preserve"> </w:t>
      </w:r>
      <w:r w:rsidRPr="00D510BE">
        <w:rPr>
          <w:rFonts w:cs="Arial"/>
          <w:bCs/>
          <w:color w:val="000000"/>
          <w:sz w:val="22"/>
          <w:szCs w:val="22"/>
        </w:rPr>
        <w:t>environmental, social and governance (ESG) investment considerations. This is a developing area,</w:t>
      </w:r>
      <w:r>
        <w:rPr>
          <w:rFonts w:cs="Arial"/>
          <w:bCs/>
          <w:color w:val="000000"/>
          <w:sz w:val="22"/>
          <w:szCs w:val="22"/>
        </w:rPr>
        <w:t xml:space="preserve"> </w:t>
      </w:r>
      <w:r w:rsidRPr="00D510BE">
        <w:rPr>
          <w:rFonts w:cs="Arial"/>
          <w:bCs/>
          <w:color w:val="000000"/>
          <w:sz w:val="22"/>
          <w:szCs w:val="22"/>
        </w:rPr>
        <w:t>and it is not implied that the organisation’s ESG policy will currently include ESG scoring or other</w:t>
      </w:r>
      <w:r>
        <w:rPr>
          <w:rFonts w:cs="Arial"/>
          <w:bCs/>
          <w:color w:val="000000"/>
          <w:sz w:val="22"/>
          <w:szCs w:val="22"/>
        </w:rPr>
        <w:t xml:space="preserve"> </w:t>
      </w:r>
      <w:r w:rsidRPr="00D510BE">
        <w:rPr>
          <w:rFonts w:cs="Arial"/>
          <w:bCs/>
          <w:color w:val="000000"/>
          <w:sz w:val="22"/>
          <w:szCs w:val="22"/>
        </w:rPr>
        <w:t>real-time ESG criteria at individual investment level.</w:t>
      </w:r>
      <w:r>
        <w:rPr>
          <w:rFonts w:cs="Arial"/>
          <w:bCs/>
          <w:color w:val="000000"/>
          <w:sz w:val="22"/>
          <w:szCs w:val="22"/>
        </w:rPr>
        <w:t>”</w:t>
      </w:r>
    </w:p>
    <w:p w14:paraId="2F28F5BF" w14:textId="3329F93C" w:rsidR="00A63AB7" w:rsidRDefault="00A63AB7" w:rsidP="007E3CD3">
      <w:pPr>
        <w:tabs>
          <w:tab w:val="left" w:pos="360"/>
        </w:tabs>
        <w:jc w:val="both"/>
        <w:rPr>
          <w:rFonts w:cs="Arial"/>
          <w:bCs/>
          <w:color w:val="000000"/>
          <w:sz w:val="22"/>
          <w:szCs w:val="22"/>
        </w:rPr>
      </w:pPr>
    </w:p>
    <w:p w14:paraId="6C4B413F" w14:textId="1B4D66FF" w:rsidR="00A63AB7" w:rsidRDefault="00A63AB7" w:rsidP="00D54B27">
      <w:pPr>
        <w:tabs>
          <w:tab w:val="left" w:pos="360"/>
        </w:tabs>
        <w:rPr>
          <w:rFonts w:cs="Arial"/>
          <w:bCs/>
          <w:color w:val="000000"/>
          <w:sz w:val="22"/>
          <w:szCs w:val="22"/>
        </w:rPr>
      </w:pPr>
      <w:r>
        <w:rPr>
          <w:rFonts w:cs="Arial"/>
          <w:bCs/>
          <w:color w:val="000000"/>
          <w:sz w:val="22"/>
          <w:szCs w:val="22"/>
        </w:rPr>
        <w:t>Furthermore, page 50 of the Treasury Management Code states “</w:t>
      </w:r>
      <w:r w:rsidRPr="006A6B13">
        <w:rPr>
          <w:rFonts w:cs="Arial"/>
          <w:bCs/>
          <w:color w:val="000000"/>
          <w:sz w:val="22"/>
          <w:szCs w:val="22"/>
        </w:rPr>
        <w:t>ESG issues are increasingly significant for investors and</w:t>
      </w:r>
      <w:r>
        <w:rPr>
          <w:rFonts w:cs="Arial"/>
          <w:bCs/>
          <w:color w:val="000000"/>
          <w:sz w:val="22"/>
          <w:szCs w:val="22"/>
        </w:rPr>
        <w:t xml:space="preserve"> </w:t>
      </w:r>
      <w:r w:rsidRPr="006A6B13">
        <w:rPr>
          <w:rFonts w:cs="Arial"/>
          <w:bCs/>
          <w:color w:val="000000"/>
          <w:sz w:val="22"/>
          <w:szCs w:val="22"/>
        </w:rPr>
        <w:t>investment managers. This is better developed in equity and bond markets than for short-term</w:t>
      </w:r>
      <w:r>
        <w:rPr>
          <w:rFonts w:cs="Arial"/>
          <w:bCs/>
          <w:color w:val="000000"/>
          <w:sz w:val="22"/>
          <w:szCs w:val="22"/>
        </w:rPr>
        <w:t xml:space="preserve"> </w:t>
      </w:r>
      <w:r w:rsidRPr="006A6B13">
        <w:rPr>
          <w:rFonts w:cs="Arial"/>
          <w:bCs/>
          <w:color w:val="000000"/>
          <w:sz w:val="22"/>
          <w:szCs w:val="22"/>
        </w:rPr>
        <w:t>cash deposits, and there is a diversity of market approaches to ESG classification and analysis.</w:t>
      </w:r>
      <w:r>
        <w:rPr>
          <w:rFonts w:cs="Arial"/>
          <w:bCs/>
          <w:color w:val="000000"/>
          <w:sz w:val="22"/>
          <w:szCs w:val="22"/>
        </w:rPr>
        <w:t xml:space="preserve">  </w:t>
      </w:r>
      <w:r w:rsidRPr="006A6B13">
        <w:rPr>
          <w:rFonts w:cs="Arial"/>
          <w:bCs/>
          <w:color w:val="000000"/>
          <w:sz w:val="22"/>
          <w:szCs w:val="22"/>
        </w:rPr>
        <w:t>This means that a consistent and developed approach to ESG for public service organisations is</w:t>
      </w:r>
      <w:r>
        <w:rPr>
          <w:rFonts w:cs="Arial"/>
          <w:bCs/>
          <w:color w:val="000000"/>
          <w:sz w:val="22"/>
          <w:szCs w:val="22"/>
        </w:rPr>
        <w:t xml:space="preserve"> </w:t>
      </w:r>
      <w:r w:rsidRPr="006A6B13">
        <w:rPr>
          <w:rFonts w:cs="Arial"/>
          <w:bCs/>
          <w:color w:val="000000"/>
          <w:sz w:val="22"/>
          <w:szCs w:val="22"/>
        </w:rPr>
        <w:t>currently difficult.</w:t>
      </w:r>
      <w:r>
        <w:rPr>
          <w:rFonts w:cs="Arial"/>
          <w:bCs/>
          <w:color w:val="000000"/>
          <w:sz w:val="22"/>
          <w:szCs w:val="22"/>
        </w:rPr>
        <w:t xml:space="preserve">  O</w:t>
      </w:r>
      <w:r w:rsidRPr="006A6B13">
        <w:rPr>
          <w:rFonts w:cs="Arial"/>
          <w:bCs/>
          <w:color w:val="000000"/>
          <w:sz w:val="22"/>
          <w:szCs w:val="22"/>
        </w:rPr>
        <w:t>rganisations are therefore recommended to consider their credit and counterparty policies in light</w:t>
      </w:r>
      <w:r>
        <w:rPr>
          <w:rFonts w:cs="Arial"/>
          <w:bCs/>
          <w:color w:val="000000"/>
          <w:sz w:val="22"/>
          <w:szCs w:val="22"/>
        </w:rPr>
        <w:t xml:space="preserve"> </w:t>
      </w:r>
      <w:r w:rsidRPr="006A6B13">
        <w:rPr>
          <w:rFonts w:cs="Arial"/>
          <w:bCs/>
          <w:color w:val="000000"/>
          <w:sz w:val="22"/>
          <w:szCs w:val="22"/>
        </w:rPr>
        <w:t>of ESG information and develop their own ESG investment policies and treasury management</w:t>
      </w:r>
      <w:r>
        <w:rPr>
          <w:rFonts w:cs="Arial"/>
          <w:bCs/>
          <w:color w:val="000000"/>
          <w:sz w:val="22"/>
          <w:szCs w:val="22"/>
        </w:rPr>
        <w:t xml:space="preserve"> </w:t>
      </w:r>
      <w:r w:rsidRPr="006A6B13">
        <w:rPr>
          <w:rFonts w:cs="Arial"/>
          <w:bCs/>
          <w:color w:val="000000"/>
          <w:sz w:val="22"/>
          <w:szCs w:val="22"/>
        </w:rPr>
        <w:t>practices consistent with their organisation’s own relevant policies, such as environmental and</w:t>
      </w:r>
      <w:r>
        <w:rPr>
          <w:rFonts w:cs="Arial"/>
          <w:bCs/>
          <w:color w:val="000000"/>
          <w:sz w:val="22"/>
          <w:szCs w:val="22"/>
        </w:rPr>
        <w:t xml:space="preserve"> </w:t>
      </w:r>
      <w:r w:rsidRPr="006A6B13">
        <w:rPr>
          <w:rFonts w:cs="Arial"/>
          <w:bCs/>
          <w:color w:val="000000"/>
          <w:sz w:val="22"/>
          <w:szCs w:val="22"/>
        </w:rPr>
        <w:t>climate change policies.</w:t>
      </w:r>
      <w:r>
        <w:rPr>
          <w:rFonts w:cs="Arial"/>
          <w:bCs/>
          <w:color w:val="000000"/>
          <w:sz w:val="22"/>
          <w:szCs w:val="22"/>
        </w:rPr>
        <w:t>”</w:t>
      </w:r>
    </w:p>
    <w:p w14:paraId="0375103E" w14:textId="6D8435DC" w:rsidR="00A63AB7" w:rsidRDefault="00A63AB7" w:rsidP="007E3CD3">
      <w:pPr>
        <w:tabs>
          <w:tab w:val="left" w:pos="360"/>
        </w:tabs>
        <w:jc w:val="both"/>
        <w:rPr>
          <w:rFonts w:cs="Arial"/>
          <w:bCs/>
          <w:color w:val="000000"/>
          <w:sz w:val="22"/>
          <w:szCs w:val="22"/>
        </w:rPr>
      </w:pPr>
    </w:p>
    <w:p w14:paraId="04132ECA" w14:textId="30268139" w:rsidR="00A63AB7" w:rsidRDefault="00A63AB7" w:rsidP="003905E9">
      <w:pPr>
        <w:tabs>
          <w:tab w:val="left" w:pos="360"/>
        </w:tabs>
        <w:rPr>
          <w:rFonts w:cs="Arial"/>
          <w:bCs/>
          <w:color w:val="000000"/>
          <w:sz w:val="22"/>
          <w:szCs w:val="22"/>
        </w:rPr>
      </w:pPr>
      <w:r w:rsidRPr="00D07ABD">
        <w:rPr>
          <w:rFonts w:cs="Arial"/>
          <w:bCs/>
          <w:color w:val="000000"/>
          <w:sz w:val="22"/>
          <w:szCs w:val="22"/>
        </w:rPr>
        <w:t xml:space="preserve">From Link’s perspective, the most important issue is ensuring that there is a clear understanding of what “environmental, social and governance (ESG)” investment considerations </w:t>
      </w:r>
      <w:proofErr w:type="gramStart"/>
      <w:r w:rsidRPr="00D07ABD">
        <w:rPr>
          <w:rFonts w:cs="Arial"/>
          <w:bCs/>
          <w:color w:val="000000"/>
          <w:sz w:val="22"/>
          <w:szCs w:val="22"/>
        </w:rPr>
        <w:t>mean</w:t>
      </w:r>
      <w:r>
        <w:rPr>
          <w:rFonts w:cs="Arial"/>
          <w:bCs/>
          <w:color w:val="000000"/>
          <w:sz w:val="22"/>
          <w:szCs w:val="22"/>
        </w:rPr>
        <w:t>s</w:t>
      </w:r>
      <w:proofErr w:type="gramEnd"/>
      <w:r w:rsidRPr="00D07ABD">
        <w:rPr>
          <w:rFonts w:cs="Arial"/>
          <w:bCs/>
          <w:color w:val="000000"/>
          <w:sz w:val="22"/>
          <w:szCs w:val="22"/>
        </w:rPr>
        <w:t>. It is about understanding the ESG “risks” that an entity is exposed to and evaluating how well it manages these risks, (all entities will be subject to these to one extent or other). It is NOT the same as Socially Responsible Investing, (typically where you apply negative screens), and equally, it is NOT the same as Sustainable Investing, (investing in products / companies based on expected sustainable and beneficial societal impact, alongside a financial return).</w:t>
      </w:r>
    </w:p>
    <w:p w14:paraId="50383E79" w14:textId="0B2D5F4B" w:rsidR="00A63AB7" w:rsidRDefault="00A63AB7" w:rsidP="007E3CD3">
      <w:pPr>
        <w:tabs>
          <w:tab w:val="left" w:pos="360"/>
        </w:tabs>
        <w:jc w:val="both"/>
        <w:rPr>
          <w:rFonts w:cs="Arial"/>
          <w:bCs/>
          <w:color w:val="000000"/>
          <w:sz w:val="22"/>
          <w:szCs w:val="22"/>
        </w:rPr>
      </w:pPr>
    </w:p>
    <w:p w14:paraId="399D77A0" w14:textId="4B962D46" w:rsidR="00A63AB7" w:rsidRPr="00D07ABD" w:rsidRDefault="00A63AB7" w:rsidP="003905E9">
      <w:pPr>
        <w:autoSpaceDE w:val="0"/>
        <w:autoSpaceDN w:val="0"/>
        <w:adjustRightInd w:val="0"/>
        <w:rPr>
          <w:rFonts w:cs="Arial"/>
          <w:bCs/>
          <w:color w:val="000000"/>
          <w:sz w:val="22"/>
          <w:szCs w:val="22"/>
        </w:rPr>
      </w:pPr>
      <w:r w:rsidRPr="00D07ABD">
        <w:rPr>
          <w:rFonts w:cs="Arial"/>
          <w:bCs/>
          <w:color w:val="000000"/>
          <w:sz w:val="22"/>
          <w:szCs w:val="22"/>
        </w:rPr>
        <w:t>There is such a huge potential for misunderstanding which could have material unintended</w:t>
      </w:r>
      <w:r w:rsidR="003905E9">
        <w:rPr>
          <w:rFonts w:cs="Arial"/>
          <w:bCs/>
          <w:color w:val="000000"/>
          <w:sz w:val="22"/>
          <w:szCs w:val="22"/>
        </w:rPr>
        <w:t xml:space="preserve"> </w:t>
      </w:r>
      <w:r w:rsidRPr="00D07ABD">
        <w:rPr>
          <w:rFonts w:cs="Arial"/>
          <w:bCs/>
          <w:color w:val="000000"/>
          <w:sz w:val="22"/>
          <w:szCs w:val="22"/>
        </w:rPr>
        <w:t>consequence</w:t>
      </w:r>
      <w:r>
        <w:rPr>
          <w:rFonts w:cs="Arial"/>
          <w:bCs/>
          <w:color w:val="000000"/>
          <w:sz w:val="22"/>
          <w:szCs w:val="22"/>
        </w:rPr>
        <w:t xml:space="preserve"> </w:t>
      </w:r>
      <w:r w:rsidRPr="00D07ABD">
        <w:rPr>
          <w:rFonts w:cs="Arial"/>
          <w:bCs/>
          <w:color w:val="000000"/>
          <w:sz w:val="22"/>
          <w:szCs w:val="22"/>
        </w:rPr>
        <w:t xml:space="preserve">i.e., limiting of potential counterparty options, thus decreasing diversification. The above could then lead to </w:t>
      </w:r>
      <w:r>
        <w:rPr>
          <w:rFonts w:cs="Arial"/>
          <w:bCs/>
          <w:color w:val="000000"/>
          <w:sz w:val="22"/>
          <w:szCs w:val="22"/>
        </w:rPr>
        <w:t>authorities</w:t>
      </w:r>
      <w:r w:rsidRPr="00D07ABD">
        <w:rPr>
          <w:rFonts w:cs="Arial"/>
          <w:bCs/>
          <w:color w:val="000000"/>
          <w:sz w:val="22"/>
          <w:szCs w:val="22"/>
        </w:rPr>
        <w:t xml:space="preserve"> widening credit criteria to take on more names, or those with a stronger “ESG” performance, which could then increase credit risk…which would place the cornerstone of prudent investing at risk.</w:t>
      </w:r>
      <w:r w:rsidRPr="00D07ABD">
        <w:rPr>
          <w:rFonts w:cs="Arial"/>
          <w:bCs/>
          <w:color w:val="000000"/>
          <w:sz w:val="22"/>
          <w:szCs w:val="22"/>
        </w:rPr>
        <w:cr/>
      </w:r>
    </w:p>
    <w:p w14:paraId="690307D8" w14:textId="77777777" w:rsidR="00A63AB7" w:rsidRPr="00D07ABD" w:rsidRDefault="00A63AB7" w:rsidP="003905E9">
      <w:pPr>
        <w:autoSpaceDE w:val="0"/>
        <w:autoSpaceDN w:val="0"/>
        <w:adjustRightInd w:val="0"/>
        <w:rPr>
          <w:rFonts w:cs="Arial"/>
          <w:bCs/>
          <w:color w:val="000000"/>
          <w:sz w:val="22"/>
          <w:szCs w:val="22"/>
        </w:rPr>
      </w:pPr>
      <w:r w:rsidRPr="00D07ABD">
        <w:rPr>
          <w:rFonts w:cs="Arial"/>
          <w:bCs/>
          <w:color w:val="000000"/>
          <w:sz w:val="22"/>
          <w:szCs w:val="22"/>
        </w:rPr>
        <w:t xml:space="preserve">The other factor, i.e., what </w:t>
      </w:r>
      <w:r>
        <w:rPr>
          <w:rFonts w:cs="Arial"/>
          <w:bCs/>
          <w:color w:val="000000"/>
          <w:sz w:val="22"/>
          <w:szCs w:val="22"/>
        </w:rPr>
        <w:t>local authorities</w:t>
      </w:r>
      <w:r w:rsidRPr="00D07ABD">
        <w:rPr>
          <w:rFonts w:cs="Arial"/>
          <w:bCs/>
          <w:color w:val="000000"/>
          <w:sz w:val="22"/>
          <w:szCs w:val="22"/>
        </w:rPr>
        <w:t xml:space="preserve"> can or already do to take this into account, is credit ratings. All the </w:t>
      </w:r>
      <w:r>
        <w:rPr>
          <w:rFonts w:cs="Arial"/>
          <w:bCs/>
          <w:color w:val="000000"/>
          <w:sz w:val="22"/>
          <w:szCs w:val="22"/>
        </w:rPr>
        <w:t xml:space="preserve">main </w:t>
      </w:r>
      <w:r w:rsidRPr="00D07ABD">
        <w:rPr>
          <w:rFonts w:cs="Arial"/>
          <w:bCs/>
          <w:color w:val="000000"/>
          <w:sz w:val="22"/>
          <w:szCs w:val="22"/>
        </w:rPr>
        <w:t xml:space="preserve">agencies are now extoling how they incorporate ESG risks alongside more traditional financial risk metrics when assessing counterparty ratings. As such, you could argue that their incorporation is already being done, to an extent, by the use of </w:t>
      </w:r>
      <w:r>
        <w:rPr>
          <w:rFonts w:cs="Arial"/>
          <w:bCs/>
          <w:color w:val="000000"/>
          <w:sz w:val="22"/>
          <w:szCs w:val="22"/>
        </w:rPr>
        <w:t xml:space="preserve">mainstream </w:t>
      </w:r>
      <w:r w:rsidRPr="00D07ABD">
        <w:rPr>
          <w:rFonts w:cs="Arial"/>
          <w:bCs/>
          <w:color w:val="000000"/>
          <w:sz w:val="22"/>
          <w:szCs w:val="22"/>
        </w:rPr>
        <w:t xml:space="preserve">rating agencies. </w:t>
      </w:r>
      <w:r w:rsidRPr="00D07ABD">
        <w:rPr>
          <w:rFonts w:cs="Arial"/>
          <w:bCs/>
          <w:color w:val="000000"/>
          <w:sz w:val="22"/>
          <w:szCs w:val="22"/>
        </w:rPr>
        <w:cr/>
      </w:r>
    </w:p>
    <w:p w14:paraId="32E92C66" w14:textId="77777777" w:rsidR="003905E9" w:rsidRDefault="003905E9" w:rsidP="00A63AB7">
      <w:pPr>
        <w:autoSpaceDE w:val="0"/>
        <w:autoSpaceDN w:val="0"/>
        <w:adjustRightInd w:val="0"/>
        <w:jc w:val="both"/>
        <w:rPr>
          <w:rFonts w:cs="Arial"/>
          <w:bCs/>
          <w:color w:val="000000"/>
          <w:sz w:val="22"/>
          <w:szCs w:val="22"/>
        </w:rPr>
      </w:pPr>
    </w:p>
    <w:p w14:paraId="1014F621" w14:textId="77777777" w:rsidR="003905E9" w:rsidRDefault="003905E9" w:rsidP="00A63AB7">
      <w:pPr>
        <w:autoSpaceDE w:val="0"/>
        <w:autoSpaceDN w:val="0"/>
        <w:adjustRightInd w:val="0"/>
        <w:jc w:val="both"/>
        <w:rPr>
          <w:rFonts w:cs="Arial"/>
          <w:bCs/>
          <w:color w:val="000000"/>
          <w:sz w:val="22"/>
          <w:szCs w:val="22"/>
        </w:rPr>
      </w:pPr>
    </w:p>
    <w:p w14:paraId="3450D7B0" w14:textId="1248F4C6" w:rsidR="00A63AB7" w:rsidRPr="00D07ABD" w:rsidRDefault="00A63AB7" w:rsidP="003905E9">
      <w:pPr>
        <w:autoSpaceDE w:val="0"/>
        <w:autoSpaceDN w:val="0"/>
        <w:adjustRightInd w:val="0"/>
        <w:rPr>
          <w:rFonts w:cs="Arial"/>
          <w:bCs/>
          <w:color w:val="000000"/>
          <w:sz w:val="22"/>
          <w:szCs w:val="22"/>
        </w:rPr>
      </w:pPr>
      <w:r w:rsidRPr="00D07ABD">
        <w:rPr>
          <w:rFonts w:cs="Arial"/>
          <w:bCs/>
          <w:color w:val="000000"/>
          <w:sz w:val="22"/>
          <w:szCs w:val="22"/>
        </w:rPr>
        <w:t>Also, a final note to point out is that given ESG risks are all about potential impact on entity enterprise value; the “G”</w:t>
      </w:r>
      <w:r w:rsidR="00622277">
        <w:rPr>
          <w:rFonts w:cs="Arial"/>
          <w:bCs/>
          <w:color w:val="000000"/>
          <w:sz w:val="22"/>
          <w:szCs w:val="22"/>
        </w:rPr>
        <w:t xml:space="preserve"> (governance)</w:t>
      </w:r>
      <w:r w:rsidRPr="00D07ABD">
        <w:rPr>
          <w:rFonts w:cs="Arial"/>
          <w:bCs/>
          <w:color w:val="000000"/>
          <w:sz w:val="22"/>
          <w:szCs w:val="22"/>
        </w:rPr>
        <w:t xml:space="preserve"> is by far the most important one when considering treasury investments, the majority of which will be shorter-term in nature. This is because poor governance can have a more immediate impact on the financial circumstances of an entity and the potential for a default event that would impact the amount the local authorities receive back from their investments.  Those financial institutions that are viewed as having poor/weak corporate governance are generally less well rated in the first instance or have a higher propensity for being subject to negative rating action. So, this element of ESG is of high importance to an investor that is following investment guidance with the security, liquidity and yield (SLY) principle at its core. Environmental &amp; Social factors are also important, but more for the long-term impact, unless you are specifically going down the “impact” / “sustainable” type investment route…and there are not many options for that in respect of short-term investments.</w:t>
      </w:r>
    </w:p>
    <w:p w14:paraId="1C6F5C32" w14:textId="77777777" w:rsidR="00A63AB7" w:rsidRPr="00D07ABD" w:rsidRDefault="00A63AB7" w:rsidP="00A63AB7">
      <w:pPr>
        <w:autoSpaceDE w:val="0"/>
        <w:autoSpaceDN w:val="0"/>
        <w:adjustRightInd w:val="0"/>
        <w:jc w:val="both"/>
        <w:rPr>
          <w:rFonts w:cs="Arial"/>
          <w:bCs/>
          <w:color w:val="000000"/>
          <w:sz w:val="22"/>
          <w:szCs w:val="22"/>
        </w:rPr>
      </w:pPr>
    </w:p>
    <w:p w14:paraId="66AD6BA1" w14:textId="13A39AED" w:rsidR="00A63AB7" w:rsidRDefault="00A63AB7" w:rsidP="003905E9">
      <w:pPr>
        <w:tabs>
          <w:tab w:val="left" w:pos="360"/>
        </w:tabs>
        <w:rPr>
          <w:rFonts w:cs="Arial"/>
          <w:b/>
          <w:color w:val="000000"/>
          <w:sz w:val="22"/>
          <w:szCs w:val="22"/>
        </w:rPr>
      </w:pPr>
      <w:r>
        <w:rPr>
          <w:rFonts w:cs="Arial"/>
          <w:bCs/>
          <w:color w:val="0D0D0D"/>
          <w:sz w:val="22"/>
          <w:szCs w:val="22"/>
          <w:lang w:val="en-AU"/>
        </w:rPr>
        <w:t xml:space="preserve">Naturally, </w:t>
      </w:r>
      <w:r w:rsidRPr="00D07ABD">
        <w:rPr>
          <w:rFonts w:cs="Arial"/>
          <w:bCs/>
          <w:color w:val="0D0D0D"/>
          <w:sz w:val="22"/>
          <w:szCs w:val="22"/>
          <w:lang w:val="en-AU"/>
        </w:rPr>
        <w:t xml:space="preserve">Link continues to look at ways in which we can incorporate these factors into our creditworthiness assessment service. However, the lack of consistency, as well as uncertainty as to </w:t>
      </w:r>
      <w:r>
        <w:rPr>
          <w:rFonts w:cs="Arial"/>
          <w:bCs/>
          <w:color w:val="0D0D0D"/>
          <w:sz w:val="22"/>
          <w:szCs w:val="22"/>
          <w:lang w:val="en-AU"/>
        </w:rPr>
        <w:t>how the T</w:t>
      </w:r>
      <w:r w:rsidRPr="00D07ABD">
        <w:rPr>
          <w:rFonts w:cs="Arial"/>
          <w:bCs/>
          <w:color w:val="0D0D0D"/>
          <w:sz w:val="22"/>
          <w:szCs w:val="22"/>
          <w:lang w:val="en-AU"/>
        </w:rPr>
        <w:t xml:space="preserve">reasury </w:t>
      </w:r>
      <w:r>
        <w:rPr>
          <w:rFonts w:cs="Arial"/>
          <w:bCs/>
          <w:color w:val="0D0D0D"/>
          <w:sz w:val="22"/>
          <w:szCs w:val="22"/>
          <w:lang w:val="en-AU"/>
        </w:rPr>
        <w:t>M</w:t>
      </w:r>
      <w:r w:rsidRPr="00D07ABD">
        <w:rPr>
          <w:rFonts w:cs="Arial"/>
          <w:bCs/>
          <w:color w:val="0D0D0D"/>
          <w:sz w:val="22"/>
          <w:szCs w:val="22"/>
          <w:lang w:val="en-AU"/>
        </w:rPr>
        <w:t xml:space="preserve">anagement </w:t>
      </w:r>
      <w:r>
        <w:rPr>
          <w:rFonts w:cs="Arial"/>
          <w:bCs/>
          <w:color w:val="0D0D0D"/>
          <w:sz w:val="22"/>
          <w:szCs w:val="22"/>
          <w:lang w:val="en-AU"/>
        </w:rPr>
        <w:t>C</w:t>
      </w:r>
      <w:r w:rsidRPr="00D07ABD">
        <w:rPr>
          <w:rFonts w:cs="Arial"/>
          <w:bCs/>
          <w:color w:val="0D0D0D"/>
          <w:sz w:val="22"/>
          <w:szCs w:val="22"/>
          <w:lang w:val="en-AU"/>
        </w:rPr>
        <w:t xml:space="preserve">ode </w:t>
      </w:r>
      <w:r>
        <w:rPr>
          <w:rFonts w:cs="Arial"/>
          <w:bCs/>
          <w:color w:val="0D0D0D"/>
          <w:sz w:val="22"/>
          <w:szCs w:val="22"/>
          <w:lang w:val="en-AU"/>
        </w:rPr>
        <w:t>may develop TMP1, means that although</w:t>
      </w:r>
      <w:r w:rsidRPr="00D07ABD">
        <w:rPr>
          <w:rFonts w:cs="Arial"/>
          <w:bCs/>
          <w:color w:val="0D0D0D"/>
          <w:sz w:val="22"/>
          <w:szCs w:val="22"/>
          <w:lang w:val="en-AU"/>
        </w:rPr>
        <w:t xml:space="preserve"> we continue to review the options and will update clients as progress is made</w:t>
      </w:r>
      <w:r>
        <w:rPr>
          <w:rFonts w:cs="Arial"/>
          <w:bCs/>
          <w:color w:val="0D0D0D"/>
          <w:sz w:val="22"/>
          <w:szCs w:val="22"/>
          <w:lang w:val="en-AU"/>
        </w:rPr>
        <w:t xml:space="preserve">, </w:t>
      </w:r>
      <w:r w:rsidRPr="00D07ABD">
        <w:rPr>
          <w:rFonts w:cs="Arial"/>
          <w:bCs/>
          <w:color w:val="0D0D0D"/>
          <w:sz w:val="22"/>
          <w:szCs w:val="22"/>
          <w:lang w:val="en-AU"/>
        </w:rPr>
        <w:t xml:space="preserve">it is not practicable to </w:t>
      </w:r>
      <w:r>
        <w:rPr>
          <w:rFonts w:cs="Arial"/>
          <w:bCs/>
          <w:color w:val="0D0D0D"/>
          <w:sz w:val="22"/>
          <w:szCs w:val="22"/>
          <w:lang w:val="en-AU"/>
        </w:rPr>
        <w:t>expand broadly upon</w:t>
      </w:r>
      <w:r w:rsidRPr="00D07ABD">
        <w:rPr>
          <w:rFonts w:cs="Arial"/>
          <w:bCs/>
          <w:color w:val="0D0D0D"/>
          <w:sz w:val="22"/>
          <w:szCs w:val="22"/>
          <w:lang w:val="en-AU"/>
        </w:rPr>
        <w:t xml:space="preserve"> ESG </w:t>
      </w:r>
      <w:r>
        <w:rPr>
          <w:rFonts w:cs="Arial"/>
          <w:bCs/>
          <w:color w:val="0D0D0D"/>
          <w:sz w:val="22"/>
          <w:szCs w:val="22"/>
          <w:lang w:val="en-AU"/>
        </w:rPr>
        <w:t xml:space="preserve">matters </w:t>
      </w:r>
      <w:r w:rsidRPr="00D07ABD">
        <w:rPr>
          <w:rFonts w:cs="Arial"/>
          <w:bCs/>
          <w:color w:val="0D0D0D"/>
          <w:sz w:val="22"/>
          <w:szCs w:val="22"/>
          <w:lang w:val="en-AU"/>
        </w:rPr>
        <w:t>at the current time</w:t>
      </w:r>
      <w:r>
        <w:rPr>
          <w:rFonts w:cs="Arial"/>
          <w:bCs/>
          <w:color w:val="0D0D0D"/>
          <w:sz w:val="22"/>
          <w:szCs w:val="22"/>
          <w:lang w:val="en-AU"/>
        </w:rPr>
        <w:t>.</w:t>
      </w:r>
    </w:p>
    <w:p w14:paraId="71E1CB10" w14:textId="5B7A8C8C" w:rsidR="000D01C0" w:rsidRDefault="000D01C0" w:rsidP="00A63AB7">
      <w:pPr>
        <w:rPr>
          <w:rFonts w:cs="Arial"/>
          <w:sz w:val="22"/>
          <w:szCs w:val="22"/>
          <w:highlight w:val="yellow"/>
        </w:rPr>
      </w:pPr>
    </w:p>
    <w:p w14:paraId="076ECE39" w14:textId="77777777" w:rsidR="00A63AB7" w:rsidRPr="00A63AB7" w:rsidRDefault="00A63AB7" w:rsidP="00A63AB7">
      <w:pPr>
        <w:rPr>
          <w:rFonts w:cs="Arial"/>
          <w:sz w:val="22"/>
          <w:szCs w:val="22"/>
          <w:highlight w:val="yellow"/>
        </w:rPr>
        <w:sectPr w:rsidR="00A63AB7" w:rsidRPr="00A63AB7" w:rsidSect="001E029F">
          <w:pgSz w:w="11907" w:h="16840" w:code="9"/>
          <w:pgMar w:top="1259" w:right="1151" w:bottom="720" w:left="1151" w:header="709" w:footer="709" w:gutter="0"/>
          <w:cols w:space="720"/>
          <w:titlePg/>
        </w:sectPr>
      </w:pPr>
    </w:p>
    <w:p w14:paraId="77C33D33" w14:textId="77777777" w:rsidR="003905E9" w:rsidRPr="004443C7" w:rsidRDefault="003905E9" w:rsidP="00D76E25">
      <w:pPr>
        <w:pStyle w:val="BodyText2"/>
        <w:jc w:val="both"/>
        <w:rPr>
          <w:rFonts w:ascii="Arial" w:hAnsi="Arial" w:cs="Arial"/>
          <w:b/>
          <w:noProof/>
          <w:color w:val="993366"/>
          <w:spacing w:val="-5"/>
          <w:szCs w:val="22"/>
        </w:rPr>
      </w:pPr>
    </w:p>
    <w:p w14:paraId="7E380D42" w14:textId="18A2C1EB" w:rsidR="00062BC5" w:rsidRPr="00E51B6F" w:rsidRDefault="003905E9" w:rsidP="00D76E25">
      <w:pPr>
        <w:pStyle w:val="BodyText2"/>
        <w:jc w:val="both"/>
        <w:rPr>
          <w:rFonts w:ascii="Arial" w:hAnsi="Arial" w:cs="Arial"/>
          <w:b/>
          <w:noProof/>
          <w:color w:val="993366"/>
          <w:spacing w:val="-5"/>
          <w:sz w:val="28"/>
          <w:szCs w:val="28"/>
        </w:rPr>
      </w:pPr>
      <w:r w:rsidRPr="00E51B6F">
        <w:rPr>
          <w:rFonts w:ascii="Arial" w:hAnsi="Arial" w:cs="Arial"/>
          <w:b/>
          <w:noProof/>
          <w:color w:val="993366"/>
          <w:spacing w:val="-5"/>
          <w:sz w:val="28"/>
          <w:szCs w:val="28"/>
        </w:rPr>
        <w:t>ANNEX</w:t>
      </w:r>
      <w:r w:rsidR="00062BC5" w:rsidRPr="00E51B6F">
        <w:rPr>
          <w:rFonts w:ascii="Arial" w:hAnsi="Arial" w:cs="Arial"/>
          <w:b/>
          <w:noProof/>
          <w:color w:val="993366"/>
          <w:spacing w:val="-5"/>
          <w:sz w:val="28"/>
          <w:szCs w:val="28"/>
        </w:rPr>
        <w:t xml:space="preserve"> </w:t>
      </w:r>
      <w:r w:rsidR="001B4A8A" w:rsidRPr="00E51B6F">
        <w:rPr>
          <w:rFonts w:ascii="Arial" w:hAnsi="Arial" w:cs="Arial"/>
          <w:b/>
          <w:noProof/>
          <w:color w:val="993366"/>
          <w:spacing w:val="-5"/>
          <w:sz w:val="28"/>
          <w:szCs w:val="28"/>
        </w:rPr>
        <w:t>E</w:t>
      </w:r>
      <w:r w:rsidRPr="00E51B6F">
        <w:rPr>
          <w:rFonts w:ascii="Arial" w:hAnsi="Arial" w:cs="Arial"/>
          <w:b/>
          <w:noProof/>
          <w:color w:val="993366"/>
          <w:spacing w:val="-5"/>
          <w:sz w:val="28"/>
          <w:szCs w:val="28"/>
        </w:rPr>
        <w:t>: CREDIT AND COUNTERPARTY RISK MANAGEMENT</w:t>
      </w:r>
    </w:p>
    <w:p w14:paraId="4761A545" w14:textId="77777777" w:rsidR="008145FA" w:rsidRPr="00D26131" w:rsidRDefault="008145FA" w:rsidP="00D76E25">
      <w:pPr>
        <w:pStyle w:val="BodyText2"/>
        <w:jc w:val="both"/>
        <w:rPr>
          <w:rFonts w:ascii="Arial" w:hAnsi="Arial" w:cs="Arial"/>
          <w:b/>
          <w:noProof/>
          <w:color w:val="993366"/>
          <w:spacing w:val="-5"/>
          <w:sz w:val="32"/>
          <w:szCs w:val="32"/>
          <w:highlight w:val="yellow"/>
        </w:rPr>
      </w:pPr>
    </w:p>
    <w:p w14:paraId="238D780E" w14:textId="77777777" w:rsidR="00062BC5" w:rsidRDefault="00062BC5" w:rsidP="00D76E25">
      <w:pPr>
        <w:pStyle w:val="BodyText"/>
        <w:spacing w:after="120"/>
        <w:rPr>
          <w:rFonts w:ascii="Arial" w:hAnsi="Arial" w:cs="Arial"/>
          <w:b/>
          <w:bCs/>
          <w:color w:val="993366"/>
          <w:sz w:val="28"/>
          <w:szCs w:val="28"/>
        </w:rPr>
      </w:pPr>
      <w:r w:rsidRPr="00597ACC">
        <w:rPr>
          <w:rFonts w:ascii="Arial" w:hAnsi="Arial" w:cs="Arial"/>
          <w:b/>
          <w:bCs/>
          <w:color w:val="993366"/>
          <w:sz w:val="28"/>
          <w:szCs w:val="28"/>
        </w:rPr>
        <w:t>Permitted Investments, Associated Controls and Limits for Scottish Borders Council, Common Good and Trust Funds and In-house Managed Pension Fund</w:t>
      </w:r>
    </w:p>
    <w:p w14:paraId="0AB7C77E" w14:textId="77777777" w:rsidR="003905E9" w:rsidRPr="00597ACC" w:rsidRDefault="003905E9" w:rsidP="00D76E25">
      <w:pPr>
        <w:pStyle w:val="BodyText"/>
        <w:spacing w:after="120"/>
        <w:rPr>
          <w:rFonts w:ascii="Arial" w:hAnsi="Arial" w:cs="Arial"/>
          <w:b/>
          <w:bCs/>
          <w:color w:val="993366"/>
          <w:sz w:val="28"/>
          <w:szCs w:val="28"/>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4523"/>
        <w:gridCol w:w="3624"/>
        <w:gridCol w:w="1422"/>
        <w:gridCol w:w="1422"/>
        <w:gridCol w:w="1300"/>
      </w:tblGrid>
      <w:tr w:rsidR="00862C9A" w:rsidRPr="00496AD4" w14:paraId="49A1F0F9" w14:textId="77952F4E" w:rsidTr="006D6EFC">
        <w:tc>
          <w:tcPr>
            <w:tcW w:w="2560" w:type="dxa"/>
            <w:shd w:val="clear" w:color="auto" w:fill="C0C0C0"/>
          </w:tcPr>
          <w:p w14:paraId="242A501D"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Type of Investment</w:t>
            </w:r>
          </w:p>
        </w:tc>
        <w:tc>
          <w:tcPr>
            <w:tcW w:w="4523" w:type="dxa"/>
            <w:shd w:val="clear" w:color="auto" w:fill="C0C0C0"/>
          </w:tcPr>
          <w:p w14:paraId="0650278E"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Treasury Risks</w:t>
            </w:r>
          </w:p>
        </w:tc>
        <w:tc>
          <w:tcPr>
            <w:tcW w:w="3624" w:type="dxa"/>
            <w:shd w:val="clear" w:color="auto" w:fill="C0C0C0"/>
          </w:tcPr>
          <w:p w14:paraId="4C0A1CD8"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Mitigating Controls</w:t>
            </w:r>
          </w:p>
        </w:tc>
        <w:tc>
          <w:tcPr>
            <w:tcW w:w="1422" w:type="dxa"/>
            <w:shd w:val="clear" w:color="auto" w:fill="C0C0C0"/>
          </w:tcPr>
          <w:p w14:paraId="3B017564"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Council Limits</w:t>
            </w:r>
          </w:p>
        </w:tc>
        <w:tc>
          <w:tcPr>
            <w:tcW w:w="1422" w:type="dxa"/>
            <w:shd w:val="clear" w:color="auto" w:fill="C0C0C0"/>
          </w:tcPr>
          <w:p w14:paraId="42015EE3" w14:textId="63072464"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 xml:space="preserve">Common Good </w:t>
            </w:r>
            <w:r w:rsidR="001653A9">
              <w:rPr>
                <w:rFonts w:cs="Arial"/>
                <w:b/>
                <w:iCs/>
                <w:spacing w:val="0"/>
                <w:sz w:val="22"/>
                <w:szCs w:val="22"/>
                <w:lang w:val="en-US"/>
              </w:rPr>
              <w:t xml:space="preserve">&amp; Trust Funds </w:t>
            </w:r>
            <w:r w:rsidRPr="00496AD4">
              <w:rPr>
                <w:rFonts w:cs="Arial"/>
                <w:b/>
                <w:iCs/>
                <w:spacing w:val="0"/>
                <w:sz w:val="22"/>
                <w:szCs w:val="22"/>
                <w:lang w:val="en-US"/>
              </w:rPr>
              <w:t>Limits</w:t>
            </w:r>
          </w:p>
        </w:tc>
        <w:tc>
          <w:tcPr>
            <w:tcW w:w="1300" w:type="dxa"/>
            <w:shd w:val="clear" w:color="auto" w:fill="C0C0C0"/>
          </w:tcPr>
          <w:p w14:paraId="3144B800" w14:textId="3F0AB541" w:rsidR="00862C9A" w:rsidRPr="00496AD4" w:rsidRDefault="006D6EFC" w:rsidP="006B508A">
            <w:pPr>
              <w:spacing w:after="120"/>
              <w:rPr>
                <w:rFonts w:cs="Arial"/>
                <w:b/>
                <w:iCs/>
                <w:spacing w:val="0"/>
                <w:sz w:val="22"/>
                <w:szCs w:val="22"/>
                <w:lang w:val="en-US"/>
              </w:rPr>
            </w:pPr>
            <w:r>
              <w:rPr>
                <w:rFonts w:cs="Arial"/>
                <w:b/>
                <w:iCs/>
                <w:spacing w:val="0"/>
                <w:sz w:val="22"/>
                <w:szCs w:val="22"/>
                <w:lang w:val="en-US"/>
              </w:rPr>
              <w:t>Pension Fund In-house Limits</w:t>
            </w:r>
          </w:p>
        </w:tc>
      </w:tr>
      <w:tr w:rsidR="00862C9A" w:rsidRPr="00496AD4" w14:paraId="5C72CC53" w14:textId="3453AACC" w:rsidTr="00CB1B42">
        <w:tc>
          <w:tcPr>
            <w:tcW w:w="14851" w:type="dxa"/>
            <w:gridSpan w:val="6"/>
          </w:tcPr>
          <w:p w14:paraId="08CC22F0" w14:textId="6F6B77E1"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Cash type instruments</w:t>
            </w:r>
          </w:p>
        </w:tc>
      </w:tr>
      <w:tr w:rsidR="00862C9A" w:rsidRPr="00496AD4" w14:paraId="540FB1A3" w14:textId="1A6507F6" w:rsidTr="006D6EFC">
        <w:tc>
          <w:tcPr>
            <w:tcW w:w="2560" w:type="dxa"/>
          </w:tcPr>
          <w:p w14:paraId="3B156CCF" w14:textId="77777777" w:rsidR="00862C9A" w:rsidRPr="00496AD4" w:rsidRDefault="00862C9A" w:rsidP="004075A7">
            <w:pPr>
              <w:numPr>
                <w:ilvl w:val="1"/>
                <w:numId w:val="60"/>
              </w:numPr>
              <w:spacing w:after="120"/>
              <w:ind w:left="540"/>
              <w:rPr>
                <w:rFonts w:cs="Arial"/>
                <w:iCs/>
                <w:spacing w:val="0"/>
                <w:sz w:val="22"/>
                <w:szCs w:val="22"/>
                <w:lang w:val="en-US"/>
              </w:rPr>
            </w:pPr>
            <w:r w:rsidRPr="00496AD4">
              <w:rPr>
                <w:rFonts w:cs="Arial"/>
                <w:iCs/>
                <w:spacing w:val="0"/>
                <w:sz w:val="22"/>
                <w:szCs w:val="22"/>
                <w:lang w:val="en-US"/>
              </w:rPr>
              <w:t>Deposits with the Debt Management Account Facility (UK Government) (</w:t>
            </w:r>
            <w:r w:rsidRPr="00496AD4">
              <w:rPr>
                <w:rFonts w:cs="Arial"/>
                <w:b/>
                <w:iCs/>
                <w:spacing w:val="0"/>
                <w:sz w:val="22"/>
                <w:szCs w:val="22"/>
                <w:lang w:val="en-US"/>
              </w:rPr>
              <w:t>Very low risk)</w:t>
            </w:r>
          </w:p>
        </w:tc>
        <w:tc>
          <w:tcPr>
            <w:tcW w:w="4523" w:type="dxa"/>
          </w:tcPr>
          <w:p w14:paraId="3FFC272D"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This is a deposit with the UK Government and as such counterparty and liquidity risk is very low, and there is no risk to value.  Deposits can be between overnight and 6 months.</w:t>
            </w:r>
          </w:p>
        </w:tc>
        <w:tc>
          <w:tcPr>
            <w:tcW w:w="3624" w:type="dxa"/>
          </w:tcPr>
          <w:p w14:paraId="4777CB5B"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Little mitigating controls required.  As this is a UK Government investment the monetary limit is unlimited to allow for a safe haven for investments.</w:t>
            </w:r>
          </w:p>
        </w:tc>
        <w:tc>
          <w:tcPr>
            <w:tcW w:w="1422" w:type="dxa"/>
          </w:tcPr>
          <w:p w14:paraId="59C12C03" w14:textId="70E8AEEE"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£unlimited, maximum 6 months</w:t>
            </w:r>
          </w:p>
        </w:tc>
        <w:tc>
          <w:tcPr>
            <w:tcW w:w="1422" w:type="dxa"/>
          </w:tcPr>
          <w:p w14:paraId="62C253A4" w14:textId="4118D679"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£unlimited, maximum 6 months</w:t>
            </w:r>
          </w:p>
        </w:tc>
        <w:tc>
          <w:tcPr>
            <w:tcW w:w="1300" w:type="dxa"/>
          </w:tcPr>
          <w:p w14:paraId="30EF39BE" w14:textId="610CBF6E"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£unlimited, maximum 6 months</w:t>
            </w:r>
          </w:p>
        </w:tc>
      </w:tr>
      <w:tr w:rsidR="00862C9A" w:rsidRPr="00496AD4" w14:paraId="6530BBDA" w14:textId="6486EB8A" w:rsidTr="006D6EFC">
        <w:tc>
          <w:tcPr>
            <w:tcW w:w="2560" w:type="dxa"/>
          </w:tcPr>
          <w:p w14:paraId="791EAC1A" w14:textId="77777777" w:rsidR="00862C9A" w:rsidRPr="00496AD4" w:rsidRDefault="00862C9A" w:rsidP="004075A7">
            <w:pPr>
              <w:numPr>
                <w:ilvl w:val="1"/>
                <w:numId w:val="60"/>
              </w:numPr>
              <w:spacing w:after="120"/>
              <w:ind w:left="540"/>
              <w:rPr>
                <w:rFonts w:cs="Arial"/>
                <w:iCs/>
                <w:spacing w:val="0"/>
                <w:sz w:val="22"/>
                <w:szCs w:val="22"/>
                <w:lang w:val="en-US"/>
              </w:rPr>
            </w:pPr>
            <w:r w:rsidRPr="00496AD4">
              <w:rPr>
                <w:rFonts w:cs="Arial"/>
                <w:iCs/>
                <w:spacing w:val="0"/>
                <w:sz w:val="22"/>
                <w:szCs w:val="22"/>
                <w:lang w:val="en-US"/>
              </w:rPr>
              <w:t>Deposits with other local authorities or public bodies</w:t>
            </w:r>
            <w:r w:rsidRPr="00496AD4">
              <w:rPr>
                <w:rFonts w:cs="Arial"/>
                <w:b/>
                <w:iCs/>
                <w:spacing w:val="0"/>
                <w:sz w:val="22"/>
                <w:szCs w:val="22"/>
                <w:lang w:val="en-US"/>
              </w:rPr>
              <w:t xml:space="preserve"> (Very low risk)</w:t>
            </w:r>
          </w:p>
        </w:tc>
        <w:tc>
          <w:tcPr>
            <w:tcW w:w="4523" w:type="dxa"/>
          </w:tcPr>
          <w:p w14:paraId="28BD653F"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These are considered quasi</w:t>
            </w:r>
            <w:r>
              <w:rPr>
                <w:rFonts w:cs="Arial"/>
                <w:iCs/>
                <w:spacing w:val="0"/>
                <w:sz w:val="22"/>
                <w:szCs w:val="22"/>
                <w:lang w:val="en-US"/>
              </w:rPr>
              <w:t>-</w:t>
            </w:r>
            <w:r w:rsidRPr="00496AD4">
              <w:rPr>
                <w:rFonts w:cs="Arial"/>
                <w:iCs/>
                <w:spacing w:val="0"/>
                <w:sz w:val="22"/>
                <w:szCs w:val="22"/>
                <w:lang w:val="en-US"/>
              </w:rPr>
              <w:t>UK Government debt and as such counterparty risk is very low, and there is no risk to value.  Liquidity may present a problem as deposits can only be broken with the agreement of the counterparty, and penalties can apply.</w:t>
            </w:r>
          </w:p>
          <w:p w14:paraId="04E1E8D9"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Deposits with other non-local authority bodies will be restricted to the overall credit rating criteria.</w:t>
            </w:r>
          </w:p>
        </w:tc>
        <w:tc>
          <w:tcPr>
            <w:tcW w:w="3624" w:type="dxa"/>
          </w:tcPr>
          <w:p w14:paraId="69AE80D4"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 xml:space="preserve">Little mitigating controls required for local authority deposits, as this is a </w:t>
            </w:r>
            <w:proofErr w:type="gramStart"/>
            <w:r w:rsidRPr="00496AD4">
              <w:rPr>
                <w:rFonts w:cs="Arial"/>
                <w:iCs/>
                <w:spacing w:val="0"/>
                <w:sz w:val="22"/>
                <w:szCs w:val="22"/>
                <w:lang w:val="en-US"/>
              </w:rPr>
              <w:t>quasi UK</w:t>
            </w:r>
            <w:proofErr w:type="gramEnd"/>
            <w:r w:rsidRPr="00496AD4">
              <w:rPr>
                <w:rFonts w:cs="Arial"/>
                <w:iCs/>
                <w:spacing w:val="0"/>
                <w:sz w:val="22"/>
                <w:szCs w:val="22"/>
                <w:lang w:val="en-US"/>
              </w:rPr>
              <w:t xml:space="preserve"> Government investment.</w:t>
            </w:r>
          </w:p>
          <w:p w14:paraId="66914777"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Non-local authority deposits will follow the approved credit rating criteria.</w:t>
            </w:r>
          </w:p>
        </w:tc>
        <w:tc>
          <w:tcPr>
            <w:tcW w:w="1422" w:type="dxa"/>
          </w:tcPr>
          <w:p w14:paraId="6E6F8322" w14:textId="298BCB89"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6D6EFC">
              <w:rPr>
                <w:rFonts w:cs="Arial"/>
                <w:iCs/>
                <w:spacing w:val="0"/>
                <w:sz w:val="22"/>
                <w:szCs w:val="22"/>
                <w:lang w:val="en-US"/>
              </w:rPr>
              <w:t>40m</w:t>
            </w:r>
            <w:r w:rsidRPr="00496AD4">
              <w:rPr>
                <w:rFonts w:cs="Arial"/>
                <w:iCs/>
                <w:spacing w:val="0"/>
                <w:sz w:val="22"/>
                <w:szCs w:val="22"/>
                <w:lang w:val="en-US"/>
              </w:rPr>
              <w:t xml:space="preserve"> and maximum </w:t>
            </w:r>
            <w:r w:rsidR="006D6EFC">
              <w:rPr>
                <w:rFonts w:cs="Arial"/>
                <w:iCs/>
                <w:spacing w:val="0"/>
                <w:sz w:val="22"/>
                <w:szCs w:val="22"/>
                <w:lang w:val="en-US"/>
              </w:rPr>
              <w:t>1</w:t>
            </w:r>
            <w:r w:rsidRPr="00496AD4">
              <w:rPr>
                <w:rFonts w:cs="Arial"/>
                <w:iCs/>
                <w:spacing w:val="0"/>
                <w:sz w:val="22"/>
                <w:szCs w:val="22"/>
                <w:lang w:val="en-US"/>
              </w:rPr>
              <w:t xml:space="preserve"> year</w:t>
            </w:r>
          </w:p>
        </w:tc>
        <w:tc>
          <w:tcPr>
            <w:tcW w:w="1422" w:type="dxa"/>
          </w:tcPr>
          <w:p w14:paraId="4706A690" w14:textId="730C0FF9"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6D6EFC">
              <w:rPr>
                <w:rFonts w:cs="Arial"/>
                <w:iCs/>
                <w:spacing w:val="0"/>
                <w:sz w:val="22"/>
                <w:szCs w:val="22"/>
                <w:lang w:val="en-US"/>
              </w:rPr>
              <w:t xml:space="preserve">5m </w:t>
            </w:r>
            <w:r w:rsidRPr="00496AD4">
              <w:rPr>
                <w:rFonts w:cs="Arial"/>
                <w:iCs/>
                <w:spacing w:val="0"/>
                <w:sz w:val="22"/>
                <w:szCs w:val="22"/>
                <w:lang w:val="en-US"/>
              </w:rPr>
              <w:t xml:space="preserve">and maximum </w:t>
            </w:r>
            <w:r w:rsidR="006D6EFC">
              <w:rPr>
                <w:rFonts w:cs="Arial"/>
                <w:iCs/>
                <w:spacing w:val="0"/>
                <w:sz w:val="22"/>
                <w:szCs w:val="22"/>
                <w:lang w:val="en-US"/>
              </w:rPr>
              <w:t>1</w:t>
            </w:r>
            <w:r w:rsidRPr="00496AD4">
              <w:rPr>
                <w:rFonts w:cs="Arial"/>
                <w:iCs/>
                <w:spacing w:val="0"/>
                <w:sz w:val="22"/>
                <w:szCs w:val="22"/>
                <w:lang w:val="en-US"/>
              </w:rPr>
              <w:t xml:space="preserve"> yea</w:t>
            </w:r>
            <w:r w:rsidR="006D6EFC">
              <w:rPr>
                <w:rFonts w:cs="Arial"/>
                <w:iCs/>
                <w:spacing w:val="0"/>
                <w:sz w:val="22"/>
                <w:szCs w:val="22"/>
                <w:lang w:val="en-US"/>
              </w:rPr>
              <w:t>r</w:t>
            </w:r>
          </w:p>
        </w:tc>
        <w:tc>
          <w:tcPr>
            <w:tcW w:w="1300" w:type="dxa"/>
          </w:tcPr>
          <w:p w14:paraId="2706EBD8" w14:textId="30CDAF0E"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w:t>
            </w:r>
            <w:r>
              <w:rPr>
                <w:rFonts w:cs="Arial"/>
                <w:iCs/>
                <w:spacing w:val="0"/>
                <w:sz w:val="22"/>
                <w:szCs w:val="22"/>
                <w:lang w:val="en-US"/>
              </w:rPr>
              <w:t>40m</w:t>
            </w:r>
            <w:r w:rsidRPr="00496AD4">
              <w:rPr>
                <w:rFonts w:cs="Arial"/>
                <w:iCs/>
                <w:spacing w:val="0"/>
                <w:sz w:val="22"/>
                <w:szCs w:val="22"/>
                <w:lang w:val="en-US"/>
              </w:rPr>
              <w:t xml:space="preserve"> and maximum </w:t>
            </w:r>
            <w:r>
              <w:rPr>
                <w:rFonts w:cs="Arial"/>
                <w:iCs/>
                <w:spacing w:val="0"/>
                <w:sz w:val="22"/>
                <w:szCs w:val="22"/>
                <w:lang w:val="en-US"/>
              </w:rPr>
              <w:t>1</w:t>
            </w:r>
            <w:r w:rsidRPr="00496AD4">
              <w:rPr>
                <w:rFonts w:cs="Arial"/>
                <w:iCs/>
                <w:spacing w:val="0"/>
                <w:sz w:val="22"/>
                <w:szCs w:val="22"/>
                <w:lang w:val="en-US"/>
              </w:rPr>
              <w:t xml:space="preserve"> year</w:t>
            </w:r>
          </w:p>
        </w:tc>
      </w:tr>
      <w:tr w:rsidR="00862C9A" w:rsidRPr="00496AD4" w14:paraId="0E651797" w14:textId="4F9287B9" w:rsidTr="006D6EFC">
        <w:tc>
          <w:tcPr>
            <w:tcW w:w="2560" w:type="dxa"/>
          </w:tcPr>
          <w:p w14:paraId="19A3765C" w14:textId="180E96F9" w:rsidR="00862C9A" w:rsidRPr="00496AD4" w:rsidRDefault="00862C9A" w:rsidP="004075A7">
            <w:pPr>
              <w:numPr>
                <w:ilvl w:val="1"/>
                <w:numId w:val="60"/>
              </w:numPr>
              <w:spacing w:after="120"/>
              <w:ind w:left="540"/>
              <w:rPr>
                <w:rFonts w:cs="Arial"/>
                <w:iCs/>
                <w:spacing w:val="0"/>
                <w:sz w:val="22"/>
                <w:szCs w:val="22"/>
                <w:lang w:val="en-US"/>
              </w:rPr>
            </w:pPr>
            <w:r w:rsidRPr="00496AD4">
              <w:rPr>
                <w:rFonts w:cs="Arial"/>
                <w:iCs/>
                <w:spacing w:val="0"/>
                <w:sz w:val="22"/>
                <w:szCs w:val="22"/>
                <w:lang w:val="en-US"/>
              </w:rPr>
              <w:t xml:space="preserve">Money Market Funds (MMFs) </w:t>
            </w:r>
            <w:r w:rsidRPr="00496AD4">
              <w:rPr>
                <w:rFonts w:cs="Arial"/>
                <w:b/>
                <w:iCs/>
                <w:spacing w:val="0"/>
                <w:sz w:val="22"/>
                <w:szCs w:val="22"/>
                <w:lang w:val="en-US"/>
              </w:rPr>
              <w:t xml:space="preserve">(very low risk) </w:t>
            </w:r>
          </w:p>
        </w:tc>
        <w:tc>
          <w:tcPr>
            <w:tcW w:w="4523" w:type="dxa"/>
          </w:tcPr>
          <w:p w14:paraId="2F006AEF"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Pooled cash investment vehicle which provides very low counterparty, liquidity and market risk.  These will primarily be used as liquidity instruments.</w:t>
            </w:r>
          </w:p>
        </w:tc>
        <w:tc>
          <w:tcPr>
            <w:tcW w:w="3624" w:type="dxa"/>
          </w:tcPr>
          <w:p w14:paraId="3E131F8D"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Funds will only be used where the MMFs has a “AAA” rated status from either Fitch, Moody’s or Standard and Poor’s.</w:t>
            </w:r>
          </w:p>
        </w:tc>
        <w:tc>
          <w:tcPr>
            <w:tcW w:w="1422" w:type="dxa"/>
          </w:tcPr>
          <w:p w14:paraId="7EAE3E0F" w14:textId="7CDE133F"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6D6EFC">
              <w:rPr>
                <w:rFonts w:cs="Arial"/>
                <w:iCs/>
                <w:spacing w:val="0"/>
                <w:sz w:val="22"/>
                <w:szCs w:val="22"/>
                <w:lang w:val="en-US"/>
              </w:rPr>
              <w:t>5m per fund</w:t>
            </w:r>
            <w:r w:rsidRPr="00496AD4">
              <w:rPr>
                <w:rFonts w:cs="Arial"/>
                <w:iCs/>
                <w:spacing w:val="0"/>
                <w:sz w:val="22"/>
                <w:szCs w:val="22"/>
                <w:lang w:val="en-US"/>
              </w:rPr>
              <w:t>/</w:t>
            </w:r>
            <w:r w:rsidR="006D6EFC">
              <w:rPr>
                <w:rFonts w:cs="Arial"/>
                <w:iCs/>
                <w:spacing w:val="0"/>
                <w:sz w:val="22"/>
                <w:szCs w:val="22"/>
                <w:lang w:val="en-US"/>
              </w:rPr>
              <w:t>£25m total</w:t>
            </w:r>
            <w:r w:rsidRPr="00496AD4">
              <w:rPr>
                <w:rFonts w:cs="Arial"/>
                <w:iCs/>
                <w:spacing w:val="0"/>
                <w:sz w:val="22"/>
                <w:szCs w:val="22"/>
                <w:lang w:val="en-US"/>
              </w:rPr>
              <w:t xml:space="preserve"> </w:t>
            </w:r>
          </w:p>
        </w:tc>
        <w:tc>
          <w:tcPr>
            <w:tcW w:w="1422" w:type="dxa"/>
          </w:tcPr>
          <w:p w14:paraId="7D8FBD7B" w14:textId="038D5BF0"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w:t>
            </w:r>
            <w:r>
              <w:rPr>
                <w:rFonts w:cs="Arial"/>
                <w:iCs/>
                <w:spacing w:val="0"/>
                <w:sz w:val="22"/>
                <w:szCs w:val="22"/>
                <w:lang w:val="en-US"/>
              </w:rPr>
              <w:t>5m per fund</w:t>
            </w:r>
            <w:r w:rsidRPr="00496AD4">
              <w:rPr>
                <w:rFonts w:cs="Arial"/>
                <w:iCs/>
                <w:spacing w:val="0"/>
                <w:sz w:val="22"/>
                <w:szCs w:val="22"/>
                <w:lang w:val="en-US"/>
              </w:rPr>
              <w:t>/</w:t>
            </w:r>
            <w:r>
              <w:rPr>
                <w:rFonts w:cs="Arial"/>
                <w:iCs/>
                <w:spacing w:val="0"/>
                <w:sz w:val="22"/>
                <w:szCs w:val="22"/>
                <w:lang w:val="en-US"/>
              </w:rPr>
              <w:t>£25m total</w:t>
            </w:r>
            <w:r w:rsidRPr="00496AD4">
              <w:rPr>
                <w:rFonts w:cs="Arial"/>
                <w:iCs/>
                <w:spacing w:val="0"/>
                <w:sz w:val="22"/>
                <w:szCs w:val="22"/>
                <w:lang w:val="en-US"/>
              </w:rPr>
              <w:t xml:space="preserve"> </w:t>
            </w:r>
          </w:p>
        </w:tc>
        <w:tc>
          <w:tcPr>
            <w:tcW w:w="1300" w:type="dxa"/>
          </w:tcPr>
          <w:p w14:paraId="436D9E45" w14:textId="11B71A5A"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w:t>
            </w:r>
            <w:r>
              <w:rPr>
                <w:rFonts w:cs="Arial"/>
                <w:iCs/>
                <w:spacing w:val="0"/>
                <w:sz w:val="22"/>
                <w:szCs w:val="22"/>
                <w:lang w:val="en-US"/>
              </w:rPr>
              <w:t>5m per fund</w:t>
            </w:r>
            <w:r w:rsidRPr="00496AD4">
              <w:rPr>
                <w:rFonts w:cs="Arial"/>
                <w:iCs/>
                <w:spacing w:val="0"/>
                <w:sz w:val="22"/>
                <w:szCs w:val="22"/>
                <w:lang w:val="en-US"/>
              </w:rPr>
              <w:t>/</w:t>
            </w:r>
            <w:r>
              <w:rPr>
                <w:rFonts w:cs="Arial"/>
                <w:iCs/>
                <w:spacing w:val="0"/>
                <w:sz w:val="22"/>
                <w:szCs w:val="22"/>
                <w:lang w:val="en-US"/>
              </w:rPr>
              <w:t>£25m total</w:t>
            </w:r>
          </w:p>
        </w:tc>
      </w:tr>
    </w:tbl>
    <w:p w14:paraId="5746B1BA" w14:textId="77777777" w:rsidR="004075A7" w:rsidRPr="00496AD4" w:rsidRDefault="004075A7" w:rsidP="004075A7">
      <w:pPr>
        <w:rPr>
          <w:rFonts w:cs="Arial"/>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4536"/>
        <w:gridCol w:w="3449"/>
        <w:gridCol w:w="1440"/>
        <w:gridCol w:w="1440"/>
        <w:gridCol w:w="1439"/>
      </w:tblGrid>
      <w:tr w:rsidR="00862C9A" w:rsidRPr="00496AD4" w14:paraId="55F03C7D" w14:textId="734C2A7B" w:rsidTr="00F1064C">
        <w:tc>
          <w:tcPr>
            <w:tcW w:w="2547" w:type="dxa"/>
            <w:shd w:val="clear" w:color="auto" w:fill="C0C0C0"/>
          </w:tcPr>
          <w:p w14:paraId="4E1D1D69" w14:textId="77777777" w:rsidR="00862C9A" w:rsidRPr="00496AD4" w:rsidRDefault="00862C9A" w:rsidP="006B508A">
            <w:pPr>
              <w:keepNext/>
              <w:keepLines/>
              <w:spacing w:after="120"/>
              <w:rPr>
                <w:rFonts w:cs="Arial"/>
                <w:b/>
                <w:iCs/>
                <w:spacing w:val="0"/>
                <w:sz w:val="22"/>
                <w:szCs w:val="22"/>
                <w:lang w:val="en-US"/>
              </w:rPr>
            </w:pPr>
            <w:r w:rsidRPr="00496AD4">
              <w:rPr>
                <w:rFonts w:cs="Arial"/>
                <w:b/>
                <w:iCs/>
                <w:spacing w:val="0"/>
                <w:sz w:val="22"/>
                <w:szCs w:val="22"/>
                <w:lang w:val="en-US"/>
              </w:rPr>
              <w:t>Type of Investment</w:t>
            </w:r>
          </w:p>
        </w:tc>
        <w:tc>
          <w:tcPr>
            <w:tcW w:w="4536" w:type="dxa"/>
            <w:shd w:val="clear" w:color="auto" w:fill="C0C0C0"/>
          </w:tcPr>
          <w:p w14:paraId="4DFE341D" w14:textId="77777777" w:rsidR="00862C9A" w:rsidRPr="00496AD4" w:rsidRDefault="00862C9A" w:rsidP="006B508A">
            <w:pPr>
              <w:keepNext/>
              <w:keepLines/>
              <w:spacing w:after="120"/>
              <w:rPr>
                <w:rFonts w:cs="Arial"/>
                <w:b/>
                <w:iCs/>
                <w:spacing w:val="0"/>
                <w:sz w:val="22"/>
                <w:szCs w:val="22"/>
                <w:lang w:val="en-US"/>
              </w:rPr>
            </w:pPr>
            <w:r w:rsidRPr="00496AD4">
              <w:rPr>
                <w:rFonts w:cs="Arial"/>
                <w:b/>
                <w:iCs/>
                <w:spacing w:val="0"/>
                <w:sz w:val="22"/>
                <w:szCs w:val="22"/>
                <w:lang w:val="en-US"/>
              </w:rPr>
              <w:t>Treasury Risks</w:t>
            </w:r>
          </w:p>
        </w:tc>
        <w:tc>
          <w:tcPr>
            <w:tcW w:w="3449" w:type="dxa"/>
            <w:shd w:val="clear" w:color="auto" w:fill="C0C0C0"/>
          </w:tcPr>
          <w:p w14:paraId="2C2216C0" w14:textId="77777777" w:rsidR="00862C9A" w:rsidRPr="00496AD4" w:rsidRDefault="00862C9A" w:rsidP="006B508A">
            <w:pPr>
              <w:keepNext/>
              <w:keepLines/>
              <w:spacing w:after="120"/>
              <w:rPr>
                <w:rFonts w:cs="Arial"/>
                <w:b/>
                <w:iCs/>
                <w:spacing w:val="0"/>
                <w:sz w:val="22"/>
                <w:szCs w:val="22"/>
                <w:lang w:val="en-US"/>
              </w:rPr>
            </w:pPr>
            <w:r w:rsidRPr="00496AD4">
              <w:rPr>
                <w:rFonts w:cs="Arial"/>
                <w:b/>
                <w:iCs/>
                <w:spacing w:val="0"/>
                <w:sz w:val="22"/>
                <w:szCs w:val="22"/>
                <w:lang w:val="en-US"/>
              </w:rPr>
              <w:t>Mitigating Controls</w:t>
            </w:r>
          </w:p>
        </w:tc>
        <w:tc>
          <w:tcPr>
            <w:tcW w:w="1440" w:type="dxa"/>
            <w:shd w:val="clear" w:color="auto" w:fill="C0C0C0"/>
          </w:tcPr>
          <w:p w14:paraId="32CF91E7" w14:textId="77777777" w:rsidR="00862C9A" w:rsidRPr="00496AD4" w:rsidRDefault="00862C9A" w:rsidP="006B508A">
            <w:pPr>
              <w:keepNext/>
              <w:keepLines/>
              <w:spacing w:after="120"/>
              <w:rPr>
                <w:rFonts w:cs="Arial"/>
                <w:b/>
                <w:iCs/>
                <w:spacing w:val="0"/>
                <w:sz w:val="22"/>
                <w:szCs w:val="22"/>
                <w:lang w:val="en-US"/>
              </w:rPr>
            </w:pPr>
            <w:r w:rsidRPr="00496AD4">
              <w:rPr>
                <w:rFonts w:cs="Arial"/>
                <w:b/>
                <w:iCs/>
                <w:spacing w:val="0"/>
                <w:sz w:val="22"/>
                <w:szCs w:val="22"/>
                <w:lang w:val="en-US"/>
              </w:rPr>
              <w:t>Council Limits</w:t>
            </w:r>
          </w:p>
        </w:tc>
        <w:tc>
          <w:tcPr>
            <w:tcW w:w="1440" w:type="dxa"/>
            <w:shd w:val="clear" w:color="auto" w:fill="C0C0C0"/>
          </w:tcPr>
          <w:p w14:paraId="601D0FB3" w14:textId="36FE2888" w:rsidR="00862C9A" w:rsidRPr="00496AD4" w:rsidRDefault="001653A9" w:rsidP="006B508A">
            <w:pPr>
              <w:keepNext/>
              <w:keepLines/>
              <w:spacing w:after="120"/>
              <w:rPr>
                <w:rFonts w:cs="Arial"/>
                <w:b/>
                <w:iCs/>
                <w:spacing w:val="0"/>
                <w:sz w:val="22"/>
                <w:szCs w:val="22"/>
                <w:lang w:val="en-US"/>
              </w:rPr>
            </w:pPr>
            <w:r w:rsidRPr="00496AD4">
              <w:rPr>
                <w:rFonts w:cs="Arial"/>
                <w:b/>
                <w:iCs/>
                <w:spacing w:val="0"/>
                <w:sz w:val="22"/>
                <w:szCs w:val="22"/>
                <w:lang w:val="en-US"/>
              </w:rPr>
              <w:t xml:space="preserve">Common Good </w:t>
            </w:r>
            <w:r>
              <w:rPr>
                <w:rFonts w:cs="Arial"/>
                <w:b/>
                <w:iCs/>
                <w:spacing w:val="0"/>
                <w:sz w:val="22"/>
                <w:szCs w:val="22"/>
                <w:lang w:val="en-US"/>
              </w:rPr>
              <w:t xml:space="preserve">&amp; Trust Funds </w:t>
            </w:r>
            <w:r w:rsidRPr="00496AD4">
              <w:rPr>
                <w:rFonts w:cs="Arial"/>
                <w:b/>
                <w:iCs/>
                <w:spacing w:val="0"/>
                <w:sz w:val="22"/>
                <w:szCs w:val="22"/>
                <w:lang w:val="en-US"/>
              </w:rPr>
              <w:t xml:space="preserve">Limits </w:t>
            </w:r>
          </w:p>
        </w:tc>
        <w:tc>
          <w:tcPr>
            <w:tcW w:w="1439" w:type="dxa"/>
            <w:shd w:val="clear" w:color="auto" w:fill="C0C0C0"/>
          </w:tcPr>
          <w:p w14:paraId="4C06A858" w14:textId="61B5AC25" w:rsidR="00862C9A" w:rsidRPr="00496AD4" w:rsidRDefault="006D6EFC" w:rsidP="006B508A">
            <w:pPr>
              <w:keepNext/>
              <w:keepLines/>
              <w:spacing w:after="120"/>
              <w:rPr>
                <w:rFonts w:cs="Arial"/>
                <w:b/>
                <w:iCs/>
                <w:spacing w:val="0"/>
                <w:sz w:val="22"/>
                <w:szCs w:val="22"/>
                <w:lang w:val="en-US"/>
              </w:rPr>
            </w:pPr>
            <w:r>
              <w:rPr>
                <w:rFonts w:cs="Arial"/>
                <w:b/>
                <w:iCs/>
                <w:spacing w:val="0"/>
                <w:sz w:val="22"/>
                <w:szCs w:val="22"/>
                <w:lang w:val="en-US"/>
              </w:rPr>
              <w:t>Pension Fund In-house Limits</w:t>
            </w:r>
          </w:p>
        </w:tc>
      </w:tr>
      <w:tr w:rsidR="00862C9A" w:rsidRPr="00496AD4" w14:paraId="4CC39021" w14:textId="367514F5" w:rsidTr="00F1064C">
        <w:tc>
          <w:tcPr>
            <w:tcW w:w="2547" w:type="dxa"/>
          </w:tcPr>
          <w:p w14:paraId="7C4D67EA" w14:textId="77777777" w:rsidR="00862C9A" w:rsidRPr="00496AD4" w:rsidRDefault="00862C9A" w:rsidP="004075A7">
            <w:pPr>
              <w:keepNext/>
              <w:keepLines/>
              <w:numPr>
                <w:ilvl w:val="1"/>
                <w:numId w:val="60"/>
              </w:numPr>
              <w:spacing w:after="120"/>
              <w:ind w:left="540"/>
              <w:rPr>
                <w:rFonts w:cs="Arial"/>
                <w:iCs/>
                <w:spacing w:val="0"/>
                <w:sz w:val="22"/>
                <w:szCs w:val="22"/>
                <w:lang w:val="en-US"/>
              </w:rPr>
            </w:pPr>
            <w:r w:rsidRPr="00496AD4">
              <w:rPr>
                <w:rFonts w:cs="Arial"/>
                <w:iCs/>
                <w:spacing w:val="0"/>
                <w:sz w:val="22"/>
                <w:szCs w:val="22"/>
                <w:lang w:val="en-US"/>
              </w:rPr>
              <w:t>Ultra-</w:t>
            </w:r>
            <w:proofErr w:type="gramStart"/>
            <w:r w:rsidRPr="00496AD4">
              <w:rPr>
                <w:rFonts w:cs="Arial"/>
                <w:iCs/>
                <w:spacing w:val="0"/>
                <w:sz w:val="22"/>
                <w:szCs w:val="22"/>
                <w:lang w:val="en-US"/>
              </w:rPr>
              <w:t>short dated</w:t>
            </w:r>
            <w:proofErr w:type="gramEnd"/>
            <w:r w:rsidRPr="00496AD4">
              <w:rPr>
                <w:rFonts w:cs="Arial"/>
                <w:iCs/>
                <w:spacing w:val="0"/>
                <w:sz w:val="22"/>
                <w:szCs w:val="22"/>
                <w:lang w:val="en-US"/>
              </w:rPr>
              <w:t xml:space="preserve"> bond funds </w:t>
            </w:r>
            <w:r w:rsidRPr="00496AD4">
              <w:rPr>
                <w:rFonts w:cs="Arial"/>
                <w:b/>
                <w:iCs/>
                <w:spacing w:val="0"/>
                <w:sz w:val="22"/>
                <w:szCs w:val="22"/>
                <w:lang w:val="en-US"/>
              </w:rPr>
              <w:t>(low risk)</w:t>
            </w:r>
          </w:p>
        </w:tc>
        <w:tc>
          <w:tcPr>
            <w:tcW w:w="4536" w:type="dxa"/>
          </w:tcPr>
          <w:p w14:paraId="40987A6A" w14:textId="77777777" w:rsidR="00862C9A" w:rsidRPr="00496AD4" w:rsidRDefault="00862C9A" w:rsidP="006B508A">
            <w:pPr>
              <w:keepNext/>
              <w:keepLines/>
              <w:spacing w:after="120"/>
              <w:rPr>
                <w:rFonts w:cs="Arial"/>
                <w:iCs/>
                <w:spacing w:val="0"/>
                <w:sz w:val="22"/>
                <w:szCs w:val="22"/>
                <w:lang w:val="en-US"/>
              </w:rPr>
            </w:pPr>
            <w:r w:rsidRPr="00496AD4">
              <w:rPr>
                <w:rFonts w:cs="Arial"/>
                <w:iCs/>
                <w:spacing w:val="0"/>
                <w:sz w:val="22"/>
                <w:szCs w:val="22"/>
                <w:lang w:val="en-US"/>
              </w:rPr>
              <w:t>Pooled cash investment vehicle which provides very low counterparty, liquidity and market risk.  These will primarily be used as liquidity instruments.</w:t>
            </w:r>
          </w:p>
        </w:tc>
        <w:tc>
          <w:tcPr>
            <w:tcW w:w="3449" w:type="dxa"/>
          </w:tcPr>
          <w:p w14:paraId="349CF878" w14:textId="77777777" w:rsidR="00862C9A" w:rsidRPr="00496AD4" w:rsidRDefault="00862C9A" w:rsidP="006B508A">
            <w:pPr>
              <w:keepNext/>
              <w:keepLines/>
              <w:spacing w:after="120"/>
              <w:rPr>
                <w:rFonts w:cs="Arial"/>
                <w:iCs/>
                <w:spacing w:val="0"/>
                <w:sz w:val="22"/>
                <w:szCs w:val="22"/>
                <w:lang w:val="en-US"/>
              </w:rPr>
            </w:pPr>
            <w:r w:rsidRPr="00496AD4">
              <w:rPr>
                <w:rFonts w:cs="Arial"/>
                <w:iCs/>
                <w:spacing w:val="0"/>
                <w:sz w:val="22"/>
                <w:szCs w:val="22"/>
                <w:lang w:val="en-US"/>
              </w:rPr>
              <w:t>Funds will only be used where they have a “AAA” rated status from either Fitch, Moody’s or Standard and Poor’s.</w:t>
            </w:r>
          </w:p>
        </w:tc>
        <w:tc>
          <w:tcPr>
            <w:tcW w:w="1440" w:type="dxa"/>
          </w:tcPr>
          <w:p w14:paraId="04F4E3C5" w14:textId="6BC1499D" w:rsidR="00862C9A" w:rsidRPr="00496AD4" w:rsidRDefault="006D6EFC" w:rsidP="006B508A">
            <w:pPr>
              <w:keepNext/>
              <w:keepLines/>
              <w:spacing w:after="120"/>
              <w:rPr>
                <w:rFonts w:cs="Arial"/>
                <w:iCs/>
                <w:spacing w:val="0"/>
                <w:sz w:val="22"/>
                <w:szCs w:val="22"/>
                <w:lang w:val="en-US"/>
              </w:rPr>
            </w:pPr>
            <w:r>
              <w:rPr>
                <w:rFonts w:cs="Arial"/>
                <w:iCs/>
                <w:spacing w:val="0"/>
                <w:sz w:val="22"/>
                <w:szCs w:val="22"/>
                <w:lang w:val="en-US"/>
              </w:rPr>
              <w:t>N/A</w:t>
            </w:r>
          </w:p>
        </w:tc>
        <w:tc>
          <w:tcPr>
            <w:tcW w:w="1440" w:type="dxa"/>
          </w:tcPr>
          <w:p w14:paraId="41D2BDAE" w14:textId="26F66F59" w:rsidR="00862C9A" w:rsidRPr="00496AD4" w:rsidRDefault="006D6EFC" w:rsidP="006B508A">
            <w:pPr>
              <w:keepNext/>
              <w:keepLines/>
              <w:spacing w:after="120"/>
              <w:rPr>
                <w:rFonts w:cs="Arial"/>
                <w:iCs/>
                <w:spacing w:val="0"/>
                <w:sz w:val="22"/>
                <w:szCs w:val="22"/>
                <w:lang w:val="en-US"/>
              </w:rPr>
            </w:pPr>
            <w:r>
              <w:rPr>
                <w:rFonts w:cs="Arial"/>
                <w:iCs/>
                <w:spacing w:val="0"/>
                <w:sz w:val="22"/>
                <w:szCs w:val="22"/>
                <w:lang w:val="en-US"/>
              </w:rPr>
              <w:t>N/A</w:t>
            </w:r>
          </w:p>
        </w:tc>
        <w:tc>
          <w:tcPr>
            <w:tcW w:w="1439" w:type="dxa"/>
          </w:tcPr>
          <w:p w14:paraId="44B1BE70" w14:textId="188710F6" w:rsidR="00862C9A" w:rsidRPr="00496AD4" w:rsidRDefault="006D6EFC" w:rsidP="006B508A">
            <w:pPr>
              <w:keepNext/>
              <w:keepLines/>
              <w:spacing w:after="120"/>
              <w:rPr>
                <w:rFonts w:cs="Arial"/>
                <w:iCs/>
                <w:spacing w:val="0"/>
                <w:sz w:val="22"/>
                <w:szCs w:val="22"/>
                <w:lang w:val="en-US"/>
              </w:rPr>
            </w:pPr>
            <w:r>
              <w:rPr>
                <w:rFonts w:cs="Arial"/>
                <w:iCs/>
                <w:spacing w:val="0"/>
                <w:sz w:val="22"/>
                <w:szCs w:val="22"/>
                <w:lang w:val="en-US"/>
              </w:rPr>
              <w:t>N/A</w:t>
            </w:r>
          </w:p>
        </w:tc>
      </w:tr>
      <w:tr w:rsidR="00862C9A" w:rsidRPr="00496AD4" w14:paraId="6A30F363" w14:textId="71E3BACE" w:rsidTr="00F1064C">
        <w:trPr>
          <w:trHeight w:val="2300"/>
        </w:trPr>
        <w:tc>
          <w:tcPr>
            <w:tcW w:w="2547" w:type="dxa"/>
          </w:tcPr>
          <w:p w14:paraId="057D2C9D" w14:textId="77777777" w:rsidR="00862C9A" w:rsidRPr="00496AD4" w:rsidRDefault="00862C9A" w:rsidP="004075A7">
            <w:pPr>
              <w:numPr>
                <w:ilvl w:val="1"/>
                <w:numId w:val="60"/>
              </w:numPr>
              <w:spacing w:after="120"/>
              <w:ind w:left="567" w:hanging="425"/>
              <w:rPr>
                <w:rFonts w:cs="Arial"/>
                <w:iCs/>
                <w:spacing w:val="0"/>
                <w:sz w:val="22"/>
                <w:szCs w:val="22"/>
                <w:lang w:val="en-US"/>
              </w:rPr>
            </w:pPr>
            <w:r w:rsidRPr="00496AD4">
              <w:rPr>
                <w:rFonts w:cs="Arial"/>
                <w:iCs/>
                <w:spacing w:val="0"/>
                <w:sz w:val="22"/>
                <w:szCs w:val="22"/>
                <w:lang w:val="en-US"/>
              </w:rPr>
              <w:t xml:space="preserve">Call account deposit accounts with financial institutions (banks and building societies) </w:t>
            </w:r>
            <w:r w:rsidRPr="00496AD4">
              <w:rPr>
                <w:rFonts w:cs="Arial"/>
                <w:b/>
                <w:iCs/>
                <w:spacing w:val="0"/>
                <w:sz w:val="22"/>
                <w:szCs w:val="22"/>
                <w:lang w:val="en-US"/>
              </w:rPr>
              <w:t>(Low risk depending on credit rating)</w:t>
            </w:r>
          </w:p>
        </w:tc>
        <w:tc>
          <w:tcPr>
            <w:tcW w:w="4536" w:type="dxa"/>
          </w:tcPr>
          <w:p w14:paraId="2E2548B8"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 xml:space="preserve">These tend to be low risk </w:t>
            </w:r>
            <w:proofErr w:type="gramStart"/>
            <w:r w:rsidRPr="00496AD4">
              <w:rPr>
                <w:rFonts w:cs="Arial"/>
                <w:iCs/>
                <w:spacing w:val="0"/>
                <w:sz w:val="22"/>
                <w:szCs w:val="22"/>
                <w:lang w:val="en-US"/>
              </w:rPr>
              <w:t>investments, but</w:t>
            </w:r>
            <w:proofErr w:type="gramEnd"/>
            <w:r w:rsidRPr="00496AD4">
              <w:rPr>
                <w:rFonts w:cs="Arial"/>
                <w:iCs/>
                <w:spacing w:val="0"/>
                <w:sz w:val="22"/>
                <w:szCs w:val="22"/>
                <w:lang w:val="en-US"/>
              </w:rPr>
              <w:t xml:space="preserve"> will exhibit higher risks than categories (a), (b) and (c) above.  Whilst there is no risk to value with these types of investments, liquidity is high and investments can be returned at short notice.  </w:t>
            </w:r>
          </w:p>
        </w:tc>
        <w:tc>
          <w:tcPr>
            <w:tcW w:w="3449" w:type="dxa"/>
          </w:tcPr>
          <w:p w14:paraId="676391D5"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The counterparty selection criteria approved above restricts lending only to high quality counterparties, measured primarily by credit ratings from Fitch, Moody’s and Standard and Poor’s. Day to day investment dealing with these criteria will be further strengthened by use of additional market intelligence.</w:t>
            </w:r>
          </w:p>
        </w:tc>
        <w:tc>
          <w:tcPr>
            <w:tcW w:w="1440" w:type="dxa"/>
          </w:tcPr>
          <w:p w14:paraId="71DE9428" w14:textId="1E403ECB"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c>
          <w:tcPr>
            <w:tcW w:w="1440" w:type="dxa"/>
          </w:tcPr>
          <w:p w14:paraId="02E6C56F" w14:textId="5E312408"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c>
          <w:tcPr>
            <w:tcW w:w="1439" w:type="dxa"/>
          </w:tcPr>
          <w:p w14:paraId="48827529" w14:textId="3B6649FC"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r>
      <w:tr w:rsidR="00862C9A" w:rsidRPr="00496AD4" w14:paraId="77981694" w14:textId="4FD57757" w:rsidTr="00F1064C">
        <w:tc>
          <w:tcPr>
            <w:tcW w:w="2547" w:type="dxa"/>
          </w:tcPr>
          <w:p w14:paraId="72F6026B" w14:textId="77777777" w:rsidR="00862C9A" w:rsidRPr="00496AD4" w:rsidRDefault="00862C9A" w:rsidP="004075A7">
            <w:pPr>
              <w:numPr>
                <w:ilvl w:val="1"/>
                <w:numId w:val="60"/>
              </w:numPr>
              <w:spacing w:after="120"/>
              <w:ind w:left="567"/>
              <w:rPr>
                <w:rFonts w:cs="Arial"/>
                <w:iCs/>
                <w:spacing w:val="0"/>
                <w:sz w:val="22"/>
                <w:szCs w:val="22"/>
                <w:lang w:val="en-US"/>
              </w:rPr>
            </w:pPr>
            <w:r w:rsidRPr="00496AD4">
              <w:rPr>
                <w:rFonts w:cs="Arial"/>
                <w:iCs/>
                <w:spacing w:val="0"/>
                <w:sz w:val="22"/>
                <w:szCs w:val="22"/>
                <w:lang w:val="en-US"/>
              </w:rPr>
              <w:t xml:space="preserve">Term deposits with financial institutions (banks and building societies) </w:t>
            </w:r>
            <w:r w:rsidRPr="00496AD4">
              <w:rPr>
                <w:rFonts w:cs="Arial"/>
                <w:b/>
                <w:iCs/>
                <w:spacing w:val="0"/>
                <w:sz w:val="22"/>
                <w:szCs w:val="22"/>
                <w:lang w:val="en-US"/>
              </w:rPr>
              <w:t>(Low to medium risk depending on period &amp; credit rating)</w:t>
            </w:r>
          </w:p>
          <w:p w14:paraId="62C7B177" w14:textId="77777777" w:rsidR="00862C9A" w:rsidRPr="00496AD4" w:rsidRDefault="00862C9A" w:rsidP="006B508A">
            <w:pPr>
              <w:spacing w:after="120"/>
              <w:ind w:left="207"/>
              <w:rPr>
                <w:rFonts w:cs="Arial"/>
                <w:iCs/>
                <w:spacing w:val="0"/>
                <w:sz w:val="22"/>
                <w:szCs w:val="22"/>
                <w:lang w:val="en-US"/>
              </w:rPr>
            </w:pPr>
          </w:p>
        </w:tc>
        <w:tc>
          <w:tcPr>
            <w:tcW w:w="4536" w:type="dxa"/>
          </w:tcPr>
          <w:p w14:paraId="21EFFFF8"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 xml:space="preserve">These tend to be low risk </w:t>
            </w:r>
            <w:proofErr w:type="gramStart"/>
            <w:r w:rsidRPr="00496AD4">
              <w:rPr>
                <w:rFonts w:cs="Arial"/>
                <w:iCs/>
                <w:spacing w:val="0"/>
                <w:sz w:val="22"/>
                <w:szCs w:val="22"/>
                <w:lang w:val="en-US"/>
              </w:rPr>
              <w:t>investments, but</w:t>
            </w:r>
            <w:proofErr w:type="gramEnd"/>
            <w:r w:rsidRPr="00496AD4">
              <w:rPr>
                <w:rFonts w:cs="Arial"/>
                <w:iCs/>
                <w:spacing w:val="0"/>
                <w:sz w:val="22"/>
                <w:szCs w:val="22"/>
                <w:lang w:val="en-US"/>
              </w:rPr>
              <w:t xml:space="preserve"> will exhibit higher risks than categories (a), (b) and (c) above.  Whilst there is no risk to value with these types of investments, liquidity is low and term deposits can only be broken with the agreement of the counterparty, and penalties may apply.  </w:t>
            </w:r>
          </w:p>
        </w:tc>
        <w:tc>
          <w:tcPr>
            <w:tcW w:w="3449" w:type="dxa"/>
          </w:tcPr>
          <w:p w14:paraId="0F3B897D" w14:textId="77777777" w:rsidR="00862C9A" w:rsidRPr="00496AD4" w:rsidRDefault="00862C9A" w:rsidP="006B508A">
            <w:pPr>
              <w:spacing w:after="120"/>
              <w:rPr>
                <w:rFonts w:cs="Arial"/>
                <w:iCs/>
                <w:spacing w:val="0"/>
                <w:sz w:val="21"/>
                <w:szCs w:val="21"/>
                <w:lang w:val="en-US"/>
              </w:rPr>
            </w:pPr>
            <w:r w:rsidRPr="00496AD4">
              <w:rPr>
                <w:rFonts w:cs="Arial"/>
                <w:iCs/>
                <w:spacing w:val="0"/>
                <w:sz w:val="21"/>
                <w:szCs w:val="21"/>
                <w:lang w:val="en-US"/>
              </w:rPr>
              <w:t>The counterparty selection criteria approved above restricts lending only to high quality counterparties, measured primarily by credit ratings from Fitch, Moody’s and Standard and Poor’s.  Day to day investment dealing with these criteria will be further strengthened by use of additional market intelligence.</w:t>
            </w:r>
          </w:p>
        </w:tc>
        <w:tc>
          <w:tcPr>
            <w:tcW w:w="1440" w:type="dxa"/>
          </w:tcPr>
          <w:p w14:paraId="7A164351" w14:textId="21B5BD33"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c>
          <w:tcPr>
            <w:tcW w:w="1440" w:type="dxa"/>
          </w:tcPr>
          <w:p w14:paraId="4321827F" w14:textId="542823FE"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c>
          <w:tcPr>
            <w:tcW w:w="1439" w:type="dxa"/>
          </w:tcPr>
          <w:p w14:paraId="4B502F74" w14:textId="1FC75750" w:rsidR="00862C9A" w:rsidRPr="00496AD4" w:rsidRDefault="006D6EFC" w:rsidP="006B508A">
            <w:pPr>
              <w:spacing w:after="120"/>
              <w:rPr>
                <w:rFonts w:cs="Arial"/>
                <w:iCs/>
                <w:spacing w:val="0"/>
                <w:sz w:val="22"/>
                <w:szCs w:val="22"/>
                <w:lang w:val="en-US"/>
              </w:rPr>
            </w:pPr>
            <w:r w:rsidRPr="00496AD4">
              <w:rPr>
                <w:rFonts w:cs="Arial"/>
                <w:iCs/>
                <w:spacing w:val="0"/>
                <w:sz w:val="22"/>
                <w:szCs w:val="22"/>
                <w:lang w:val="en-US"/>
              </w:rPr>
              <w:t>As shown in the counterparty section criteria above</w:t>
            </w:r>
          </w:p>
        </w:tc>
      </w:tr>
    </w:tbl>
    <w:p w14:paraId="7E3AAC9C" w14:textId="77777777" w:rsidR="004075A7" w:rsidRDefault="004075A7" w:rsidP="004075A7">
      <w:pPr>
        <w:rPr>
          <w:rFonts w:cs="Arial"/>
        </w:rPr>
      </w:pPr>
    </w:p>
    <w:p w14:paraId="386F9CD9" w14:textId="77777777" w:rsidR="004075A7" w:rsidRDefault="004075A7" w:rsidP="004075A7">
      <w:pPr>
        <w:rPr>
          <w:rFonts w:cs="Arial"/>
        </w:rPr>
      </w:pPr>
    </w:p>
    <w:p w14:paraId="4DF37638" w14:textId="77777777" w:rsidR="004075A7" w:rsidRDefault="004075A7" w:rsidP="004075A7">
      <w:pPr>
        <w:rPr>
          <w:rFonts w:cs="Arial"/>
        </w:rPr>
      </w:pPr>
    </w:p>
    <w:p w14:paraId="70071329" w14:textId="744DD6E9" w:rsidR="004075A7" w:rsidRDefault="004075A7" w:rsidP="004075A7">
      <w:pPr>
        <w:rPr>
          <w:rFonts w:cs="Arial"/>
        </w:rPr>
      </w:pPr>
      <w:r>
        <w:rPr>
          <w:rFonts w:cs="Arial"/>
        </w:rPr>
        <w:br w:type="page"/>
      </w:r>
    </w:p>
    <w:tbl>
      <w:tblPr>
        <w:tblpPr w:leftFromText="180" w:rightFromText="180" w:vertAnchor="text" w:horzAnchor="margin" w:tblpY="97"/>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4536"/>
        <w:gridCol w:w="3596"/>
        <w:gridCol w:w="1440"/>
        <w:gridCol w:w="1440"/>
        <w:gridCol w:w="1292"/>
      </w:tblGrid>
      <w:tr w:rsidR="00862C9A" w:rsidRPr="00496AD4" w14:paraId="294C7BC6" w14:textId="6C030483" w:rsidTr="00F1064C">
        <w:tc>
          <w:tcPr>
            <w:tcW w:w="2547" w:type="dxa"/>
            <w:shd w:val="clear" w:color="auto" w:fill="C0C0C0"/>
          </w:tcPr>
          <w:p w14:paraId="4E54479A" w14:textId="77777777" w:rsidR="00862C9A" w:rsidRPr="00496AD4" w:rsidRDefault="00862C9A" w:rsidP="004075A7">
            <w:pPr>
              <w:spacing w:after="120"/>
              <w:rPr>
                <w:rFonts w:cs="Arial"/>
                <w:b/>
                <w:iCs/>
                <w:spacing w:val="0"/>
                <w:sz w:val="22"/>
                <w:szCs w:val="22"/>
                <w:lang w:val="en-US"/>
              </w:rPr>
            </w:pPr>
            <w:r w:rsidRPr="00496AD4">
              <w:rPr>
                <w:rFonts w:cs="Arial"/>
                <w:b/>
                <w:iCs/>
                <w:spacing w:val="0"/>
                <w:sz w:val="22"/>
                <w:szCs w:val="22"/>
                <w:lang w:val="en-US"/>
              </w:rPr>
              <w:t>Type of Investment</w:t>
            </w:r>
          </w:p>
        </w:tc>
        <w:tc>
          <w:tcPr>
            <w:tcW w:w="4536" w:type="dxa"/>
            <w:shd w:val="clear" w:color="auto" w:fill="C0C0C0"/>
          </w:tcPr>
          <w:p w14:paraId="124BAE13" w14:textId="77777777" w:rsidR="00862C9A" w:rsidRPr="00496AD4" w:rsidRDefault="00862C9A" w:rsidP="004075A7">
            <w:pPr>
              <w:spacing w:after="120"/>
              <w:rPr>
                <w:rFonts w:cs="Arial"/>
                <w:b/>
                <w:iCs/>
                <w:spacing w:val="0"/>
                <w:sz w:val="22"/>
                <w:szCs w:val="22"/>
                <w:lang w:val="en-US"/>
              </w:rPr>
            </w:pPr>
            <w:r w:rsidRPr="00496AD4">
              <w:rPr>
                <w:rFonts w:cs="Arial"/>
                <w:b/>
                <w:iCs/>
                <w:spacing w:val="0"/>
                <w:sz w:val="22"/>
                <w:szCs w:val="22"/>
                <w:lang w:val="en-US"/>
              </w:rPr>
              <w:t>Treasury Risks</w:t>
            </w:r>
          </w:p>
        </w:tc>
        <w:tc>
          <w:tcPr>
            <w:tcW w:w="3596" w:type="dxa"/>
            <w:shd w:val="clear" w:color="auto" w:fill="C0C0C0"/>
          </w:tcPr>
          <w:p w14:paraId="7C61BB2E" w14:textId="77777777" w:rsidR="00862C9A" w:rsidRPr="00496AD4" w:rsidRDefault="00862C9A" w:rsidP="004075A7">
            <w:pPr>
              <w:spacing w:after="120"/>
              <w:rPr>
                <w:rFonts w:cs="Arial"/>
                <w:b/>
                <w:iCs/>
                <w:spacing w:val="0"/>
                <w:sz w:val="22"/>
                <w:szCs w:val="22"/>
                <w:lang w:val="en-US"/>
              </w:rPr>
            </w:pPr>
            <w:r w:rsidRPr="00496AD4">
              <w:rPr>
                <w:rFonts w:cs="Arial"/>
                <w:b/>
                <w:iCs/>
                <w:spacing w:val="0"/>
                <w:sz w:val="22"/>
                <w:szCs w:val="22"/>
                <w:lang w:val="en-US"/>
              </w:rPr>
              <w:t>Mitigating Controls</w:t>
            </w:r>
          </w:p>
        </w:tc>
        <w:tc>
          <w:tcPr>
            <w:tcW w:w="1440" w:type="dxa"/>
            <w:shd w:val="clear" w:color="auto" w:fill="C0C0C0"/>
          </w:tcPr>
          <w:p w14:paraId="4C56E153" w14:textId="77777777" w:rsidR="00862C9A" w:rsidRPr="00496AD4" w:rsidRDefault="00862C9A" w:rsidP="004075A7">
            <w:pPr>
              <w:spacing w:after="120"/>
              <w:rPr>
                <w:rFonts w:cs="Arial"/>
                <w:b/>
                <w:iCs/>
                <w:spacing w:val="0"/>
                <w:sz w:val="22"/>
                <w:szCs w:val="22"/>
                <w:lang w:val="en-US"/>
              </w:rPr>
            </w:pPr>
            <w:r w:rsidRPr="00496AD4">
              <w:rPr>
                <w:rFonts w:cs="Arial"/>
                <w:b/>
                <w:iCs/>
                <w:spacing w:val="0"/>
                <w:sz w:val="22"/>
                <w:szCs w:val="22"/>
                <w:lang w:val="en-US"/>
              </w:rPr>
              <w:t>Council Limits</w:t>
            </w:r>
          </w:p>
        </w:tc>
        <w:tc>
          <w:tcPr>
            <w:tcW w:w="1440" w:type="dxa"/>
            <w:shd w:val="clear" w:color="auto" w:fill="C0C0C0"/>
          </w:tcPr>
          <w:p w14:paraId="3C0F12AE" w14:textId="4ED2143D" w:rsidR="00862C9A" w:rsidRPr="00496AD4" w:rsidRDefault="001653A9" w:rsidP="004075A7">
            <w:pPr>
              <w:spacing w:after="120"/>
              <w:rPr>
                <w:rFonts w:cs="Arial"/>
                <w:b/>
                <w:iCs/>
                <w:spacing w:val="0"/>
                <w:sz w:val="22"/>
                <w:szCs w:val="22"/>
                <w:lang w:val="en-US"/>
              </w:rPr>
            </w:pPr>
            <w:r w:rsidRPr="00496AD4">
              <w:rPr>
                <w:rFonts w:cs="Arial"/>
                <w:b/>
                <w:iCs/>
                <w:spacing w:val="0"/>
                <w:sz w:val="22"/>
                <w:szCs w:val="22"/>
                <w:lang w:val="en-US"/>
              </w:rPr>
              <w:t xml:space="preserve">Common Good </w:t>
            </w:r>
            <w:r>
              <w:rPr>
                <w:rFonts w:cs="Arial"/>
                <w:b/>
                <w:iCs/>
                <w:spacing w:val="0"/>
                <w:sz w:val="22"/>
                <w:szCs w:val="22"/>
                <w:lang w:val="en-US"/>
              </w:rPr>
              <w:t xml:space="preserve">&amp; Trust Funds </w:t>
            </w:r>
            <w:r w:rsidRPr="00496AD4">
              <w:rPr>
                <w:rFonts w:cs="Arial"/>
                <w:b/>
                <w:iCs/>
                <w:spacing w:val="0"/>
                <w:sz w:val="22"/>
                <w:szCs w:val="22"/>
                <w:lang w:val="en-US"/>
              </w:rPr>
              <w:t xml:space="preserve">Limits </w:t>
            </w:r>
          </w:p>
        </w:tc>
        <w:tc>
          <w:tcPr>
            <w:tcW w:w="1292" w:type="dxa"/>
            <w:shd w:val="clear" w:color="auto" w:fill="C0C0C0"/>
          </w:tcPr>
          <w:p w14:paraId="4AD1102C" w14:textId="3CEB797A" w:rsidR="00862C9A" w:rsidRPr="00496AD4" w:rsidRDefault="006D6EFC" w:rsidP="004075A7">
            <w:pPr>
              <w:spacing w:after="120"/>
              <w:rPr>
                <w:rFonts w:cs="Arial"/>
                <w:b/>
                <w:iCs/>
                <w:spacing w:val="0"/>
                <w:sz w:val="22"/>
                <w:szCs w:val="22"/>
                <w:lang w:val="en-US"/>
              </w:rPr>
            </w:pPr>
            <w:r>
              <w:rPr>
                <w:rFonts w:cs="Arial"/>
                <w:b/>
                <w:iCs/>
                <w:spacing w:val="0"/>
                <w:sz w:val="22"/>
                <w:szCs w:val="22"/>
                <w:lang w:val="en-US"/>
              </w:rPr>
              <w:t>Pension Fund In-house Limits</w:t>
            </w:r>
          </w:p>
        </w:tc>
      </w:tr>
      <w:tr w:rsidR="00862C9A" w:rsidRPr="00496AD4" w14:paraId="432ACC02" w14:textId="5166481E" w:rsidTr="00F1064C">
        <w:tc>
          <w:tcPr>
            <w:tcW w:w="2547" w:type="dxa"/>
          </w:tcPr>
          <w:p w14:paraId="7635173E" w14:textId="30449F40" w:rsidR="00862C9A" w:rsidRPr="00496AD4" w:rsidRDefault="00862C9A" w:rsidP="004443C7">
            <w:pPr>
              <w:numPr>
                <w:ilvl w:val="1"/>
                <w:numId w:val="60"/>
              </w:numPr>
              <w:spacing w:after="120"/>
              <w:ind w:left="567"/>
              <w:rPr>
                <w:rFonts w:cs="Arial"/>
                <w:iCs/>
                <w:spacing w:val="0"/>
                <w:sz w:val="22"/>
                <w:szCs w:val="22"/>
                <w:lang w:val="en-US"/>
              </w:rPr>
            </w:pPr>
            <w:r w:rsidRPr="00496AD4">
              <w:rPr>
                <w:rFonts w:cs="Arial"/>
                <w:iCs/>
                <w:spacing w:val="0"/>
                <w:sz w:val="22"/>
                <w:szCs w:val="22"/>
                <w:lang w:val="en-US"/>
              </w:rPr>
              <w:t xml:space="preserve">Government Gilts and Treasury Bills </w:t>
            </w:r>
            <w:r w:rsidRPr="00496AD4">
              <w:rPr>
                <w:rFonts w:cs="Arial"/>
                <w:b/>
                <w:iCs/>
                <w:spacing w:val="0"/>
                <w:sz w:val="22"/>
                <w:szCs w:val="22"/>
                <w:lang w:val="en-US"/>
              </w:rPr>
              <w:t>(Very low risk)</w:t>
            </w:r>
          </w:p>
        </w:tc>
        <w:tc>
          <w:tcPr>
            <w:tcW w:w="4536" w:type="dxa"/>
          </w:tcPr>
          <w:p w14:paraId="6DC9AE31" w14:textId="77777777" w:rsidR="00862C9A" w:rsidRPr="00496AD4" w:rsidRDefault="00862C9A" w:rsidP="004075A7">
            <w:pPr>
              <w:spacing w:after="120"/>
              <w:rPr>
                <w:rFonts w:cs="Arial"/>
                <w:iCs/>
                <w:spacing w:val="0"/>
                <w:sz w:val="22"/>
                <w:szCs w:val="22"/>
                <w:lang w:val="en-US"/>
              </w:rPr>
            </w:pPr>
            <w:r w:rsidRPr="00496AD4">
              <w:rPr>
                <w:rFonts w:cs="Arial"/>
                <w:iCs/>
                <w:spacing w:val="0"/>
                <w:sz w:val="22"/>
                <w:szCs w:val="22"/>
                <w:lang w:val="en-US"/>
              </w:rPr>
              <w:t xml:space="preserve">These are marketable securities issued by the UK Government and as such counterparty and liquidity risk is very low, although there is potential risk to value arising from an adverse movement in interest rates (no loss if these are held to maturity.  </w:t>
            </w:r>
          </w:p>
        </w:tc>
        <w:tc>
          <w:tcPr>
            <w:tcW w:w="3596" w:type="dxa"/>
          </w:tcPr>
          <w:p w14:paraId="6D2C73A0" w14:textId="77777777" w:rsidR="00862C9A" w:rsidRPr="00496AD4" w:rsidRDefault="00862C9A" w:rsidP="004075A7">
            <w:pPr>
              <w:spacing w:after="120"/>
              <w:rPr>
                <w:rFonts w:cs="Arial"/>
                <w:iCs/>
                <w:spacing w:val="0"/>
                <w:sz w:val="22"/>
                <w:szCs w:val="22"/>
                <w:lang w:val="en-US"/>
              </w:rPr>
            </w:pPr>
            <w:r w:rsidRPr="00496AD4">
              <w:rPr>
                <w:rFonts w:cs="Arial"/>
                <w:iCs/>
                <w:spacing w:val="0"/>
                <w:sz w:val="22"/>
                <w:szCs w:val="22"/>
                <w:lang w:val="en-US"/>
              </w:rPr>
              <w:t>Little counterparty mitigating controls are required, as this is a UK Government investment.   The potential for capital loss will be reduced by limiting the maximum monetary and time exposures.</w:t>
            </w:r>
          </w:p>
        </w:tc>
        <w:tc>
          <w:tcPr>
            <w:tcW w:w="1440" w:type="dxa"/>
          </w:tcPr>
          <w:p w14:paraId="5D5CBBA2" w14:textId="38ED7BE9" w:rsidR="00862C9A" w:rsidRPr="00496AD4" w:rsidRDefault="00862C9A" w:rsidP="004075A7">
            <w:pPr>
              <w:spacing w:after="120"/>
              <w:rPr>
                <w:rFonts w:cs="Arial"/>
                <w:iCs/>
                <w:spacing w:val="0"/>
                <w:sz w:val="22"/>
                <w:szCs w:val="22"/>
                <w:lang w:val="en-US"/>
              </w:rPr>
            </w:pPr>
            <w:r w:rsidRPr="00496AD4">
              <w:rPr>
                <w:rFonts w:cs="Arial"/>
                <w:iCs/>
                <w:spacing w:val="0"/>
                <w:sz w:val="22"/>
                <w:szCs w:val="22"/>
                <w:lang w:val="en-US"/>
              </w:rPr>
              <w:t>£</w:t>
            </w:r>
            <w:r w:rsidR="006D6EFC">
              <w:rPr>
                <w:rFonts w:cs="Arial"/>
                <w:iCs/>
                <w:spacing w:val="0"/>
                <w:sz w:val="22"/>
                <w:szCs w:val="22"/>
                <w:lang w:val="en-US"/>
              </w:rPr>
              <w:t>20m,</w:t>
            </w:r>
            <w:r w:rsidRPr="00496AD4">
              <w:rPr>
                <w:rFonts w:cs="Arial"/>
                <w:iCs/>
                <w:spacing w:val="0"/>
                <w:sz w:val="22"/>
                <w:szCs w:val="22"/>
                <w:lang w:val="en-US"/>
              </w:rPr>
              <w:t xml:space="preserve"> maximum</w:t>
            </w:r>
            <w:r w:rsidR="006D6EFC">
              <w:rPr>
                <w:rFonts w:cs="Arial"/>
                <w:iCs/>
                <w:spacing w:val="0"/>
                <w:sz w:val="22"/>
                <w:szCs w:val="22"/>
                <w:lang w:val="en-US"/>
              </w:rPr>
              <w:t xml:space="preserve"> 1 </w:t>
            </w:r>
            <w:r w:rsidRPr="00496AD4">
              <w:rPr>
                <w:rFonts w:cs="Arial"/>
                <w:iCs/>
                <w:spacing w:val="0"/>
                <w:sz w:val="22"/>
                <w:szCs w:val="22"/>
                <w:lang w:val="en-US"/>
              </w:rPr>
              <w:t>year</w:t>
            </w:r>
          </w:p>
        </w:tc>
        <w:tc>
          <w:tcPr>
            <w:tcW w:w="1440" w:type="dxa"/>
          </w:tcPr>
          <w:p w14:paraId="49970F17" w14:textId="06A0D198" w:rsidR="00862C9A" w:rsidRPr="00496AD4" w:rsidRDefault="00862C9A" w:rsidP="004075A7">
            <w:pPr>
              <w:spacing w:after="120"/>
              <w:rPr>
                <w:rFonts w:cs="Arial"/>
                <w:iCs/>
                <w:spacing w:val="0"/>
                <w:sz w:val="22"/>
                <w:szCs w:val="22"/>
                <w:lang w:val="en-US"/>
              </w:rPr>
            </w:pPr>
            <w:r w:rsidRPr="00496AD4">
              <w:rPr>
                <w:rFonts w:cs="Arial"/>
                <w:iCs/>
                <w:spacing w:val="0"/>
                <w:sz w:val="22"/>
                <w:szCs w:val="22"/>
                <w:lang w:val="en-US"/>
              </w:rPr>
              <w:t>£</w:t>
            </w:r>
            <w:r w:rsidR="006D6EFC">
              <w:rPr>
                <w:rFonts w:cs="Arial"/>
                <w:iCs/>
                <w:spacing w:val="0"/>
                <w:sz w:val="22"/>
                <w:szCs w:val="22"/>
                <w:lang w:val="en-US"/>
              </w:rPr>
              <w:t>5m</w:t>
            </w:r>
            <w:r w:rsidRPr="00496AD4">
              <w:rPr>
                <w:rFonts w:cs="Arial"/>
                <w:iCs/>
                <w:spacing w:val="0"/>
                <w:sz w:val="22"/>
                <w:szCs w:val="22"/>
                <w:lang w:val="en-US"/>
              </w:rPr>
              <w:t xml:space="preserve">, maximum </w:t>
            </w:r>
            <w:r w:rsidR="006D6EFC">
              <w:rPr>
                <w:rFonts w:cs="Arial"/>
                <w:iCs/>
                <w:spacing w:val="0"/>
                <w:sz w:val="22"/>
                <w:szCs w:val="22"/>
                <w:lang w:val="en-US"/>
              </w:rPr>
              <w:t xml:space="preserve">1 </w:t>
            </w:r>
            <w:r w:rsidRPr="00496AD4">
              <w:rPr>
                <w:rFonts w:cs="Arial"/>
                <w:iCs/>
                <w:spacing w:val="0"/>
                <w:sz w:val="22"/>
                <w:szCs w:val="22"/>
                <w:lang w:val="en-US"/>
              </w:rPr>
              <w:t>year</w:t>
            </w:r>
          </w:p>
        </w:tc>
        <w:tc>
          <w:tcPr>
            <w:tcW w:w="1292" w:type="dxa"/>
          </w:tcPr>
          <w:p w14:paraId="5BE98276" w14:textId="2378AFCF" w:rsidR="00862C9A" w:rsidRPr="00496AD4" w:rsidRDefault="006D6EFC" w:rsidP="004075A7">
            <w:pPr>
              <w:spacing w:after="120"/>
              <w:rPr>
                <w:rFonts w:cs="Arial"/>
                <w:iCs/>
                <w:spacing w:val="0"/>
                <w:sz w:val="22"/>
                <w:szCs w:val="22"/>
                <w:lang w:val="en-US"/>
              </w:rPr>
            </w:pPr>
            <w:r>
              <w:rPr>
                <w:rFonts w:cs="Arial"/>
                <w:iCs/>
                <w:spacing w:val="0"/>
                <w:sz w:val="22"/>
                <w:szCs w:val="22"/>
                <w:lang w:val="en-US"/>
              </w:rPr>
              <w:t xml:space="preserve">£20m, </w:t>
            </w:r>
            <w:r w:rsidRPr="00496AD4">
              <w:rPr>
                <w:rFonts w:cs="Arial"/>
                <w:iCs/>
                <w:spacing w:val="0"/>
                <w:sz w:val="22"/>
                <w:szCs w:val="22"/>
                <w:lang w:val="en-US"/>
              </w:rPr>
              <w:t xml:space="preserve">maximum </w:t>
            </w:r>
            <w:r>
              <w:rPr>
                <w:rFonts w:cs="Arial"/>
                <w:iCs/>
                <w:spacing w:val="0"/>
                <w:sz w:val="22"/>
                <w:szCs w:val="22"/>
                <w:lang w:val="en-US"/>
              </w:rPr>
              <w:t xml:space="preserve">1 </w:t>
            </w:r>
            <w:r w:rsidRPr="00496AD4">
              <w:rPr>
                <w:rFonts w:cs="Arial"/>
                <w:iCs/>
                <w:spacing w:val="0"/>
                <w:sz w:val="22"/>
                <w:szCs w:val="22"/>
                <w:lang w:val="en-US"/>
              </w:rPr>
              <w:t>year</w:t>
            </w:r>
          </w:p>
        </w:tc>
      </w:tr>
    </w:tbl>
    <w:p w14:paraId="3BC26F8B" w14:textId="77777777" w:rsidR="004075A7" w:rsidRDefault="004075A7" w:rsidP="004075A7">
      <w:pPr>
        <w:rPr>
          <w:rFonts w:cs="Arial"/>
        </w:rPr>
      </w:pPr>
    </w:p>
    <w:p w14:paraId="64146294" w14:textId="7D16A3B3" w:rsidR="001653A9" w:rsidRPr="00496AD4" w:rsidRDefault="004075A7" w:rsidP="004075A7">
      <w:pPr>
        <w:rPr>
          <w:rFonts w:cs="Arial"/>
        </w:rPr>
      </w:pPr>
      <w:r w:rsidRPr="00496AD4">
        <w:rPr>
          <w:rFonts w:cs="Arial"/>
        </w:rPr>
        <w:br w:type="page"/>
      </w:r>
    </w:p>
    <w:tbl>
      <w:tblPr>
        <w:tblpPr w:leftFromText="180" w:rightFromText="180" w:vertAnchor="text" w:horzAnchor="margin" w:tblpY="-206"/>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4574"/>
        <w:gridCol w:w="3542"/>
        <w:gridCol w:w="1410"/>
        <w:gridCol w:w="1410"/>
        <w:gridCol w:w="1264"/>
      </w:tblGrid>
      <w:tr w:rsidR="00862C9A" w:rsidRPr="00496AD4" w14:paraId="67F358A7" w14:textId="741AF382" w:rsidTr="00F1064C">
        <w:tc>
          <w:tcPr>
            <w:tcW w:w="2651" w:type="dxa"/>
            <w:shd w:val="clear" w:color="auto" w:fill="C0C0C0"/>
          </w:tcPr>
          <w:p w14:paraId="297AE23C" w14:textId="77777777" w:rsidR="00862C9A" w:rsidRPr="00496AD4" w:rsidRDefault="00862C9A" w:rsidP="006B508A">
            <w:pPr>
              <w:spacing w:after="120"/>
              <w:rPr>
                <w:rFonts w:cs="Arial"/>
                <w:b/>
                <w:iCs/>
                <w:spacing w:val="0"/>
                <w:sz w:val="22"/>
                <w:szCs w:val="22"/>
                <w:lang w:val="en-US"/>
              </w:rPr>
            </w:pPr>
            <w:r w:rsidRPr="00496AD4">
              <w:rPr>
                <w:rFonts w:cs="Arial"/>
                <w:spacing w:val="0"/>
                <w:sz w:val="24"/>
                <w:szCs w:val="24"/>
                <w:lang w:val="en-US"/>
              </w:rPr>
              <w:br w:type="page"/>
            </w:r>
            <w:r w:rsidRPr="00496AD4">
              <w:rPr>
                <w:rFonts w:cs="Arial"/>
                <w:b/>
                <w:iCs/>
                <w:spacing w:val="0"/>
                <w:sz w:val="22"/>
                <w:szCs w:val="22"/>
                <w:lang w:val="en-US"/>
              </w:rPr>
              <w:t>Type of Investment</w:t>
            </w:r>
          </w:p>
        </w:tc>
        <w:tc>
          <w:tcPr>
            <w:tcW w:w="4574" w:type="dxa"/>
            <w:shd w:val="clear" w:color="auto" w:fill="C0C0C0"/>
          </w:tcPr>
          <w:p w14:paraId="6A45CDAB"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Treasury Risks</w:t>
            </w:r>
          </w:p>
        </w:tc>
        <w:tc>
          <w:tcPr>
            <w:tcW w:w="3542" w:type="dxa"/>
            <w:shd w:val="clear" w:color="auto" w:fill="C0C0C0"/>
          </w:tcPr>
          <w:p w14:paraId="12F009F7"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Mitigating Controls</w:t>
            </w:r>
          </w:p>
        </w:tc>
        <w:tc>
          <w:tcPr>
            <w:tcW w:w="1410" w:type="dxa"/>
            <w:shd w:val="clear" w:color="auto" w:fill="C0C0C0"/>
          </w:tcPr>
          <w:p w14:paraId="1DBB1157" w14:textId="77777777"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Council Limits</w:t>
            </w:r>
          </w:p>
        </w:tc>
        <w:tc>
          <w:tcPr>
            <w:tcW w:w="1410" w:type="dxa"/>
            <w:shd w:val="clear" w:color="auto" w:fill="C0C0C0"/>
          </w:tcPr>
          <w:p w14:paraId="2C94EA75" w14:textId="43343FEB" w:rsidR="00862C9A" w:rsidRPr="00496AD4" w:rsidRDefault="00862C9A" w:rsidP="006B508A">
            <w:pPr>
              <w:spacing w:after="120"/>
              <w:rPr>
                <w:rFonts w:cs="Arial"/>
                <w:b/>
                <w:iCs/>
                <w:spacing w:val="0"/>
                <w:sz w:val="22"/>
                <w:szCs w:val="22"/>
                <w:lang w:val="en-US"/>
              </w:rPr>
            </w:pPr>
            <w:r w:rsidRPr="00496AD4">
              <w:rPr>
                <w:rFonts w:cs="Arial"/>
                <w:b/>
                <w:iCs/>
                <w:spacing w:val="0"/>
                <w:sz w:val="22"/>
                <w:szCs w:val="22"/>
                <w:lang w:val="en-US"/>
              </w:rPr>
              <w:t xml:space="preserve">Common Good </w:t>
            </w:r>
            <w:r w:rsidR="001653A9">
              <w:rPr>
                <w:rFonts w:cs="Arial"/>
                <w:b/>
                <w:iCs/>
                <w:spacing w:val="0"/>
                <w:sz w:val="22"/>
                <w:szCs w:val="22"/>
                <w:lang w:val="en-US"/>
              </w:rPr>
              <w:t xml:space="preserve">&amp; Trust Fund </w:t>
            </w:r>
            <w:r w:rsidRPr="00496AD4">
              <w:rPr>
                <w:rFonts w:cs="Arial"/>
                <w:b/>
                <w:iCs/>
                <w:spacing w:val="0"/>
                <w:sz w:val="22"/>
                <w:szCs w:val="22"/>
                <w:lang w:val="en-US"/>
              </w:rPr>
              <w:t>Limits</w:t>
            </w:r>
          </w:p>
        </w:tc>
        <w:tc>
          <w:tcPr>
            <w:tcW w:w="1264" w:type="dxa"/>
            <w:shd w:val="clear" w:color="auto" w:fill="C0C0C0"/>
          </w:tcPr>
          <w:p w14:paraId="48FCBEE8" w14:textId="6B09047D" w:rsidR="00862C9A" w:rsidRPr="00496AD4" w:rsidRDefault="001653A9" w:rsidP="006B508A">
            <w:pPr>
              <w:spacing w:after="120"/>
              <w:rPr>
                <w:rFonts w:cs="Arial"/>
                <w:b/>
                <w:iCs/>
                <w:spacing w:val="0"/>
                <w:sz w:val="22"/>
                <w:szCs w:val="22"/>
                <w:lang w:val="en-US"/>
              </w:rPr>
            </w:pPr>
            <w:r>
              <w:rPr>
                <w:rFonts w:cs="Arial"/>
                <w:b/>
                <w:iCs/>
                <w:spacing w:val="0"/>
                <w:sz w:val="22"/>
                <w:szCs w:val="22"/>
                <w:lang w:val="en-US"/>
              </w:rPr>
              <w:t>Pension Fund In-house Limits</w:t>
            </w:r>
          </w:p>
        </w:tc>
      </w:tr>
      <w:tr w:rsidR="00862C9A" w:rsidRPr="00496AD4" w14:paraId="07C2C707" w14:textId="2334ADB7" w:rsidTr="00862C9A">
        <w:tc>
          <w:tcPr>
            <w:tcW w:w="13587" w:type="dxa"/>
            <w:gridSpan w:val="5"/>
          </w:tcPr>
          <w:p w14:paraId="7D9CE9D0" w14:textId="77777777" w:rsidR="00862C9A" w:rsidRPr="00496AD4" w:rsidRDefault="00862C9A" w:rsidP="006B508A">
            <w:pPr>
              <w:spacing w:after="120"/>
              <w:rPr>
                <w:rFonts w:cs="Arial"/>
                <w:iCs/>
                <w:spacing w:val="0"/>
                <w:sz w:val="22"/>
                <w:szCs w:val="22"/>
                <w:lang w:val="en-US"/>
              </w:rPr>
            </w:pPr>
            <w:r w:rsidRPr="00496AD4">
              <w:rPr>
                <w:rFonts w:cs="Arial"/>
                <w:b/>
                <w:iCs/>
                <w:spacing w:val="0"/>
                <w:sz w:val="22"/>
                <w:szCs w:val="22"/>
                <w:lang w:val="en-US"/>
              </w:rPr>
              <w:t>Other types of investments</w:t>
            </w:r>
          </w:p>
        </w:tc>
        <w:tc>
          <w:tcPr>
            <w:tcW w:w="1264" w:type="dxa"/>
          </w:tcPr>
          <w:p w14:paraId="36F8FA61" w14:textId="77777777" w:rsidR="00862C9A" w:rsidRPr="00496AD4" w:rsidRDefault="00862C9A" w:rsidP="006B508A">
            <w:pPr>
              <w:spacing w:after="120"/>
              <w:rPr>
                <w:rFonts w:cs="Arial"/>
                <w:b/>
                <w:iCs/>
                <w:spacing w:val="0"/>
                <w:sz w:val="22"/>
                <w:szCs w:val="22"/>
                <w:lang w:val="en-US"/>
              </w:rPr>
            </w:pPr>
          </w:p>
        </w:tc>
      </w:tr>
      <w:tr w:rsidR="00862C9A" w:rsidRPr="00496AD4" w14:paraId="3E76B9A3" w14:textId="08AA3E39" w:rsidTr="00F1064C">
        <w:tc>
          <w:tcPr>
            <w:tcW w:w="2651" w:type="dxa"/>
          </w:tcPr>
          <w:p w14:paraId="565A11C3" w14:textId="77777777" w:rsidR="00862C9A" w:rsidRPr="00496AD4" w:rsidRDefault="00862C9A" w:rsidP="004075A7">
            <w:pPr>
              <w:numPr>
                <w:ilvl w:val="0"/>
                <w:numId w:val="61"/>
              </w:numPr>
              <w:spacing w:after="120"/>
              <w:rPr>
                <w:rFonts w:cs="Arial"/>
                <w:iCs/>
                <w:spacing w:val="0"/>
                <w:sz w:val="22"/>
                <w:szCs w:val="22"/>
                <w:lang w:val="en-US"/>
              </w:rPr>
            </w:pPr>
            <w:r w:rsidRPr="00496AD4">
              <w:rPr>
                <w:rFonts w:cs="Arial"/>
                <w:iCs/>
                <w:spacing w:val="0"/>
                <w:sz w:val="22"/>
                <w:szCs w:val="22"/>
                <w:lang w:val="en-US"/>
              </w:rPr>
              <w:t>Investment properties</w:t>
            </w:r>
          </w:p>
        </w:tc>
        <w:tc>
          <w:tcPr>
            <w:tcW w:w="4574" w:type="dxa"/>
          </w:tcPr>
          <w:p w14:paraId="586844D9"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 xml:space="preserve">These are non-service properties which are being held pending disposal or for a </w:t>
            </w:r>
            <w:proofErr w:type="gramStart"/>
            <w:r w:rsidRPr="00496AD4">
              <w:rPr>
                <w:rFonts w:cs="Arial"/>
                <w:iCs/>
                <w:spacing w:val="0"/>
                <w:sz w:val="22"/>
                <w:szCs w:val="22"/>
                <w:lang w:val="en-US"/>
              </w:rPr>
              <w:t>longer term</w:t>
            </w:r>
            <w:proofErr w:type="gramEnd"/>
            <w:r w:rsidRPr="00496AD4">
              <w:rPr>
                <w:rFonts w:cs="Arial"/>
                <w:iCs/>
                <w:spacing w:val="0"/>
                <w:sz w:val="22"/>
                <w:szCs w:val="22"/>
                <w:lang w:val="en-US"/>
              </w:rPr>
              <w:t xml:space="preserve"> rental income stream.  These are highly illiquid assets with high risk to value (the potential for property prices to fall or for rental voids).  </w:t>
            </w:r>
          </w:p>
        </w:tc>
        <w:tc>
          <w:tcPr>
            <w:tcW w:w="3542" w:type="dxa"/>
          </w:tcPr>
          <w:p w14:paraId="33261EF6"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In larger investment portfolios some small allocation of property</w:t>
            </w:r>
            <w:r>
              <w:rPr>
                <w:rFonts w:cs="Arial"/>
                <w:iCs/>
                <w:spacing w:val="0"/>
                <w:sz w:val="22"/>
                <w:szCs w:val="22"/>
                <w:lang w:val="en-US"/>
              </w:rPr>
              <w:t>-</w:t>
            </w:r>
            <w:r w:rsidRPr="00496AD4">
              <w:rPr>
                <w:rFonts w:cs="Arial"/>
                <w:iCs/>
                <w:spacing w:val="0"/>
                <w:sz w:val="22"/>
                <w:szCs w:val="22"/>
                <w:lang w:val="en-US"/>
              </w:rPr>
              <w:t>based investment may counterbalance/compliment the wider cash portfolio.</w:t>
            </w:r>
          </w:p>
          <w:p w14:paraId="587E8CF2"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Property holding will be revalued regularly and reported annually with gross and net rental streams.</w:t>
            </w:r>
          </w:p>
        </w:tc>
        <w:tc>
          <w:tcPr>
            <w:tcW w:w="1410" w:type="dxa"/>
          </w:tcPr>
          <w:p w14:paraId="09F207FE" w14:textId="2B20B79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30m</w:t>
            </w:r>
          </w:p>
        </w:tc>
        <w:tc>
          <w:tcPr>
            <w:tcW w:w="1410" w:type="dxa"/>
          </w:tcPr>
          <w:p w14:paraId="25295A37" w14:textId="50AAD63E"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25m</w:t>
            </w:r>
            <w:r w:rsidRPr="00496AD4">
              <w:rPr>
                <w:rFonts w:cs="Arial"/>
                <w:iCs/>
                <w:spacing w:val="0"/>
                <w:sz w:val="22"/>
                <w:szCs w:val="22"/>
                <w:lang w:val="en-US"/>
              </w:rPr>
              <w:t>.</w:t>
            </w:r>
          </w:p>
        </w:tc>
        <w:tc>
          <w:tcPr>
            <w:tcW w:w="1264" w:type="dxa"/>
          </w:tcPr>
          <w:p w14:paraId="0621C22A" w14:textId="7102C372"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p>
        </w:tc>
      </w:tr>
      <w:tr w:rsidR="00862C9A" w:rsidRPr="00496AD4" w14:paraId="254B8C98" w14:textId="5822743D" w:rsidTr="00F1064C">
        <w:tc>
          <w:tcPr>
            <w:tcW w:w="2651" w:type="dxa"/>
          </w:tcPr>
          <w:p w14:paraId="6BBC6AE5" w14:textId="77777777" w:rsidR="00862C9A" w:rsidRPr="00496AD4" w:rsidRDefault="00862C9A" w:rsidP="004075A7">
            <w:pPr>
              <w:numPr>
                <w:ilvl w:val="0"/>
                <w:numId w:val="61"/>
              </w:numPr>
              <w:spacing w:after="120"/>
              <w:rPr>
                <w:rFonts w:cs="Arial"/>
                <w:iCs/>
                <w:spacing w:val="0"/>
                <w:sz w:val="22"/>
                <w:szCs w:val="22"/>
                <w:lang w:val="en-US"/>
              </w:rPr>
            </w:pPr>
            <w:r w:rsidRPr="00496AD4">
              <w:rPr>
                <w:rFonts w:cs="Arial"/>
                <w:iCs/>
                <w:spacing w:val="0"/>
                <w:sz w:val="22"/>
                <w:szCs w:val="22"/>
                <w:lang w:val="en-US"/>
              </w:rPr>
              <w:t>Loans to third parties, including soft loans</w:t>
            </w:r>
          </w:p>
        </w:tc>
        <w:tc>
          <w:tcPr>
            <w:tcW w:w="4574" w:type="dxa"/>
          </w:tcPr>
          <w:p w14:paraId="365DB460"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These are service investments either at market rates of interest or below market rates (soft loans).  These types of investments may exhibit credit risk and are likely to be highly illiquid.</w:t>
            </w:r>
          </w:p>
        </w:tc>
        <w:tc>
          <w:tcPr>
            <w:tcW w:w="3542" w:type="dxa"/>
          </w:tcPr>
          <w:p w14:paraId="43DD90FB"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 xml:space="preserve">Each </w:t>
            </w:r>
            <w:proofErr w:type="gramStart"/>
            <w:r w:rsidRPr="00496AD4">
              <w:rPr>
                <w:rFonts w:cs="Arial"/>
                <w:iCs/>
                <w:spacing w:val="0"/>
                <w:sz w:val="22"/>
                <w:szCs w:val="22"/>
                <w:lang w:val="en-US"/>
              </w:rPr>
              <w:t>third party</w:t>
            </w:r>
            <w:proofErr w:type="gramEnd"/>
            <w:r w:rsidRPr="00496AD4">
              <w:rPr>
                <w:rFonts w:cs="Arial"/>
                <w:iCs/>
                <w:spacing w:val="0"/>
                <w:sz w:val="22"/>
                <w:szCs w:val="22"/>
                <w:lang w:val="en-US"/>
              </w:rPr>
              <w:t xml:space="preserve"> loan requires Member approval and each application is supported by the service rational behind the loan and the likelihood of partial or full default.</w:t>
            </w:r>
          </w:p>
        </w:tc>
        <w:tc>
          <w:tcPr>
            <w:tcW w:w="1410" w:type="dxa"/>
          </w:tcPr>
          <w:p w14:paraId="260FB950" w14:textId="408583FD"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25m</w:t>
            </w:r>
            <w:r w:rsidRPr="00496AD4">
              <w:rPr>
                <w:rFonts w:cs="Arial"/>
                <w:iCs/>
                <w:spacing w:val="0"/>
                <w:sz w:val="22"/>
                <w:szCs w:val="22"/>
                <w:lang w:val="en-US"/>
              </w:rPr>
              <w:t>.</w:t>
            </w:r>
          </w:p>
        </w:tc>
        <w:tc>
          <w:tcPr>
            <w:tcW w:w="1410" w:type="dxa"/>
          </w:tcPr>
          <w:p w14:paraId="4444FA85" w14:textId="585FD252"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1m</w:t>
            </w:r>
          </w:p>
        </w:tc>
        <w:tc>
          <w:tcPr>
            <w:tcW w:w="1264" w:type="dxa"/>
          </w:tcPr>
          <w:p w14:paraId="3CD21DBB" w14:textId="76541BAE"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p>
        </w:tc>
      </w:tr>
      <w:tr w:rsidR="00862C9A" w:rsidRPr="00496AD4" w14:paraId="2E91BA32" w14:textId="63CB530B" w:rsidTr="00F1064C">
        <w:tc>
          <w:tcPr>
            <w:tcW w:w="2651" w:type="dxa"/>
          </w:tcPr>
          <w:p w14:paraId="5E5D799C" w14:textId="77777777" w:rsidR="00862C9A" w:rsidRPr="00496AD4" w:rsidRDefault="00862C9A" w:rsidP="004075A7">
            <w:pPr>
              <w:numPr>
                <w:ilvl w:val="0"/>
                <w:numId w:val="61"/>
              </w:numPr>
              <w:spacing w:after="120"/>
              <w:rPr>
                <w:rFonts w:cs="Arial"/>
                <w:iCs/>
                <w:spacing w:val="0"/>
                <w:sz w:val="22"/>
                <w:szCs w:val="22"/>
                <w:lang w:val="en-US"/>
              </w:rPr>
            </w:pPr>
            <w:r w:rsidRPr="00496AD4">
              <w:rPr>
                <w:rFonts w:cs="Arial"/>
                <w:iCs/>
                <w:spacing w:val="0"/>
                <w:sz w:val="22"/>
                <w:szCs w:val="22"/>
                <w:lang w:val="en-US"/>
              </w:rPr>
              <w:t>Loans to a local authority company</w:t>
            </w:r>
          </w:p>
        </w:tc>
        <w:tc>
          <w:tcPr>
            <w:tcW w:w="4574" w:type="dxa"/>
          </w:tcPr>
          <w:p w14:paraId="430F4012"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These are service investments either at market rates of interest or below market rates (soft loans).  These types of investments may exhibit credit risk and are likely to be highly illiquid.</w:t>
            </w:r>
          </w:p>
        </w:tc>
        <w:tc>
          <w:tcPr>
            <w:tcW w:w="3542" w:type="dxa"/>
          </w:tcPr>
          <w:p w14:paraId="3B19C9AE" w14:textId="77777777"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Each loan to a local authority company requires Member approval and each application is supported by the service rational behind the loan and the likelihood of partial or full default.</w:t>
            </w:r>
          </w:p>
        </w:tc>
        <w:tc>
          <w:tcPr>
            <w:tcW w:w="1410" w:type="dxa"/>
          </w:tcPr>
          <w:p w14:paraId="675AFB90" w14:textId="0EA9F86D"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25m</w:t>
            </w:r>
          </w:p>
        </w:tc>
        <w:tc>
          <w:tcPr>
            <w:tcW w:w="1410" w:type="dxa"/>
          </w:tcPr>
          <w:p w14:paraId="2871BDF9" w14:textId="76018C61"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p>
        </w:tc>
        <w:tc>
          <w:tcPr>
            <w:tcW w:w="1264" w:type="dxa"/>
          </w:tcPr>
          <w:p w14:paraId="0A3DAB1C" w14:textId="0F3C2716"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p>
        </w:tc>
      </w:tr>
      <w:tr w:rsidR="00862C9A" w:rsidRPr="00496AD4" w14:paraId="7A12F6EC" w14:textId="7ADA0A0A" w:rsidTr="00F1064C">
        <w:tc>
          <w:tcPr>
            <w:tcW w:w="2651" w:type="dxa"/>
          </w:tcPr>
          <w:p w14:paraId="27A0E79B" w14:textId="3AC3B390" w:rsidR="00862C9A" w:rsidRPr="00496AD4" w:rsidRDefault="001653A9" w:rsidP="004075A7">
            <w:pPr>
              <w:numPr>
                <w:ilvl w:val="0"/>
                <w:numId w:val="61"/>
              </w:numPr>
              <w:spacing w:after="120"/>
              <w:rPr>
                <w:rFonts w:cs="Arial"/>
                <w:iCs/>
                <w:spacing w:val="0"/>
                <w:sz w:val="22"/>
                <w:szCs w:val="22"/>
                <w:lang w:val="en-US"/>
              </w:rPr>
            </w:pPr>
            <w:r w:rsidRPr="00597ACC">
              <w:rPr>
                <w:rFonts w:cs="Arial"/>
                <w:iCs/>
                <w:sz w:val="22"/>
                <w:szCs w:val="22"/>
              </w:rPr>
              <w:t xml:space="preserve">National Housing Trust </w:t>
            </w:r>
            <w:r w:rsidRPr="00597ACC">
              <w:rPr>
                <w:rFonts w:cs="Arial"/>
                <w:b/>
                <w:iCs/>
                <w:sz w:val="22"/>
                <w:szCs w:val="22"/>
              </w:rPr>
              <w:t>(Very Low Risk due to Scottish Government Underwriting</w:t>
            </w:r>
            <w:r w:rsidRPr="00496AD4">
              <w:rPr>
                <w:rFonts w:cs="Arial"/>
                <w:iCs/>
                <w:spacing w:val="0"/>
                <w:sz w:val="22"/>
                <w:szCs w:val="22"/>
                <w:lang w:val="en-US"/>
              </w:rPr>
              <w:t xml:space="preserve"> </w:t>
            </w:r>
            <w:r w:rsidR="00862C9A" w:rsidRPr="00496AD4">
              <w:rPr>
                <w:rFonts w:cs="Arial"/>
                <w:iCs/>
                <w:spacing w:val="0"/>
                <w:sz w:val="22"/>
                <w:szCs w:val="22"/>
                <w:lang w:val="en-US"/>
              </w:rPr>
              <w:t>Shareholdings in a local authority company</w:t>
            </w:r>
          </w:p>
        </w:tc>
        <w:tc>
          <w:tcPr>
            <w:tcW w:w="4574" w:type="dxa"/>
          </w:tcPr>
          <w:p w14:paraId="62E1FE2C" w14:textId="47BA882F" w:rsidR="00862C9A" w:rsidRPr="00496AD4" w:rsidRDefault="001653A9" w:rsidP="006B508A">
            <w:pPr>
              <w:spacing w:after="120"/>
              <w:rPr>
                <w:rFonts w:cs="Arial"/>
                <w:iCs/>
                <w:spacing w:val="0"/>
                <w:sz w:val="22"/>
                <w:szCs w:val="22"/>
                <w:lang w:val="en-US"/>
              </w:rPr>
            </w:pPr>
            <w:r w:rsidRPr="00597ACC">
              <w:rPr>
                <w:rFonts w:cs="Arial"/>
                <w:sz w:val="22"/>
                <w:szCs w:val="22"/>
              </w:rPr>
              <w:t xml:space="preserve">These are loans to a Special Purpose Vehicle to allow it to purchase new homes under the NHT umbrella. These loans represent either 65% or 70% of the purchase price, the remainder being funded by the developer. The loan is redeemed after a </w:t>
            </w:r>
            <w:proofErr w:type="gramStart"/>
            <w:r w:rsidRPr="00597ACC">
              <w:rPr>
                <w:rFonts w:cs="Arial"/>
                <w:sz w:val="22"/>
                <w:szCs w:val="22"/>
              </w:rPr>
              <w:t>5 to 10 year</w:t>
            </w:r>
            <w:proofErr w:type="gramEnd"/>
            <w:r w:rsidRPr="00597ACC">
              <w:rPr>
                <w:rFonts w:cs="Arial"/>
                <w:sz w:val="22"/>
                <w:szCs w:val="22"/>
              </w:rPr>
              <w:t xml:space="preserve"> period when the properties are sold.</w:t>
            </w:r>
            <w:r w:rsidRPr="00496AD4">
              <w:rPr>
                <w:rFonts w:cs="Arial"/>
                <w:iCs/>
                <w:spacing w:val="0"/>
                <w:sz w:val="22"/>
                <w:szCs w:val="22"/>
                <w:lang w:val="en-US"/>
              </w:rPr>
              <w:t xml:space="preserve"> These</w:t>
            </w:r>
            <w:r w:rsidR="00862C9A" w:rsidRPr="00496AD4">
              <w:rPr>
                <w:rFonts w:cs="Arial"/>
                <w:iCs/>
                <w:spacing w:val="0"/>
                <w:sz w:val="22"/>
                <w:szCs w:val="22"/>
                <w:lang w:val="en-US"/>
              </w:rPr>
              <w:t xml:space="preserve"> are service investments which may exhibit market risk and are likely to be highly illiquid.</w:t>
            </w:r>
          </w:p>
        </w:tc>
        <w:tc>
          <w:tcPr>
            <w:tcW w:w="3542" w:type="dxa"/>
          </w:tcPr>
          <w:p w14:paraId="12E0C829" w14:textId="10611A4F" w:rsidR="00862C9A" w:rsidRPr="00496AD4" w:rsidRDefault="001653A9" w:rsidP="006B508A">
            <w:pPr>
              <w:spacing w:after="120"/>
              <w:rPr>
                <w:rFonts w:cs="Arial"/>
                <w:iCs/>
                <w:spacing w:val="0"/>
                <w:sz w:val="22"/>
                <w:szCs w:val="22"/>
                <w:lang w:val="en-US"/>
              </w:rPr>
            </w:pPr>
            <w:r w:rsidRPr="00597ACC">
              <w:rPr>
                <w:rFonts w:cs="Arial"/>
                <w:sz w:val="22"/>
                <w:szCs w:val="22"/>
              </w:rPr>
              <w:t>Loan redemption arises when the homes are sold. Interest payments are made to the Council by the SPV from rental payments in the intervening period. Both the loan amount and associated interest payments are underwritten by Scottish Government.</w:t>
            </w:r>
          </w:p>
        </w:tc>
        <w:tc>
          <w:tcPr>
            <w:tcW w:w="1410" w:type="dxa"/>
          </w:tcPr>
          <w:p w14:paraId="546B8F21" w14:textId="492E6C08" w:rsidR="00862C9A" w:rsidRPr="00496AD4" w:rsidRDefault="00862C9A" w:rsidP="006B508A">
            <w:pPr>
              <w:spacing w:after="120"/>
              <w:rPr>
                <w:rFonts w:cs="Arial"/>
                <w:iCs/>
                <w:spacing w:val="0"/>
                <w:sz w:val="22"/>
                <w:szCs w:val="22"/>
                <w:lang w:val="en-US"/>
              </w:rPr>
            </w:pPr>
            <w:r w:rsidRPr="00496AD4">
              <w:rPr>
                <w:rFonts w:cs="Arial"/>
                <w:iCs/>
                <w:spacing w:val="0"/>
                <w:sz w:val="22"/>
                <w:szCs w:val="22"/>
                <w:lang w:val="en-US"/>
              </w:rPr>
              <w:t>£</w:t>
            </w:r>
            <w:r w:rsidR="001653A9">
              <w:rPr>
                <w:rFonts w:cs="Arial"/>
                <w:iCs/>
                <w:spacing w:val="0"/>
                <w:sz w:val="22"/>
                <w:szCs w:val="22"/>
                <w:lang w:val="en-US"/>
              </w:rPr>
              <w:t>8m</w:t>
            </w:r>
          </w:p>
        </w:tc>
        <w:tc>
          <w:tcPr>
            <w:tcW w:w="1410" w:type="dxa"/>
          </w:tcPr>
          <w:p w14:paraId="3D5ED4B5" w14:textId="40E3B228"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r w:rsidR="00862C9A" w:rsidRPr="00496AD4">
              <w:rPr>
                <w:rFonts w:cs="Arial"/>
                <w:iCs/>
                <w:spacing w:val="0"/>
                <w:sz w:val="22"/>
                <w:szCs w:val="22"/>
                <w:lang w:val="en-US"/>
              </w:rPr>
              <w:t>.</w:t>
            </w:r>
          </w:p>
        </w:tc>
        <w:tc>
          <w:tcPr>
            <w:tcW w:w="1264" w:type="dxa"/>
          </w:tcPr>
          <w:p w14:paraId="19C01CAB" w14:textId="6790605E" w:rsidR="00862C9A" w:rsidRPr="00496AD4" w:rsidRDefault="001653A9" w:rsidP="006B508A">
            <w:pPr>
              <w:spacing w:after="120"/>
              <w:rPr>
                <w:rFonts w:cs="Arial"/>
                <w:iCs/>
                <w:spacing w:val="0"/>
                <w:sz w:val="22"/>
                <w:szCs w:val="22"/>
                <w:lang w:val="en-US"/>
              </w:rPr>
            </w:pPr>
            <w:r>
              <w:rPr>
                <w:rFonts w:cs="Arial"/>
                <w:iCs/>
                <w:spacing w:val="0"/>
                <w:sz w:val="22"/>
                <w:szCs w:val="22"/>
                <w:lang w:val="en-US"/>
              </w:rPr>
              <w:t>N/A</w:t>
            </w:r>
          </w:p>
        </w:tc>
      </w:tr>
    </w:tbl>
    <w:p w14:paraId="048FF011" w14:textId="77777777" w:rsidR="004075A7" w:rsidRDefault="004075A7" w:rsidP="004075A7">
      <w:pPr>
        <w:rPr>
          <w:rFonts w:cs="Arial"/>
        </w:rPr>
      </w:pPr>
    </w:p>
    <w:tbl>
      <w:tblPr>
        <w:tblpPr w:leftFromText="180" w:rightFromText="180" w:vertAnchor="text" w:horzAnchor="margin" w:tblpY="-108"/>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3784"/>
        <w:gridCol w:w="4339"/>
        <w:gridCol w:w="1418"/>
        <w:gridCol w:w="1418"/>
        <w:gridCol w:w="1302"/>
      </w:tblGrid>
      <w:tr w:rsidR="00862C9A" w:rsidRPr="00496AD4" w14:paraId="71AD7B33" w14:textId="520F91B4" w:rsidTr="00F1064C">
        <w:tc>
          <w:tcPr>
            <w:tcW w:w="2590" w:type="dxa"/>
            <w:shd w:val="clear" w:color="auto" w:fill="C0C0C0"/>
          </w:tcPr>
          <w:p w14:paraId="2FD344F7" w14:textId="77777777" w:rsidR="00862C9A" w:rsidRPr="00496AD4" w:rsidRDefault="00862C9A" w:rsidP="004443C7">
            <w:pPr>
              <w:spacing w:after="120"/>
              <w:rPr>
                <w:rFonts w:cs="Arial"/>
                <w:b/>
                <w:iCs/>
                <w:spacing w:val="0"/>
                <w:sz w:val="22"/>
                <w:szCs w:val="22"/>
                <w:lang w:val="en-US"/>
              </w:rPr>
            </w:pPr>
            <w:r w:rsidRPr="00496AD4">
              <w:rPr>
                <w:rFonts w:cs="Arial"/>
                <w:spacing w:val="0"/>
                <w:sz w:val="24"/>
                <w:szCs w:val="24"/>
                <w:lang w:val="en-US"/>
              </w:rPr>
              <w:br w:type="page"/>
            </w:r>
            <w:r w:rsidRPr="00496AD4">
              <w:rPr>
                <w:rFonts w:cs="Arial"/>
                <w:b/>
                <w:iCs/>
                <w:spacing w:val="0"/>
                <w:sz w:val="22"/>
                <w:szCs w:val="22"/>
                <w:lang w:val="en-US"/>
              </w:rPr>
              <w:t>Type of Investment</w:t>
            </w:r>
          </w:p>
        </w:tc>
        <w:tc>
          <w:tcPr>
            <w:tcW w:w="3784" w:type="dxa"/>
            <w:shd w:val="clear" w:color="auto" w:fill="C0C0C0"/>
          </w:tcPr>
          <w:p w14:paraId="570990D2" w14:textId="77777777" w:rsidR="00862C9A" w:rsidRPr="00496AD4" w:rsidRDefault="00862C9A" w:rsidP="004443C7">
            <w:pPr>
              <w:spacing w:after="120"/>
              <w:rPr>
                <w:rFonts w:cs="Arial"/>
                <w:b/>
                <w:iCs/>
                <w:spacing w:val="0"/>
                <w:sz w:val="22"/>
                <w:szCs w:val="22"/>
                <w:lang w:val="en-US"/>
              </w:rPr>
            </w:pPr>
            <w:r w:rsidRPr="00496AD4">
              <w:rPr>
                <w:rFonts w:cs="Arial"/>
                <w:b/>
                <w:iCs/>
                <w:spacing w:val="0"/>
                <w:sz w:val="22"/>
                <w:szCs w:val="22"/>
                <w:lang w:val="en-US"/>
              </w:rPr>
              <w:t>Treasury Risks</w:t>
            </w:r>
          </w:p>
        </w:tc>
        <w:tc>
          <w:tcPr>
            <w:tcW w:w="4339" w:type="dxa"/>
            <w:shd w:val="clear" w:color="auto" w:fill="C0C0C0"/>
          </w:tcPr>
          <w:p w14:paraId="2505A102" w14:textId="77777777" w:rsidR="00862C9A" w:rsidRPr="00496AD4" w:rsidRDefault="00862C9A" w:rsidP="004443C7">
            <w:pPr>
              <w:spacing w:after="120"/>
              <w:rPr>
                <w:rFonts w:cs="Arial"/>
                <w:b/>
                <w:iCs/>
                <w:spacing w:val="0"/>
                <w:sz w:val="22"/>
                <w:szCs w:val="22"/>
                <w:lang w:val="en-US"/>
              </w:rPr>
            </w:pPr>
            <w:r w:rsidRPr="00496AD4">
              <w:rPr>
                <w:rFonts w:cs="Arial"/>
                <w:b/>
                <w:iCs/>
                <w:spacing w:val="0"/>
                <w:sz w:val="22"/>
                <w:szCs w:val="22"/>
                <w:lang w:val="en-US"/>
              </w:rPr>
              <w:t>Mitigating Controls</w:t>
            </w:r>
          </w:p>
        </w:tc>
        <w:tc>
          <w:tcPr>
            <w:tcW w:w="1418" w:type="dxa"/>
            <w:shd w:val="clear" w:color="auto" w:fill="C0C0C0"/>
          </w:tcPr>
          <w:p w14:paraId="63FE7F99" w14:textId="77777777" w:rsidR="00862C9A" w:rsidRPr="00496AD4" w:rsidRDefault="00862C9A" w:rsidP="004443C7">
            <w:pPr>
              <w:spacing w:after="120"/>
              <w:rPr>
                <w:rFonts w:cs="Arial"/>
                <w:b/>
                <w:iCs/>
                <w:spacing w:val="0"/>
                <w:sz w:val="22"/>
                <w:szCs w:val="22"/>
                <w:lang w:val="en-US"/>
              </w:rPr>
            </w:pPr>
            <w:r w:rsidRPr="00496AD4">
              <w:rPr>
                <w:rFonts w:cs="Arial"/>
                <w:b/>
                <w:iCs/>
                <w:spacing w:val="0"/>
                <w:sz w:val="22"/>
                <w:szCs w:val="22"/>
                <w:lang w:val="en-US"/>
              </w:rPr>
              <w:t>Council Limits</w:t>
            </w:r>
          </w:p>
        </w:tc>
        <w:tc>
          <w:tcPr>
            <w:tcW w:w="1418" w:type="dxa"/>
            <w:shd w:val="clear" w:color="auto" w:fill="C0C0C0"/>
          </w:tcPr>
          <w:p w14:paraId="3572016D" w14:textId="6EAF5765" w:rsidR="00862C9A" w:rsidRPr="00496AD4" w:rsidRDefault="00F1064C" w:rsidP="004443C7">
            <w:pPr>
              <w:spacing w:after="120"/>
              <w:rPr>
                <w:rFonts w:cs="Arial"/>
                <w:b/>
                <w:iCs/>
                <w:spacing w:val="0"/>
                <w:sz w:val="22"/>
                <w:szCs w:val="22"/>
                <w:lang w:val="en-US"/>
              </w:rPr>
            </w:pPr>
            <w:r w:rsidRPr="00496AD4">
              <w:rPr>
                <w:rFonts w:cs="Arial"/>
                <w:b/>
                <w:iCs/>
                <w:spacing w:val="0"/>
                <w:sz w:val="22"/>
                <w:szCs w:val="22"/>
                <w:lang w:val="en-US"/>
              </w:rPr>
              <w:t xml:space="preserve">Common Good </w:t>
            </w:r>
            <w:r>
              <w:rPr>
                <w:rFonts w:cs="Arial"/>
                <w:b/>
                <w:iCs/>
                <w:spacing w:val="0"/>
                <w:sz w:val="22"/>
                <w:szCs w:val="22"/>
                <w:lang w:val="en-US"/>
              </w:rPr>
              <w:t xml:space="preserve">&amp; Trust Fund </w:t>
            </w:r>
            <w:r w:rsidRPr="00496AD4">
              <w:rPr>
                <w:rFonts w:cs="Arial"/>
                <w:b/>
                <w:iCs/>
                <w:spacing w:val="0"/>
                <w:sz w:val="22"/>
                <w:szCs w:val="22"/>
                <w:lang w:val="en-US"/>
              </w:rPr>
              <w:t xml:space="preserve">Limits </w:t>
            </w:r>
          </w:p>
        </w:tc>
        <w:tc>
          <w:tcPr>
            <w:tcW w:w="1302" w:type="dxa"/>
            <w:shd w:val="clear" w:color="auto" w:fill="C0C0C0"/>
          </w:tcPr>
          <w:p w14:paraId="3A559150" w14:textId="01AE1544" w:rsidR="00862C9A" w:rsidRPr="00496AD4" w:rsidRDefault="00F1064C" w:rsidP="004443C7">
            <w:pPr>
              <w:spacing w:after="120"/>
              <w:rPr>
                <w:rFonts w:cs="Arial"/>
                <w:b/>
                <w:iCs/>
                <w:spacing w:val="0"/>
                <w:sz w:val="22"/>
                <w:szCs w:val="22"/>
                <w:lang w:val="en-US"/>
              </w:rPr>
            </w:pPr>
            <w:r>
              <w:rPr>
                <w:rFonts w:cs="Arial"/>
                <w:b/>
                <w:iCs/>
                <w:spacing w:val="0"/>
                <w:sz w:val="22"/>
                <w:szCs w:val="22"/>
                <w:lang w:val="en-US"/>
              </w:rPr>
              <w:t>Pension Fund In-house Limits</w:t>
            </w:r>
          </w:p>
        </w:tc>
      </w:tr>
      <w:tr w:rsidR="00862C9A" w:rsidRPr="00496AD4" w14:paraId="696C1BA8" w14:textId="7FB48B9E" w:rsidTr="00F1064C">
        <w:tc>
          <w:tcPr>
            <w:tcW w:w="2590" w:type="dxa"/>
          </w:tcPr>
          <w:p w14:paraId="275C541B" w14:textId="5E39539C" w:rsidR="00862C9A" w:rsidRPr="00496AD4" w:rsidRDefault="00F1064C" w:rsidP="004443C7">
            <w:pPr>
              <w:numPr>
                <w:ilvl w:val="0"/>
                <w:numId w:val="61"/>
              </w:numPr>
              <w:spacing w:after="120"/>
              <w:rPr>
                <w:rFonts w:cs="Arial"/>
                <w:iCs/>
                <w:spacing w:val="0"/>
                <w:sz w:val="22"/>
                <w:szCs w:val="22"/>
                <w:lang w:val="en-US"/>
              </w:rPr>
            </w:pPr>
            <w:r w:rsidRPr="00597ACC">
              <w:rPr>
                <w:rFonts w:cs="Arial"/>
                <w:iCs/>
                <w:sz w:val="22"/>
                <w:szCs w:val="22"/>
              </w:rPr>
              <w:t>Shareholdings in a local authority company</w:t>
            </w:r>
            <w:r w:rsidRPr="00496AD4">
              <w:rPr>
                <w:rFonts w:cs="Arial"/>
                <w:iCs/>
                <w:spacing w:val="0"/>
                <w:sz w:val="22"/>
                <w:szCs w:val="22"/>
                <w:lang w:val="en-US"/>
              </w:rPr>
              <w:t xml:space="preserve"> </w:t>
            </w:r>
          </w:p>
        </w:tc>
        <w:tc>
          <w:tcPr>
            <w:tcW w:w="3784" w:type="dxa"/>
          </w:tcPr>
          <w:p w14:paraId="1C135DF6" w14:textId="45C98A38" w:rsidR="00862C9A" w:rsidRPr="00496AD4" w:rsidRDefault="00F1064C" w:rsidP="004443C7">
            <w:pPr>
              <w:spacing w:after="120"/>
              <w:rPr>
                <w:rFonts w:cs="Arial"/>
                <w:iCs/>
                <w:spacing w:val="0"/>
                <w:sz w:val="22"/>
                <w:szCs w:val="22"/>
                <w:lang w:val="en-US"/>
              </w:rPr>
            </w:pPr>
            <w:r w:rsidRPr="00597ACC">
              <w:rPr>
                <w:rFonts w:cs="Arial"/>
                <w:iCs/>
                <w:sz w:val="22"/>
                <w:szCs w:val="22"/>
              </w:rPr>
              <w:t>These are service investments which may exhibit market risk and are likely to be highly illiquid.</w:t>
            </w:r>
          </w:p>
        </w:tc>
        <w:tc>
          <w:tcPr>
            <w:tcW w:w="4339" w:type="dxa"/>
          </w:tcPr>
          <w:p w14:paraId="2E086B27" w14:textId="35F5CCEA" w:rsidR="00862C9A" w:rsidRPr="00496AD4" w:rsidRDefault="00F1064C" w:rsidP="004443C7">
            <w:pPr>
              <w:spacing w:after="120"/>
              <w:rPr>
                <w:rFonts w:cs="Arial"/>
                <w:iCs/>
                <w:spacing w:val="0"/>
                <w:sz w:val="22"/>
                <w:szCs w:val="22"/>
                <w:lang w:val="en-US"/>
              </w:rPr>
            </w:pPr>
            <w:r w:rsidRPr="00597ACC">
              <w:rPr>
                <w:rFonts w:cs="Arial"/>
                <w:iCs/>
                <w:sz w:val="22"/>
                <w:szCs w:val="22"/>
              </w:rPr>
              <w:t>Each equity investment in a local authority company requires Member approval and each application will be supported by the service rational behind the investment and the likelihood of loss.</w:t>
            </w:r>
          </w:p>
        </w:tc>
        <w:tc>
          <w:tcPr>
            <w:tcW w:w="1418" w:type="dxa"/>
          </w:tcPr>
          <w:p w14:paraId="14038745" w14:textId="150F3398" w:rsidR="00862C9A" w:rsidRPr="00496AD4" w:rsidRDefault="00862C9A" w:rsidP="004443C7">
            <w:pPr>
              <w:spacing w:after="120"/>
              <w:rPr>
                <w:rFonts w:cs="Arial"/>
                <w:iCs/>
                <w:spacing w:val="0"/>
                <w:sz w:val="22"/>
                <w:szCs w:val="22"/>
                <w:lang w:val="en-US"/>
              </w:rPr>
            </w:pPr>
            <w:r w:rsidRPr="00496AD4">
              <w:rPr>
                <w:rFonts w:cs="Arial"/>
                <w:iCs/>
                <w:spacing w:val="0"/>
                <w:sz w:val="22"/>
                <w:szCs w:val="22"/>
                <w:lang w:val="en-US"/>
              </w:rPr>
              <w:t>£</w:t>
            </w:r>
            <w:r w:rsidR="00F1064C">
              <w:rPr>
                <w:rFonts w:cs="Arial"/>
                <w:iCs/>
                <w:spacing w:val="0"/>
                <w:sz w:val="22"/>
                <w:szCs w:val="22"/>
                <w:lang w:val="en-US"/>
              </w:rPr>
              <w:t>1m</w:t>
            </w:r>
            <w:r w:rsidRPr="00496AD4">
              <w:rPr>
                <w:rFonts w:cs="Arial"/>
                <w:iCs/>
                <w:spacing w:val="0"/>
                <w:sz w:val="22"/>
                <w:szCs w:val="22"/>
                <w:lang w:val="en-US"/>
              </w:rPr>
              <w:t>.</w:t>
            </w:r>
          </w:p>
        </w:tc>
        <w:tc>
          <w:tcPr>
            <w:tcW w:w="1418" w:type="dxa"/>
          </w:tcPr>
          <w:p w14:paraId="66691C35" w14:textId="21200C95" w:rsidR="00862C9A" w:rsidRPr="00496AD4" w:rsidRDefault="00F1064C" w:rsidP="004443C7">
            <w:pPr>
              <w:spacing w:after="120"/>
              <w:rPr>
                <w:rFonts w:cs="Arial"/>
                <w:iCs/>
                <w:spacing w:val="0"/>
                <w:sz w:val="22"/>
                <w:szCs w:val="22"/>
                <w:lang w:val="en-US"/>
              </w:rPr>
            </w:pPr>
            <w:r>
              <w:rPr>
                <w:rFonts w:cs="Arial"/>
                <w:iCs/>
                <w:spacing w:val="0"/>
                <w:sz w:val="22"/>
                <w:szCs w:val="22"/>
                <w:lang w:val="en-US"/>
              </w:rPr>
              <w:t>N/A</w:t>
            </w:r>
            <w:r w:rsidR="00862C9A" w:rsidRPr="00496AD4">
              <w:rPr>
                <w:rFonts w:cs="Arial"/>
                <w:iCs/>
                <w:spacing w:val="0"/>
                <w:sz w:val="22"/>
                <w:szCs w:val="22"/>
                <w:lang w:val="en-US"/>
              </w:rPr>
              <w:t>.</w:t>
            </w:r>
          </w:p>
        </w:tc>
        <w:tc>
          <w:tcPr>
            <w:tcW w:w="1302" w:type="dxa"/>
          </w:tcPr>
          <w:p w14:paraId="4C5D1945" w14:textId="7ABEF1BA" w:rsidR="00862C9A" w:rsidRPr="00496AD4" w:rsidRDefault="00F1064C" w:rsidP="004443C7">
            <w:pPr>
              <w:spacing w:after="120"/>
              <w:rPr>
                <w:rFonts w:cs="Arial"/>
                <w:iCs/>
                <w:spacing w:val="0"/>
                <w:sz w:val="22"/>
                <w:szCs w:val="22"/>
                <w:lang w:val="en-US"/>
              </w:rPr>
            </w:pPr>
            <w:r>
              <w:rPr>
                <w:rFonts w:cs="Arial"/>
                <w:iCs/>
                <w:spacing w:val="0"/>
                <w:sz w:val="22"/>
                <w:szCs w:val="22"/>
                <w:lang w:val="en-US"/>
              </w:rPr>
              <w:t>N/A</w:t>
            </w:r>
          </w:p>
        </w:tc>
      </w:tr>
      <w:tr w:rsidR="00F1064C" w:rsidRPr="00496AD4" w14:paraId="67391819" w14:textId="77777777" w:rsidTr="00F1064C">
        <w:tc>
          <w:tcPr>
            <w:tcW w:w="2590" w:type="dxa"/>
          </w:tcPr>
          <w:p w14:paraId="2781663D" w14:textId="7A478ABA" w:rsidR="00F1064C" w:rsidRPr="00496AD4" w:rsidRDefault="00F1064C" w:rsidP="004443C7">
            <w:pPr>
              <w:numPr>
                <w:ilvl w:val="0"/>
                <w:numId w:val="61"/>
              </w:numPr>
              <w:spacing w:after="120"/>
              <w:rPr>
                <w:rFonts w:cs="Arial"/>
                <w:iCs/>
                <w:spacing w:val="0"/>
                <w:sz w:val="22"/>
                <w:szCs w:val="22"/>
                <w:lang w:val="en-US"/>
              </w:rPr>
            </w:pPr>
            <w:r w:rsidRPr="00597ACC">
              <w:rPr>
                <w:rFonts w:cs="Arial"/>
                <w:iCs/>
                <w:sz w:val="22"/>
                <w:szCs w:val="22"/>
              </w:rPr>
              <w:t xml:space="preserve">Investment in the Subordinated Debt of projects delivered via the ‘HubCo’ model </w:t>
            </w:r>
            <w:r w:rsidRPr="00597ACC">
              <w:rPr>
                <w:rFonts w:cs="Arial"/>
                <w:b/>
                <w:iCs/>
                <w:sz w:val="22"/>
                <w:szCs w:val="22"/>
              </w:rPr>
              <w:t>(Very Low Risk)</w:t>
            </w:r>
          </w:p>
        </w:tc>
        <w:tc>
          <w:tcPr>
            <w:tcW w:w="3784" w:type="dxa"/>
          </w:tcPr>
          <w:p w14:paraId="2A3BE7E3" w14:textId="4FDC4DC6" w:rsidR="00F1064C" w:rsidRPr="00496AD4" w:rsidRDefault="00F1064C" w:rsidP="004443C7">
            <w:pPr>
              <w:spacing w:after="120"/>
              <w:rPr>
                <w:rFonts w:cs="Arial"/>
                <w:iCs/>
                <w:spacing w:val="0"/>
                <w:sz w:val="22"/>
                <w:szCs w:val="22"/>
                <w:lang w:val="en-US"/>
              </w:rPr>
            </w:pPr>
            <w:r w:rsidRPr="00597ACC">
              <w:rPr>
                <w:rFonts w:cs="Arial"/>
                <w:iCs/>
                <w:sz w:val="22"/>
                <w:szCs w:val="22"/>
              </w:rPr>
              <w:t>These are investments that are exposed to the success or failure of individual projects and are highly illiquid.</w:t>
            </w:r>
          </w:p>
        </w:tc>
        <w:tc>
          <w:tcPr>
            <w:tcW w:w="4339" w:type="dxa"/>
          </w:tcPr>
          <w:p w14:paraId="573BAC01" w14:textId="79C87D92" w:rsidR="00F1064C" w:rsidRPr="00496AD4" w:rsidRDefault="00F1064C" w:rsidP="004443C7">
            <w:pPr>
              <w:spacing w:after="120"/>
              <w:rPr>
                <w:rFonts w:cs="Arial"/>
                <w:iCs/>
                <w:spacing w:val="0"/>
                <w:sz w:val="22"/>
                <w:szCs w:val="22"/>
                <w:lang w:val="en-US"/>
              </w:rPr>
            </w:pPr>
            <w:r w:rsidRPr="00597ACC">
              <w:rPr>
                <w:rFonts w:cs="Arial"/>
                <w:iCs/>
                <w:sz w:val="22"/>
                <w:szCs w:val="22"/>
              </w:rPr>
              <w:t xml:space="preserve">The Council and Scottish Government (via the SFT) are participants in and party to the governance and controls within the project structure. As such they are well placed to influence and ensure the successful completion of the project’s term. </w:t>
            </w:r>
            <w:r w:rsidRPr="00597ACC">
              <w:rPr>
                <w:rFonts w:cs="Arial"/>
                <w:iCs/>
                <w:sz w:val="22"/>
                <w:szCs w:val="22"/>
              </w:rPr>
              <w:br/>
              <w:t>These projects are based on robust business cases with a cashflow from public sector organisations (i.e. low credit risk)</w:t>
            </w:r>
          </w:p>
        </w:tc>
        <w:tc>
          <w:tcPr>
            <w:tcW w:w="1418" w:type="dxa"/>
          </w:tcPr>
          <w:p w14:paraId="27429993" w14:textId="29C14149" w:rsidR="00F1064C" w:rsidRPr="00496AD4" w:rsidRDefault="00F1064C" w:rsidP="004443C7">
            <w:pPr>
              <w:spacing w:after="120"/>
              <w:rPr>
                <w:rFonts w:cs="Arial"/>
                <w:iCs/>
                <w:spacing w:val="0"/>
                <w:sz w:val="22"/>
                <w:szCs w:val="22"/>
                <w:lang w:val="en-US"/>
              </w:rPr>
            </w:pPr>
            <w:r>
              <w:rPr>
                <w:rFonts w:cs="Arial"/>
                <w:iCs/>
                <w:spacing w:val="0"/>
                <w:sz w:val="22"/>
                <w:szCs w:val="22"/>
                <w:lang w:val="en-US"/>
              </w:rPr>
              <w:t>£600,000</w:t>
            </w:r>
          </w:p>
        </w:tc>
        <w:tc>
          <w:tcPr>
            <w:tcW w:w="1418" w:type="dxa"/>
          </w:tcPr>
          <w:p w14:paraId="410A75DE" w14:textId="26C95B2B" w:rsidR="00F1064C" w:rsidRPr="00496AD4" w:rsidRDefault="00F1064C" w:rsidP="004443C7">
            <w:pPr>
              <w:spacing w:after="120"/>
              <w:rPr>
                <w:rFonts w:cs="Arial"/>
                <w:iCs/>
                <w:spacing w:val="0"/>
                <w:sz w:val="22"/>
                <w:szCs w:val="22"/>
                <w:lang w:val="en-US"/>
              </w:rPr>
            </w:pPr>
            <w:r>
              <w:rPr>
                <w:rFonts w:cs="Arial"/>
                <w:iCs/>
                <w:spacing w:val="0"/>
                <w:sz w:val="22"/>
                <w:szCs w:val="22"/>
                <w:lang w:val="en-US"/>
              </w:rPr>
              <w:t>N/A</w:t>
            </w:r>
          </w:p>
        </w:tc>
        <w:tc>
          <w:tcPr>
            <w:tcW w:w="1302" w:type="dxa"/>
          </w:tcPr>
          <w:p w14:paraId="49589AD7" w14:textId="48E04301" w:rsidR="00F1064C" w:rsidRPr="00496AD4" w:rsidRDefault="00F1064C" w:rsidP="004443C7">
            <w:pPr>
              <w:spacing w:after="120"/>
              <w:rPr>
                <w:rFonts w:cs="Arial"/>
                <w:iCs/>
                <w:spacing w:val="0"/>
                <w:sz w:val="22"/>
                <w:szCs w:val="22"/>
                <w:lang w:val="en-US"/>
              </w:rPr>
            </w:pPr>
            <w:r>
              <w:rPr>
                <w:rFonts w:cs="Arial"/>
                <w:iCs/>
                <w:spacing w:val="0"/>
                <w:sz w:val="22"/>
                <w:szCs w:val="22"/>
                <w:lang w:val="en-US"/>
              </w:rPr>
              <w:t>N/A</w:t>
            </w:r>
          </w:p>
        </w:tc>
      </w:tr>
    </w:tbl>
    <w:p w14:paraId="057AC450" w14:textId="77777777" w:rsidR="00215668" w:rsidRPr="00597ACC" w:rsidRDefault="00215668" w:rsidP="00D76E25">
      <w:pPr>
        <w:pStyle w:val="BodyText"/>
        <w:rPr>
          <w:rFonts w:ascii="Arial" w:hAnsi="Arial" w:cs="Arial"/>
          <w:b/>
          <w:bCs/>
          <w:sz w:val="22"/>
          <w:szCs w:val="22"/>
        </w:rPr>
      </w:pPr>
      <w:r w:rsidRPr="00597ACC">
        <w:rPr>
          <w:rFonts w:ascii="Arial" w:hAnsi="Arial" w:cs="Arial"/>
          <w:b/>
          <w:bCs/>
          <w:sz w:val="22"/>
          <w:szCs w:val="22"/>
        </w:rPr>
        <w:t>The Monitoring of Investment Counterparties</w:t>
      </w:r>
    </w:p>
    <w:p w14:paraId="51C9E417" w14:textId="77777777" w:rsidR="00215668" w:rsidRPr="00597ACC" w:rsidRDefault="00215668" w:rsidP="00D76E25">
      <w:pPr>
        <w:pStyle w:val="BodyText"/>
        <w:rPr>
          <w:rFonts w:ascii="Arial" w:hAnsi="Arial" w:cs="Arial"/>
          <w:sz w:val="16"/>
          <w:szCs w:val="16"/>
        </w:rPr>
      </w:pPr>
    </w:p>
    <w:p w14:paraId="49401495" w14:textId="77777777" w:rsidR="00922940" w:rsidRPr="00597ACC" w:rsidRDefault="00262441" w:rsidP="00D76E25">
      <w:pPr>
        <w:pStyle w:val="BodyText"/>
        <w:rPr>
          <w:rFonts w:ascii="Arial" w:hAnsi="Arial" w:cs="Arial"/>
          <w:sz w:val="22"/>
          <w:szCs w:val="22"/>
        </w:rPr>
      </w:pPr>
      <w:r w:rsidRPr="00597ACC">
        <w:rPr>
          <w:rFonts w:ascii="Arial" w:hAnsi="Arial" w:cs="Arial"/>
          <w:sz w:val="22"/>
          <w:szCs w:val="22"/>
        </w:rPr>
        <w:t xml:space="preserve">The status of counterparties will be monitored regularly.  The Council receives credit rating and market information from Link </w:t>
      </w:r>
      <w:r w:rsidR="008209D8" w:rsidRPr="00597ACC">
        <w:rPr>
          <w:rFonts w:ascii="Arial" w:hAnsi="Arial" w:cs="Arial"/>
          <w:sz w:val="22"/>
          <w:szCs w:val="22"/>
        </w:rPr>
        <w:t>Group</w:t>
      </w:r>
      <w:r w:rsidRPr="00597ACC">
        <w:rPr>
          <w:rFonts w:ascii="Arial" w:hAnsi="Arial" w:cs="Arial"/>
          <w:sz w:val="22"/>
          <w:szCs w:val="22"/>
        </w:rPr>
        <w:t xml:space="preserve">, including when ratings change, and counterparties are checked promptly.  On occasion ratings may be downgraded when an investment has already been made.  The criteria used are such that a minor downgrading should not affect the full receipt of the principal and interest.  Any counterparty failing to meet the criteria will be removed from the list immediately by the </w:t>
      </w:r>
      <w:r w:rsidR="00597ACC" w:rsidRPr="00597ACC">
        <w:rPr>
          <w:rFonts w:ascii="Arial" w:hAnsi="Arial" w:cs="Arial"/>
          <w:sz w:val="22"/>
          <w:szCs w:val="22"/>
        </w:rPr>
        <w:t>Acting Chief Financial Officer</w:t>
      </w:r>
      <w:r w:rsidR="0070753F" w:rsidRPr="00597ACC">
        <w:rPr>
          <w:rFonts w:ascii="Arial" w:hAnsi="Arial" w:cs="Arial"/>
          <w:sz w:val="22"/>
          <w:szCs w:val="22"/>
        </w:rPr>
        <w:t>,</w:t>
      </w:r>
      <w:r w:rsidRPr="00597ACC">
        <w:rPr>
          <w:rFonts w:ascii="Arial" w:hAnsi="Arial" w:cs="Arial"/>
          <w:sz w:val="22"/>
          <w:szCs w:val="22"/>
        </w:rPr>
        <w:t xml:space="preserve"> and if required new counterparties which meet the criteria will be added to the list</w:t>
      </w:r>
      <w:r w:rsidR="00AE0F99" w:rsidRPr="00597ACC">
        <w:rPr>
          <w:rFonts w:ascii="Arial" w:hAnsi="Arial" w:cs="Arial"/>
          <w:sz w:val="22"/>
          <w:szCs w:val="22"/>
        </w:rPr>
        <w:t>.</w:t>
      </w:r>
    </w:p>
    <w:p w14:paraId="3A6263E2" w14:textId="77777777" w:rsidR="00215668" w:rsidRPr="00597ACC" w:rsidRDefault="00215668" w:rsidP="00D76E25">
      <w:pPr>
        <w:pStyle w:val="BodyText"/>
        <w:rPr>
          <w:rFonts w:ascii="Arial" w:hAnsi="Arial" w:cs="Arial"/>
          <w:b/>
          <w:bCs/>
          <w:sz w:val="22"/>
          <w:szCs w:val="22"/>
        </w:rPr>
      </w:pPr>
    </w:p>
    <w:p w14:paraId="6B9EA114" w14:textId="77777777" w:rsidR="00062BC5" w:rsidRPr="00597ACC" w:rsidRDefault="00062BC5" w:rsidP="00D76E25">
      <w:pPr>
        <w:pStyle w:val="BodyText"/>
        <w:rPr>
          <w:rFonts w:ascii="Arial" w:hAnsi="Arial" w:cs="Arial"/>
          <w:sz w:val="22"/>
          <w:szCs w:val="22"/>
        </w:rPr>
      </w:pPr>
      <w:r w:rsidRPr="00597ACC">
        <w:rPr>
          <w:rFonts w:ascii="Arial" w:hAnsi="Arial" w:cs="Arial"/>
          <w:b/>
          <w:bCs/>
          <w:sz w:val="22"/>
          <w:szCs w:val="22"/>
        </w:rPr>
        <w:t>Use of External Fund Managers</w:t>
      </w:r>
    </w:p>
    <w:p w14:paraId="3F965D26" w14:textId="77777777" w:rsidR="00062BC5" w:rsidRPr="00597ACC" w:rsidRDefault="00062BC5" w:rsidP="00D76E25">
      <w:pPr>
        <w:pStyle w:val="BodyText"/>
        <w:rPr>
          <w:rFonts w:ascii="Arial" w:hAnsi="Arial" w:cs="Arial"/>
          <w:sz w:val="16"/>
          <w:szCs w:val="16"/>
        </w:rPr>
      </w:pPr>
    </w:p>
    <w:p w14:paraId="06804F67" w14:textId="77777777" w:rsidR="00BB6C81" w:rsidRPr="00597ACC" w:rsidRDefault="00062BC5" w:rsidP="00BB6C81">
      <w:pPr>
        <w:pStyle w:val="BodyText"/>
        <w:rPr>
          <w:rFonts w:ascii="Arial" w:hAnsi="Arial" w:cs="Arial"/>
          <w:b/>
          <w:color w:val="993366"/>
          <w:sz w:val="28"/>
          <w:szCs w:val="28"/>
        </w:rPr>
        <w:sectPr w:rsidR="00BB6C81" w:rsidRPr="00597ACC" w:rsidSect="001E029F">
          <w:headerReference w:type="even" r:id="rId23"/>
          <w:headerReference w:type="default" r:id="rId24"/>
          <w:headerReference w:type="first" r:id="rId25"/>
          <w:pgSz w:w="16840" w:h="11907" w:orient="landscape" w:code="9"/>
          <w:pgMar w:top="1151" w:right="1259" w:bottom="1151" w:left="720" w:header="709" w:footer="709" w:gutter="0"/>
          <w:cols w:space="720"/>
          <w:titlePg/>
        </w:sectPr>
      </w:pPr>
      <w:r w:rsidRPr="00597ACC">
        <w:rPr>
          <w:rFonts w:ascii="Arial" w:hAnsi="Arial" w:cs="Arial"/>
          <w:sz w:val="22"/>
          <w:szCs w:val="22"/>
        </w:rPr>
        <w:t xml:space="preserve">It is the Council’s policy to use external fund managers to manage the investment portfolios of the Scottish Borders Council Pension Fund and the pooled investment fund of the Common Good and Trust Funds. This Annex reflects the approved policies around the Common Good and Trust Fund Investment Strategy but specifically excludes, as allowed by regulations, the work undertaken by External Fund Managers in relation to the Scottish Borders Council Pension Fund.  </w:t>
      </w:r>
    </w:p>
    <w:p w14:paraId="6B30C0D2" w14:textId="77777777" w:rsidR="003905E9" w:rsidRPr="004443C7" w:rsidRDefault="003905E9" w:rsidP="003905E9">
      <w:pPr>
        <w:pStyle w:val="BodyText2"/>
        <w:tabs>
          <w:tab w:val="left" w:pos="1860"/>
        </w:tabs>
        <w:jc w:val="both"/>
        <w:rPr>
          <w:rFonts w:ascii="Arial" w:hAnsi="Arial" w:cs="Arial"/>
          <w:b/>
          <w:noProof/>
          <w:color w:val="993366"/>
          <w:spacing w:val="-5"/>
          <w:szCs w:val="22"/>
        </w:rPr>
      </w:pPr>
    </w:p>
    <w:p w14:paraId="51F0DCA1" w14:textId="793E6EE2" w:rsidR="001B4A8A" w:rsidRPr="00E51B6F" w:rsidRDefault="001B4A8A" w:rsidP="003905E9">
      <w:pPr>
        <w:pStyle w:val="BodyText2"/>
        <w:tabs>
          <w:tab w:val="left" w:pos="1860"/>
        </w:tabs>
        <w:jc w:val="both"/>
        <w:rPr>
          <w:rFonts w:ascii="Arial" w:hAnsi="Arial" w:cs="Arial"/>
          <w:b/>
          <w:noProof/>
          <w:color w:val="993366"/>
          <w:spacing w:val="-5"/>
          <w:sz w:val="28"/>
          <w:szCs w:val="28"/>
        </w:rPr>
      </w:pPr>
      <w:r w:rsidRPr="00E51B6F">
        <w:rPr>
          <w:rFonts w:ascii="Arial" w:hAnsi="Arial" w:cs="Arial"/>
          <w:b/>
          <w:noProof/>
          <w:color w:val="993366"/>
          <w:spacing w:val="-5"/>
          <w:sz w:val="28"/>
          <w:szCs w:val="28"/>
        </w:rPr>
        <w:t>A</w:t>
      </w:r>
      <w:r w:rsidR="003905E9" w:rsidRPr="00E51B6F">
        <w:rPr>
          <w:rFonts w:ascii="Arial" w:hAnsi="Arial" w:cs="Arial"/>
          <w:b/>
          <w:noProof/>
          <w:color w:val="993366"/>
          <w:spacing w:val="-5"/>
          <w:sz w:val="28"/>
          <w:szCs w:val="28"/>
        </w:rPr>
        <w:t>NNEX</w:t>
      </w:r>
      <w:r w:rsidRPr="00E51B6F">
        <w:rPr>
          <w:rFonts w:ascii="Arial" w:hAnsi="Arial" w:cs="Arial"/>
          <w:b/>
          <w:noProof/>
          <w:color w:val="993366"/>
          <w:spacing w:val="-5"/>
          <w:sz w:val="28"/>
          <w:szCs w:val="28"/>
        </w:rPr>
        <w:t xml:space="preserve"> F</w:t>
      </w:r>
      <w:r w:rsidR="003905E9" w:rsidRPr="00E51B6F">
        <w:rPr>
          <w:rFonts w:ascii="Arial" w:hAnsi="Arial" w:cs="Arial"/>
          <w:b/>
          <w:noProof/>
          <w:color w:val="993366"/>
          <w:spacing w:val="-5"/>
          <w:sz w:val="28"/>
          <w:szCs w:val="28"/>
        </w:rPr>
        <w:t>: APPROVED COUNTRIES FOR INVESTMENTS</w:t>
      </w:r>
    </w:p>
    <w:p w14:paraId="698D449D" w14:textId="77777777" w:rsidR="003905E9" w:rsidRPr="003905E9" w:rsidRDefault="003905E9" w:rsidP="003905E9">
      <w:pPr>
        <w:pStyle w:val="BodyText2"/>
        <w:tabs>
          <w:tab w:val="left" w:pos="1860"/>
        </w:tabs>
        <w:jc w:val="both"/>
        <w:rPr>
          <w:rFonts w:ascii="Arial" w:hAnsi="Arial" w:cs="Arial"/>
          <w:b/>
          <w:noProof/>
          <w:color w:val="993366"/>
          <w:spacing w:val="-5"/>
          <w:sz w:val="32"/>
          <w:szCs w:val="32"/>
        </w:rPr>
      </w:pPr>
    </w:p>
    <w:p w14:paraId="204CE894" w14:textId="077F3906" w:rsidR="001B4A8A" w:rsidRPr="00D26131" w:rsidRDefault="003417E9" w:rsidP="001B4A8A">
      <w:pPr>
        <w:tabs>
          <w:tab w:val="left" w:pos="1080"/>
          <w:tab w:val="left" w:pos="1260"/>
        </w:tabs>
        <w:jc w:val="both"/>
        <w:rPr>
          <w:rFonts w:cs="Arial"/>
          <w:sz w:val="22"/>
          <w:szCs w:val="22"/>
          <w:highlight w:val="yellow"/>
        </w:rPr>
      </w:pPr>
      <w:r w:rsidRPr="00D07ABD">
        <w:rPr>
          <w:rFonts w:cs="Arial"/>
          <w:sz w:val="22"/>
          <w:szCs w:val="22"/>
        </w:rPr>
        <w:t xml:space="preserve">This list is based on those countries which have sovereign ratings of AA- or higher, (we show the lowest rating from Fitch, Moody’s and S&amp;P) and also have banks operating in sterling markets which have credit ratings of green or above in the Link creditworthiness </w:t>
      </w:r>
      <w:r w:rsidRPr="003417E9">
        <w:rPr>
          <w:rFonts w:cs="Arial"/>
          <w:sz w:val="22"/>
          <w:szCs w:val="22"/>
        </w:rPr>
        <w:t>service</w:t>
      </w:r>
      <w:r w:rsidR="001B4A8A" w:rsidRPr="003417E9">
        <w:rPr>
          <w:rFonts w:cs="Arial"/>
          <w:sz w:val="22"/>
          <w:szCs w:val="22"/>
        </w:rPr>
        <w:t>.</w:t>
      </w:r>
    </w:p>
    <w:p w14:paraId="4183324F" w14:textId="77777777" w:rsidR="001B4A8A" w:rsidRPr="00D26131" w:rsidRDefault="001B4A8A" w:rsidP="001B4A8A">
      <w:pPr>
        <w:tabs>
          <w:tab w:val="left" w:pos="1080"/>
          <w:tab w:val="left" w:pos="1260"/>
        </w:tabs>
        <w:ind w:hanging="360"/>
        <w:jc w:val="both"/>
        <w:rPr>
          <w:rFonts w:cs="Arial"/>
          <w:i/>
          <w:color w:val="005B82"/>
          <w:sz w:val="22"/>
          <w:szCs w:val="22"/>
          <w:highlight w:val="yellow"/>
        </w:rPr>
      </w:pPr>
    </w:p>
    <w:p w14:paraId="612DD18C" w14:textId="77777777" w:rsidR="001B4A8A" w:rsidRPr="003417E9" w:rsidRDefault="001B4A8A" w:rsidP="001B4A8A">
      <w:pPr>
        <w:jc w:val="both"/>
        <w:rPr>
          <w:rFonts w:eastAsia="Arial" w:cs="Arial"/>
          <w:b/>
          <w:i/>
          <w:color w:val="0D0D0D"/>
          <w:spacing w:val="0"/>
          <w:sz w:val="22"/>
          <w:szCs w:val="22"/>
          <w:lang w:val="en-AU"/>
        </w:rPr>
      </w:pPr>
      <w:r w:rsidRPr="003417E9">
        <w:rPr>
          <w:rFonts w:eastAsia="Arial" w:cs="Arial"/>
          <w:b/>
          <w:i/>
          <w:color w:val="0D0D0D"/>
          <w:spacing w:val="0"/>
          <w:sz w:val="22"/>
          <w:szCs w:val="22"/>
          <w:lang w:val="en-AU"/>
        </w:rPr>
        <w:t>Based on lowest available rating</w:t>
      </w:r>
    </w:p>
    <w:p w14:paraId="35CCC153" w14:textId="77777777" w:rsidR="001B4A8A" w:rsidRPr="00D26131" w:rsidRDefault="001B4A8A" w:rsidP="001B4A8A">
      <w:pPr>
        <w:jc w:val="both"/>
        <w:rPr>
          <w:rFonts w:eastAsia="Arial" w:cs="Arial"/>
          <w:b/>
          <w:i/>
          <w:color w:val="0D0D0D"/>
          <w:spacing w:val="0"/>
          <w:sz w:val="22"/>
          <w:szCs w:val="22"/>
          <w:highlight w:val="yellow"/>
          <w:lang w:val="en-AU"/>
        </w:rPr>
      </w:pPr>
    </w:p>
    <w:p w14:paraId="0B216259" w14:textId="77777777" w:rsidR="001B4A8A" w:rsidRPr="00D26131" w:rsidRDefault="001B4A8A" w:rsidP="001B4A8A">
      <w:pPr>
        <w:tabs>
          <w:tab w:val="left" w:pos="1080"/>
          <w:tab w:val="left" w:pos="1260"/>
        </w:tabs>
        <w:spacing w:before="40" w:after="40"/>
        <w:ind w:left="1441" w:hanging="357"/>
        <w:jc w:val="both"/>
        <w:rPr>
          <w:rFonts w:cs="Arial"/>
          <w:b/>
          <w:color w:val="0D0D0D"/>
          <w:sz w:val="22"/>
          <w:szCs w:val="22"/>
          <w:highlight w:val="yellow"/>
          <w:u w:val="single"/>
        </w:rPr>
      </w:pPr>
      <w:r w:rsidRPr="003417E9">
        <w:rPr>
          <w:rFonts w:cs="Arial"/>
          <w:b/>
          <w:color w:val="0D0D0D"/>
          <w:sz w:val="22"/>
          <w:szCs w:val="22"/>
          <w:u w:val="single"/>
        </w:rPr>
        <w:t xml:space="preserve">AAA    </w:t>
      </w:r>
      <w:r w:rsidRPr="00D26131">
        <w:rPr>
          <w:rFonts w:cs="Arial"/>
          <w:b/>
          <w:color w:val="0D0D0D"/>
          <w:sz w:val="22"/>
          <w:szCs w:val="22"/>
          <w:highlight w:val="yellow"/>
          <w:u w:val="single"/>
        </w:rPr>
        <w:t xml:space="preserve">                 </w:t>
      </w:r>
    </w:p>
    <w:p w14:paraId="23322CB0"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Australia</w:t>
      </w:r>
    </w:p>
    <w:p w14:paraId="56E929DD"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Denmark</w:t>
      </w:r>
    </w:p>
    <w:p w14:paraId="49F7D987"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Germany</w:t>
      </w:r>
    </w:p>
    <w:p w14:paraId="4460EC81"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 xml:space="preserve">Netherlands </w:t>
      </w:r>
    </w:p>
    <w:p w14:paraId="555DF03F"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Norway</w:t>
      </w:r>
    </w:p>
    <w:p w14:paraId="0FD6837F"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Singapore</w:t>
      </w:r>
    </w:p>
    <w:p w14:paraId="337F541D"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Sweden</w:t>
      </w:r>
    </w:p>
    <w:p w14:paraId="36CAA01F"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Switzerland</w:t>
      </w:r>
    </w:p>
    <w:p w14:paraId="5E3350BF" w14:textId="77777777" w:rsidR="001B4A8A" w:rsidRPr="00D26131" w:rsidRDefault="001B4A8A" w:rsidP="001B4A8A">
      <w:pPr>
        <w:tabs>
          <w:tab w:val="left" w:pos="1080"/>
          <w:tab w:val="left" w:pos="1260"/>
        </w:tabs>
        <w:spacing w:before="40" w:after="40"/>
        <w:ind w:left="1441" w:hanging="357"/>
        <w:jc w:val="both"/>
        <w:rPr>
          <w:rFonts w:cs="Arial"/>
          <w:color w:val="0D0D0D"/>
          <w:sz w:val="22"/>
          <w:szCs w:val="22"/>
          <w:highlight w:val="yellow"/>
        </w:rPr>
      </w:pPr>
    </w:p>
    <w:p w14:paraId="71AD8CD2" w14:textId="77777777" w:rsidR="001B4A8A" w:rsidRPr="003417E9" w:rsidRDefault="001B4A8A" w:rsidP="001B4A8A">
      <w:pPr>
        <w:tabs>
          <w:tab w:val="left" w:pos="1080"/>
          <w:tab w:val="left" w:pos="1260"/>
        </w:tabs>
        <w:spacing w:before="40" w:after="40"/>
        <w:ind w:left="1441" w:hanging="357"/>
        <w:jc w:val="both"/>
        <w:rPr>
          <w:rFonts w:cs="Arial"/>
          <w:b/>
          <w:color w:val="0D0D0D"/>
          <w:sz w:val="22"/>
          <w:szCs w:val="22"/>
          <w:u w:val="single"/>
        </w:rPr>
      </w:pPr>
      <w:r w:rsidRPr="003417E9">
        <w:rPr>
          <w:rFonts w:cs="Arial"/>
          <w:b/>
          <w:color w:val="0D0D0D"/>
          <w:sz w:val="22"/>
          <w:szCs w:val="22"/>
          <w:u w:val="single"/>
        </w:rPr>
        <w:t>AA+</w:t>
      </w:r>
    </w:p>
    <w:p w14:paraId="6461343B" w14:textId="77777777" w:rsidR="003417E9" w:rsidRPr="003417E9"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3417E9">
        <w:rPr>
          <w:rFonts w:cs="Arial"/>
          <w:color w:val="0D0D0D"/>
          <w:sz w:val="22"/>
          <w:szCs w:val="22"/>
        </w:rPr>
        <w:t xml:space="preserve">Canada   </w:t>
      </w:r>
    </w:p>
    <w:p w14:paraId="22BD12C2" w14:textId="77777777" w:rsidR="003417E9" w:rsidRPr="003417E9"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3417E9">
        <w:rPr>
          <w:rFonts w:cs="Arial"/>
          <w:color w:val="0D0D0D"/>
          <w:sz w:val="22"/>
          <w:szCs w:val="22"/>
        </w:rPr>
        <w:t>Finland</w:t>
      </w:r>
    </w:p>
    <w:p w14:paraId="0E723C60" w14:textId="0CEAB20B" w:rsidR="003417E9" w:rsidRPr="003417E9"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3417E9">
        <w:rPr>
          <w:rFonts w:cs="Arial"/>
          <w:color w:val="0D0D0D"/>
          <w:sz w:val="22"/>
          <w:szCs w:val="22"/>
        </w:rPr>
        <w:t>U.S.A.</w:t>
      </w:r>
    </w:p>
    <w:p w14:paraId="102CE28C" w14:textId="77777777" w:rsidR="001B4A8A" w:rsidRPr="003417E9" w:rsidRDefault="001B4A8A" w:rsidP="001B4A8A">
      <w:pPr>
        <w:tabs>
          <w:tab w:val="left" w:pos="1080"/>
          <w:tab w:val="left" w:pos="1260"/>
        </w:tabs>
        <w:spacing w:before="40" w:after="40"/>
        <w:ind w:left="1441" w:hanging="357"/>
        <w:jc w:val="both"/>
        <w:rPr>
          <w:rFonts w:cs="Arial"/>
          <w:color w:val="0D0D0D"/>
          <w:sz w:val="22"/>
          <w:szCs w:val="22"/>
        </w:rPr>
      </w:pPr>
    </w:p>
    <w:p w14:paraId="24FBC39E" w14:textId="77777777" w:rsidR="001B4A8A" w:rsidRPr="003417E9" w:rsidRDefault="001B4A8A" w:rsidP="001B4A8A">
      <w:pPr>
        <w:tabs>
          <w:tab w:val="left" w:pos="1080"/>
          <w:tab w:val="left" w:pos="1260"/>
        </w:tabs>
        <w:spacing w:before="40" w:after="40"/>
        <w:ind w:left="1441" w:hanging="357"/>
        <w:jc w:val="both"/>
        <w:rPr>
          <w:rFonts w:cs="Arial"/>
          <w:b/>
          <w:color w:val="0D0D0D"/>
          <w:sz w:val="22"/>
          <w:szCs w:val="22"/>
          <w:u w:val="single"/>
        </w:rPr>
      </w:pPr>
      <w:r w:rsidRPr="003417E9">
        <w:rPr>
          <w:rFonts w:cs="Arial"/>
          <w:b/>
          <w:color w:val="0D0D0D"/>
          <w:sz w:val="22"/>
          <w:szCs w:val="22"/>
          <w:u w:val="single"/>
        </w:rPr>
        <w:t>AA</w:t>
      </w:r>
    </w:p>
    <w:p w14:paraId="14F31AE1"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Abu Dhabi (UAE)</w:t>
      </w:r>
    </w:p>
    <w:p w14:paraId="4D5AF0EB" w14:textId="7EFB59BC" w:rsidR="003417E9" w:rsidRPr="00C7522A" w:rsidRDefault="003417E9" w:rsidP="001D69A2">
      <w:pPr>
        <w:tabs>
          <w:tab w:val="left" w:pos="1080"/>
          <w:tab w:val="left" w:pos="1260"/>
        </w:tabs>
        <w:spacing w:before="40" w:after="40" w:line="280" w:lineRule="exact"/>
        <w:ind w:left="720"/>
        <w:jc w:val="both"/>
        <w:rPr>
          <w:rFonts w:cs="Arial"/>
          <w:color w:val="0D0D0D"/>
          <w:sz w:val="22"/>
          <w:szCs w:val="22"/>
        </w:rPr>
      </w:pPr>
    </w:p>
    <w:p w14:paraId="1AB59882" w14:textId="77777777" w:rsidR="001B4A8A" w:rsidRPr="00D26131" w:rsidRDefault="001B4A8A" w:rsidP="001B4A8A">
      <w:pPr>
        <w:tabs>
          <w:tab w:val="left" w:pos="1080"/>
          <w:tab w:val="left" w:pos="1260"/>
        </w:tabs>
        <w:spacing w:before="40" w:after="40"/>
        <w:ind w:left="1441" w:hanging="357"/>
        <w:jc w:val="both"/>
        <w:rPr>
          <w:rFonts w:cs="Arial"/>
          <w:color w:val="0D0D0D"/>
          <w:sz w:val="22"/>
          <w:szCs w:val="22"/>
          <w:highlight w:val="yellow"/>
        </w:rPr>
      </w:pPr>
    </w:p>
    <w:p w14:paraId="43A876AA" w14:textId="77777777" w:rsidR="001B4A8A" w:rsidRPr="003417E9" w:rsidRDefault="001B4A8A" w:rsidP="001B4A8A">
      <w:pPr>
        <w:tabs>
          <w:tab w:val="left" w:pos="1080"/>
          <w:tab w:val="left" w:pos="1260"/>
        </w:tabs>
        <w:spacing w:before="40" w:after="40"/>
        <w:ind w:left="1441" w:hanging="357"/>
        <w:jc w:val="both"/>
        <w:rPr>
          <w:rFonts w:cs="Arial"/>
          <w:b/>
          <w:color w:val="0D0D0D"/>
          <w:sz w:val="22"/>
          <w:szCs w:val="22"/>
          <w:u w:val="single"/>
        </w:rPr>
      </w:pPr>
      <w:r w:rsidRPr="003417E9">
        <w:rPr>
          <w:rFonts w:cs="Arial"/>
          <w:b/>
          <w:color w:val="0D0D0D"/>
          <w:sz w:val="22"/>
          <w:szCs w:val="22"/>
          <w:u w:val="single"/>
        </w:rPr>
        <w:t>AA-</w:t>
      </w:r>
    </w:p>
    <w:p w14:paraId="335BBF85" w14:textId="77777777" w:rsidR="003417E9"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Belgium</w:t>
      </w:r>
    </w:p>
    <w:p w14:paraId="4A7A1BD6" w14:textId="7E1A45C0" w:rsidR="001D69A2" w:rsidRPr="00C7522A" w:rsidRDefault="001D69A2" w:rsidP="00493D08">
      <w:pPr>
        <w:numPr>
          <w:ilvl w:val="0"/>
          <w:numId w:val="58"/>
        </w:numPr>
        <w:tabs>
          <w:tab w:val="left" w:pos="1080"/>
          <w:tab w:val="left" w:pos="1260"/>
        </w:tabs>
        <w:spacing w:before="40" w:after="40" w:line="280" w:lineRule="exact"/>
        <w:jc w:val="both"/>
        <w:rPr>
          <w:rFonts w:cs="Arial"/>
          <w:color w:val="0D0D0D"/>
          <w:sz w:val="22"/>
          <w:szCs w:val="22"/>
        </w:rPr>
      </w:pPr>
      <w:r>
        <w:rPr>
          <w:rFonts w:cs="Arial"/>
          <w:color w:val="0D0D0D"/>
          <w:sz w:val="22"/>
          <w:szCs w:val="22"/>
        </w:rPr>
        <w:t>France</w:t>
      </w:r>
    </w:p>
    <w:p w14:paraId="61CF2BC1" w14:textId="77777777" w:rsidR="003417E9" w:rsidRPr="00C7522A" w:rsidRDefault="003417E9" w:rsidP="00493D08">
      <w:pPr>
        <w:numPr>
          <w:ilvl w:val="0"/>
          <w:numId w:val="58"/>
        </w:numPr>
        <w:tabs>
          <w:tab w:val="left" w:pos="1080"/>
          <w:tab w:val="left" w:pos="1260"/>
        </w:tabs>
        <w:spacing w:before="40" w:after="40" w:line="280" w:lineRule="exact"/>
        <w:jc w:val="both"/>
        <w:rPr>
          <w:rFonts w:cs="Arial"/>
          <w:color w:val="0D0D0D"/>
          <w:sz w:val="22"/>
          <w:szCs w:val="22"/>
        </w:rPr>
      </w:pPr>
      <w:r w:rsidRPr="00C7522A">
        <w:rPr>
          <w:rFonts w:cs="Arial"/>
          <w:color w:val="0D0D0D"/>
          <w:sz w:val="22"/>
          <w:szCs w:val="22"/>
        </w:rPr>
        <w:t>Qatar</w:t>
      </w:r>
    </w:p>
    <w:p w14:paraId="63CE6E2B" w14:textId="77777777" w:rsidR="003417E9" w:rsidRPr="00C7522A" w:rsidRDefault="003417E9" w:rsidP="00493D08">
      <w:pPr>
        <w:numPr>
          <w:ilvl w:val="0"/>
          <w:numId w:val="58"/>
        </w:numPr>
        <w:tabs>
          <w:tab w:val="left" w:pos="1080"/>
          <w:tab w:val="left" w:pos="1260"/>
        </w:tabs>
        <w:spacing w:before="40" w:after="40" w:line="280" w:lineRule="exact"/>
        <w:jc w:val="both"/>
        <w:rPr>
          <w:rFonts w:cs="Arial"/>
          <w:b/>
          <w:color w:val="0D0D0D"/>
          <w:sz w:val="22"/>
          <w:szCs w:val="22"/>
        </w:rPr>
      </w:pPr>
      <w:r w:rsidRPr="00C7522A">
        <w:rPr>
          <w:rFonts w:cs="Arial"/>
          <w:b/>
          <w:color w:val="0D0D0D"/>
          <w:sz w:val="22"/>
          <w:szCs w:val="22"/>
        </w:rPr>
        <w:t>U.K.</w:t>
      </w:r>
    </w:p>
    <w:p w14:paraId="6B1CE4B7" w14:textId="77777777" w:rsidR="001B4A8A" w:rsidRPr="00D26131" w:rsidRDefault="001B4A8A" w:rsidP="001B4A8A">
      <w:pPr>
        <w:rPr>
          <w:rFonts w:cs="Arial"/>
          <w:b/>
          <w:noProof/>
          <w:color w:val="993366"/>
          <w:sz w:val="32"/>
          <w:szCs w:val="32"/>
          <w:highlight w:val="yellow"/>
        </w:rPr>
      </w:pPr>
    </w:p>
    <w:p w14:paraId="4E7F30B9" w14:textId="2FF37523" w:rsidR="001B4A8A" w:rsidRPr="003417E9" w:rsidRDefault="001B4A8A" w:rsidP="001B4A8A">
      <w:pPr>
        <w:tabs>
          <w:tab w:val="left" w:pos="1080"/>
          <w:tab w:val="left" w:pos="1260"/>
        </w:tabs>
        <w:jc w:val="both"/>
        <w:rPr>
          <w:rFonts w:cs="Arial"/>
        </w:rPr>
      </w:pPr>
      <w:r w:rsidRPr="003417E9">
        <w:rPr>
          <w:rFonts w:cs="Arial"/>
        </w:rPr>
        <w:t>[Rating</w:t>
      </w:r>
      <w:r w:rsidR="003417E9" w:rsidRPr="003417E9">
        <w:rPr>
          <w:rFonts w:cs="Arial"/>
        </w:rPr>
        <w:t xml:space="preserve">s provided by Link Group as </w:t>
      </w:r>
      <w:proofErr w:type="gramStart"/>
      <w:r w:rsidR="003417E9" w:rsidRPr="003417E9">
        <w:rPr>
          <w:rFonts w:cs="Arial"/>
        </w:rPr>
        <w:t>at</w:t>
      </w:r>
      <w:proofErr w:type="gramEnd"/>
      <w:r w:rsidR="001D69A2">
        <w:rPr>
          <w:rFonts w:cs="Arial"/>
        </w:rPr>
        <w:t xml:space="preserve"> 30 January 2024</w:t>
      </w:r>
      <w:r w:rsidRPr="003417E9">
        <w:rPr>
          <w:rFonts w:cs="Arial"/>
        </w:rPr>
        <w:t>]</w:t>
      </w:r>
    </w:p>
    <w:p w14:paraId="007D06F2" w14:textId="77777777" w:rsidR="001B4A8A" w:rsidRPr="00D26131" w:rsidRDefault="001B4A8A" w:rsidP="001B4A8A">
      <w:pPr>
        <w:rPr>
          <w:rFonts w:cs="Arial"/>
          <w:b/>
          <w:noProof/>
          <w:color w:val="993366"/>
          <w:sz w:val="32"/>
          <w:szCs w:val="32"/>
          <w:highlight w:val="yellow"/>
        </w:rPr>
      </w:pPr>
    </w:p>
    <w:p w14:paraId="57802E4E" w14:textId="77777777" w:rsidR="001B4A8A" w:rsidRPr="00D26131" w:rsidRDefault="001B4A8A" w:rsidP="001B4A8A">
      <w:pPr>
        <w:rPr>
          <w:rFonts w:cs="Arial"/>
          <w:b/>
          <w:noProof/>
          <w:color w:val="993366"/>
          <w:sz w:val="32"/>
          <w:szCs w:val="32"/>
          <w:highlight w:val="yellow"/>
        </w:rPr>
      </w:pPr>
      <w:r w:rsidRPr="00D26131">
        <w:rPr>
          <w:rFonts w:cs="Arial"/>
          <w:b/>
          <w:noProof/>
          <w:color w:val="993366"/>
          <w:sz w:val="32"/>
          <w:szCs w:val="32"/>
          <w:highlight w:val="yellow"/>
        </w:rPr>
        <w:br w:type="page"/>
      </w:r>
    </w:p>
    <w:p w14:paraId="34812AF9" w14:textId="732099FA" w:rsidR="001B4A8A" w:rsidRPr="001D69A2" w:rsidRDefault="001B4A8A" w:rsidP="001D69A2">
      <w:pPr>
        <w:pStyle w:val="BodyText2"/>
        <w:tabs>
          <w:tab w:val="left" w:pos="1860"/>
        </w:tabs>
        <w:jc w:val="both"/>
        <w:rPr>
          <w:rFonts w:ascii="Arial" w:hAnsi="Arial" w:cs="Arial"/>
          <w:b/>
          <w:noProof/>
          <w:color w:val="993366"/>
          <w:spacing w:val="-5"/>
          <w:sz w:val="32"/>
          <w:szCs w:val="32"/>
        </w:rPr>
      </w:pPr>
      <w:r w:rsidRPr="007C20D6">
        <w:rPr>
          <w:rFonts w:ascii="Arial" w:hAnsi="Arial" w:cs="Arial"/>
          <w:b/>
          <w:noProof/>
          <w:color w:val="993366"/>
          <w:spacing w:val="-5"/>
          <w:sz w:val="28"/>
          <w:szCs w:val="28"/>
        </w:rPr>
        <w:t>A</w:t>
      </w:r>
      <w:r w:rsidR="003905E9" w:rsidRPr="007C20D6">
        <w:rPr>
          <w:rFonts w:ascii="Arial" w:hAnsi="Arial" w:cs="Arial"/>
          <w:b/>
          <w:noProof/>
          <w:color w:val="993366"/>
          <w:spacing w:val="-5"/>
          <w:sz w:val="28"/>
          <w:szCs w:val="28"/>
        </w:rPr>
        <w:t>NNEX</w:t>
      </w:r>
      <w:r w:rsidRPr="007C20D6">
        <w:rPr>
          <w:rFonts w:ascii="Arial" w:hAnsi="Arial" w:cs="Arial"/>
          <w:b/>
          <w:noProof/>
          <w:color w:val="993366"/>
          <w:spacing w:val="-5"/>
          <w:sz w:val="28"/>
          <w:szCs w:val="28"/>
        </w:rPr>
        <w:t xml:space="preserve"> G</w:t>
      </w:r>
      <w:r w:rsidR="001D69A2">
        <w:rPr>
          <w:rFonts w:ascii="Arial" w:hAnsi="Arial" w:cs="Arial"/>
          <w:b/>
          <w:noProof/>
          <w:color w:val="993366"/>
          <w:spacing w:val="-5"/>
          <w:sz w:val="32"/>
          <w:szCs w:val="32"/>
        </w:rPr>
        <w:t xml:space="preserve">: </w:t>
      </w:r>
      <w:r w:rsidRPr="000A7D0F">
        <w:rPr>
          <w:rFonts w:ascii="Arial" w:hAnsi="Arial" w:cs="Arial"/>
          <w:b/>
          <w:noProof/>
          <w:color w:val="993366"/>
          <w:sz w:val="28"/>
          <w:szCs w:val="28"/>
        </w:rPr>
        <w:t>S</w:t>
      </w:r>
      <w:r w:rsidR="001D69A2">
        <w:rPr>
          <w:rFonts w:ascii="Arial" w:hAnsi="Arial" w:cs="Arial"/>
          <w:b/>
          <w:noProof/>
          <w:color w:val="993366"/>
          <w:sz w:val="28"/>
          <w:szCs w:val="28"/>
        </w:rPr>
        <w:t>CHEME OF DELEGATION</w:t>
      </w:r>
    </w:p>
    <w:p w14:paraId="5A5A5764" w14:textId="77777777" w:rsidR="001B4A8A" w:rsidRPr="00D26131" w:rsidRDefault="001B4A8A" w:rsidP="001B4A8A">
      <w:pPr>
        <w:pStyle w:val="BodyText2"/>
        <w:jc w:val="both"/>
        <w:rPr>
          <w:rFonts w:ascii="Arial" w:hAnsi="Arial" w:cs="Arial"/>
          <w:b/>
          <w:noProof/>
          <w:color w:val="993366"/>
          <w:sz w:val="16"/>
          <w:szCs w:val="16"/>
          <w:highlight w:val="yellow"/>
        </w:rPr>
      </w:pPr>
    </w:p>
    <w:p w14:paraId="56D7755D" w14:textId="1B5827AA" w:rsidR="001B4A8A" w:rsidRPr="000A7D0F" w:rsidRDefault="001B4A8A" w:rsidP="001B4A8A">
      <w:pPr>
        <w:autoSpaceDE w:val="0"/>
        <w:autoSpaceDN w:val="0"/>
        <w:adjustRightInd w:val="0"/>
        <w:spacing w:before="100" w:after="100"/>
        <w:rPr>
          <w:rFonts w:cs="Arial"/>
          <w:b/>
          <w:bCs/>
          <w:noProof/>
          <w:sz w:val="22"/>
          <w:szCs w:val="22"/>
        </w:rPr>
      </w:pPr>
      <w:r w:rsidRPr="000A7D0F">
        <w:rPr>
          <w:rFonts w:cs="Arial"/>
          <w:b/>
          <w:bCs/>
          <w:noProof/>
          <w:sz w:val="22"/>
          <w:szCs w:val="22"/>
        </w:rPr>
        <w:t xml:space="preserve">Full </w:t>
      </w:r>
      <w:r w:rsidR="0013732E">
        <w:rPr>
          <w:rFonts w:cs="Arial"/>
          <w:b/>
          <w:bCs/>
          <w:noProof/>
          <w:sz w:val="22"/>
          <w:szCs w:val="22"/>
        </w:rPr>
        <w:t>C</w:t>
      </w:r>
      <w:r w:rsidRPr="000A7D0F">
        <w:rPr>
          <w:rFonts w:cs="Arial"/>
          <w:b/>
          <w:bCs/>
          <w:noProof/>
          <w:sz w:val="22"/>
          <w:szCs w:val="22"/>
        </w:rPr>
        <w:t>ouncil</w:t>
      </w:r>
    </w:p>
    <w:p w14:paraId="2C58769B" w14:textId="77777777" w:rsidR="000A7D0F" w:rsidRPr="000A7D0F" w:rsidRDefault="000A7D0F" w:rsidP="000A7D0F">
      <w:pPr>
        <w:numPr>
          <w:ilvl w:val="0"/>
          <w:numId w:val="41"/>
        </w:numPr>
        <w:autoSpaceDE w:val="0"/>
        <w:autoSpaceDN w:val="0"/>
        <w:adjustRightInd w:val="0"/>
        <w:spacing w:before="90" w:after="90"/>
        <w:rPr>
          <w:rFonts w:cs="Arial"/>
          <w:sz w:val="22"/>
          <w:szCs w:val="22"/>
        </w:rPr>
      </w:pPr>
      <w:r w:rsidRPr="000A7D0F">
        <w:rPr>
          <w:rFonts w:cs="Arial"/>
          <w:sz w:val="22"/>
          <w:szCs w:val="22"/>
        </w:rPr>
        <w:t>receiving and reviewing reports on treasury management policies, practices and activities;</w:t>
      </w:r>
    </w:p>
    <w:p w14:paraId="79055082" w14:textId="58CAD6DF" w:rsidR="001B4A8A" w:rsidRPr="000A7D0F" w:rsidRDefault="000A7D0F" w:rsidP="000A7D0F">
      <w:pPr>
        <w:numPr>
          <w:ilvl w:val="0"/>
          <w:numId w:val="41"/>
        </w:numPr>
        <w:autoSpaceDE w:val="0"/>
        <w:autoSpaceDN w:val="0"/>
        <w:adjustRightInd w:val="0"/>
        <w:spacing w:before="90" w:after="90"/>
        <w:rPr>
          <w:rFonts w:cs="Arial"/>
          <w:noProof/>
          <w:sz w:val="22"/>
          <w:szCs w:val="22"/>
        </w:rPr>
      </w:pPr>
      <w:r w:rsidRPr="000A7D0F">
        <w:rPr>
          <w:rFonts w:cs="Arial"/>
          <w:sz w:val="22"/>
          <w:szCs w:val="22"/>
        </w:rPr>
        <w:t>approval of annual strategy</w:t>
      </w:r>
      <w:r w:rsidR="001B4A8A" w:rsidRPr="000A7D0F">
        <w:rPr>
          <w:rFonts w:cs="Arial"/>
          <w:noProof/>
          <w:sz w:val="22"/>
          <w:szCs w:val="22"/>
        </w:rPr>
        <w:t>.</w:t>
      </w:r>
    </w:p>
    <w:p w14:paraId="5BEE94CB" w14:textId="77777777" w:rsidR="001B4A8A" w:rsidRPr="00D26131" w:rsidRDefault="001B4A8A" w:rsidP="001B4A8A">
      <w:pPr>
        <w:autoSpaceDE w:val="0"/>
        <w:autoSpaceDN w:val="0"/>
        <w:adjustRightInd w:val="0"/>
        <w:spacing w:before="100" w:after="100"/>
        <w:rPr>
          <w:rFonts w:cs="Arial"/>
          <w:b/>
          <w:bCs/>
          <w:noProof/>
          <w:sz w:val="22"/>
          <w:szCs w:val="22"/>
          <w:highlight w:val="yellow"/>
        </w:rPr>
      </w:pPr>
    </w:p>
    <w:p w14:paraId="6ACF1C77" w14:textId="10BCC999" w:rsidR="001B4A8A" w:rsidRPr="000A7D0F" w:rsidRDefault="001B4A8A" w:rsidP="001B4A8A">
      <w:pPr>
        <w:autoSpaceDE w:val="0"/>
        <w:autoSpaceDN w:val="0"/>
        <w:adjustRightInd w:val="0"/>
        <w:spacing w:before="100" w:after="100"/>
        <w:rPr>
          <w:rFonts w:cs="Arial"/>
          <w:b/>
          <w:bCs/>
          <w:noProof/>
          <w:sz w:val="22"/>
          <w:szCs w:val="22"/>
        </w:rPr>
      </w:pPr>
      <w:r w:rsidRPr="000A7D0F">
        <w:rPr>
          <w:rFonts w:cs="Arial"/>
          <w:b/>
          <w:bCs/>
          <w:noProof/>
          <w:sz w:val="22"/>
          <w:szCs w:val="22"/>
        </w:rPr>
        <w:t>Boards/committees/council/responsible body</w:t>
      </w:r>
    </w:p>
    <w:p w14:paraId="0CB8367E" w14:textId="77777777" w:rsidR="000A7D0F" w:rsidRPr="000A7D0F" w:rsidRDefault="000A7D0F" w:rsidP="000A7D0F">
      <w:pPr>
        <w:numPr>
          <w:ilvl w:val="0"/>
          <w:numId w:val="40"/>
        </w:numPr>
        <w:autoSpaceDE w:val="0"/>
        <w:autoSpaceDN w:val="0"/>
        <w:adjustRightInd w:val="0"/>
        <w:spacing w:before="90" w:after="90"/>
        <w:rPr>
          <w:rFonts w:cs="Arial"/>
          <w:sz w:val="22"/>
          <w:szCs w:val="22"/>
        </w:rPr>
      </w:pPr>
      <w:r w:rsidRPr="000A7D0F">
        <w:rPr>
          <w:rFonts w:cs="Arial"/>
          <w:sz w:val="22"/>
          <w:szCs w:val="22"/>
        </w:rPr>
        <w:t>approval of/amendments to the organisation’s adopted clauses, treasury management policy statement and treasury management practices;</w:t>
      </w:r>
    </w:p>
    <w:p w14:paraId="120F2F48" w14:textId="77777777" w:rsidR="000A7D0F" w:rsidRPr="000A7D0F" w:rsidRDefault="000A7D0F" w:rsidP="000A7D0F">
      <w:pPr>
        <w:numPr>
          <w:ilvl w:val="0"/>
          <w:numId w:val="40"/>
        </w:numPr>
        <w:autoSpaceDE w:val="0"/>
        <w:autoSpaceDN w:val="0"/>
        <w:adjustRightInd w:val="0"/>
        <w:spacing w:before="90" w:after="90"/>
        <w:rPr>
          <w:rFonts w:cs="Arial"/>
          <w:sz w:val="22"/>
          <w:szCs w:val="22"/>
        </w:rPr>
      </w:pPr>
      <w:r w:rsidRPr="000A7D0F">
        <w:rPr>
          <w:rFonts w:cs="Arial"/>
          <w:sz w:val="22"/>
          <w:szCs w:val="22"/>
        </w:rPr>
        <w:t>budget consideration and approval;</w:t>
      </w:r>
    </w:p>
    <w:p w14:paraId="6B9596C6" w14:textId="77777777" w:rsidR="000A7D0F" w:rsidRPr="000A7D0F" w:rsidRDefault="000A7D0F" w:rsidP="000A7D0F">
      <w:pPr>
        <w:numPr>
          <w:ilvl w:val="0"/>
          <w:numId w:val="40"/>
        </w:numPr>
        <w:autoSpaceDE w:val="0"/>
        <w:autoSpaceDN w:val="0"/>
        <w:adjustRightInd w:val="0"/>
        <w:spacing w:before="90" w:after="90"/>
        <w:rPr>
          <w:rFonts w:cs="Arial"/>
          <w:sz w:val="22"/>
          <w:szCs w:val="22"/>
        </w:rPr>
      </w:pPr>
      <w:r w:rsidRPr="000A7D0F">
        <w:rPr>
          <w:rFonts w:cs="Arial"/>
          <w:sz w:val="22"/>
          <w:szCs w:val="22"/>
        </w:rPr>
        <w:t>approval of the division of responsibilities;</w:t>
      </w:r>
    </w:p>
    <w:p w14:paraId="64C61DEB" w14:textId="77777777" w:rsidR="000A7D0F" w:rsidRPr="000A7D0F" w:rsidRDefault="000A7D0F" w:rsidP="000A7D0F">
      <w:pPr>
        <w:numPr>
          <w:ilvl w:val="0"/>
          <w:numId w:val="40"/>
        </w:numPr>
        <w:autoSpaceDE w:val="0"/>
        <w:autoSpaceDN w:val="0"/>
        <w:adjustRightInd w:val="0"/>
        <w:spacing w:before="90" w:after="90"/>
        <w:rPr>
          <w:rFonts w:cs="Arial"/>
          <w:sz w:val="22"/>
          <w:szCs w:val="22"/>
        </w:rPr>
      </w:pPr>
      <w:r w:rsidRPr="000A7D0F">
        <w:rPr>
          <w:rFonts w:cs="Arial"/>
          <w:sz w:val="22"/>
          <w:szCs w:val="22"/>
        </w:rPr>
        <w:t>receiving and reviewing regular monitoring reports and acting on recommendations;</w:t>
      </w:r>
    </w:p>
    <w:p w14:paraId="2F4879B4" w14:textId="1F76A11B" w:rsidR="001B4A8A" w:rsidRPr="000A7D0F" w:rsidRDefault="000A7D0F" w:rsidP="000A7D0F">
      <w:pPr>
        <w:numPr>
          <w:ilvl w:val="0"/>
          <w:numId w:val="40"/>
        </w:numPr>
        <w:autoSpaceDE w:val="0"/>
        <w:autoSpaceDN w:val="0"/>
        <w:adjustRightInd w:val="0"/>
        <w:spacing w:before="90" w:after="90"/>
        <w:rPr>
          <w:rFonts w:cs="Arial"/>
          <w:noProof/>
          <w:sz w:val="22"/>
          <w:szCs w:val="22"/>
        </w:rPr>
      </w:pPr>
      <w:r w:rsidRPr="000A7D0F">
        <w:rPr>
          <w:rFonts w:cs="Arial"/>
          <w:sz w:val="22"/>
          <w:szCs w:val="22"/>
        </w:rPr>
        <w:t>approving the selection of external service providers and agreeing terms of appointment</w:t>
      </w:r>
      <w:r w:rsidR="001B4A8A" w:rsidRPr="000A7D0F">
        <w:rPr>
          <w:rFonts w:cs="Arial"/>
          <w:noProof/>
          <w:sz w:val="22"/>
          <w:szCs w:val="22"/>
        </w:rPr>
        <w:t>.</w:t>
      </w:r>
    </w:p>
    <w:p w14:paraId="0A71AD8F" w14:textId="77777777" w:rsidR="001B4A8A" w:rsidRPr="000A7D0F" w:rsidRDefault="001B4A8A" w:rsidP="001B4A8A">
      <w:pPr>
        <w:autoSpaceDE w:val="0"/>
        <w:autoSpaceDN w:val="0"/>
        <w:adjustRightInd w:val="0"/>
        <w:spacing w:before="100" w:after="100"/>
        <w:rPr>
          <w:rFonts w:cs="Arial"/>
          <w:b/>
          <w:bCs/>
          <w:noProof/>
          <w:sz w:val="22"/>
          <w:szCs w:val="22"/>
        </w:rPr>
      </w:pPr>
    </w:p>
    <w:p w14:paraId="461BFF25" w14:textId="3B0B3FEF" w:rsidR="001B4A8A" w:rsidRPr="000A7D0F" w:rsidRDefault="001B4A8A" w:rsidP="001B4A8A">
      <w:pPr>
        <w:autoSpaceDE w:val="0"/>
        <w:autoSpaceDN w:val="0"/>
        <w:adjustRightInd w:val="0"/>
        <w:spacing w:before="100" w:after="100"/>
        <w:rPr>
          <w:rFonts w:cs="Arial"/>
          <w:b/>
          <w:bCs/>
          <w:noProof/>
          <w:sz w:val="22"/>
          <w:szCs w:val="22"/>
        </w:rPr>
      </w:pPr>
      <w:r w:rsidRPr="000A7D0F">
        <w:rPr>
          <w:rFonts w:cs="Arial"/>
          <w:b/>
          <w:bCs/>
          <w:noProof/>
          <w:sz w:val="22"/>
          <w:szCs w:val="22"/>
        </w:rPr>
        <w:t>Body/person(s) with responsibility for scrutiny</w:t>
      </w:r>
    </w:p>
    <w:p w14:paraId="3B18111F" w14:textId="257CF379" w:rsidR="001B4A8A" w:rsidRPr="000A7D0F" w:rsidRDefault="000A7D0F" w:rsidP="005B34C4">
      <w:pPr>
        <w:numPr>
          <w:ilvl w:val="0"/>
          <w:numId w:val="39"/>
        </w:numPr>
        <w:autoSpaceDE w:val="0"/>
        <w:autoSpaceDN w:val="0"/>
        <w:adjustRightInd w:val="0"/>
        <w:spacing w:before="100" w:after="100"/>
        <w:rPr>
          <w:rFonts w:cs="Arial"/>
          <w:sz w:val="22"/>
          <w:szCs w:val="22"/>
        </w:rPr>
      </w:pPr>
      <w:r w:rsidRPr="000A7D0F">
        <w:rPr>
          <w:rFonts w:cs="Arial"/>
          <w:sz w:val="22"/>
          <w:szCs w:val="22"/>
        </w:rPr>
        <w:t>reviewing the treasury management policy and procedures and making recommendations to the responsible body</w:t>
      </w:r>
      <w:r w:rsidR="001B4A8A" w:rsidRPr="000A7D0F">
        <w:rPr>
          <w:rFonts w:cs="Arial"/>
          <w:sz w:val="22"/>
          <w:szCs w:val="22"/>
        </w:rPr>
        <w:t>.</w:t>
      </w:r>
    </w:p>
    <w:p w14:paraId="2555B492" w14:textId="77777777" w:rsidR="001B4A8A" w:rsidRPr="000A7D0F" w:rsidRDefault="001B4A8A" w:rsidP="001B4A8A">
      <w:pPr>
        <w:pStyle w:val="subhead"/>
        <w:keepLines/>
      </w:pPr>
      <w:bookmarkStart w:id="26" w:name="_Toc467148183"/>
      <w:r w:rsidRPr="000A7D0F">
        <w:t>THE TREASURY MANAGEMENT ROLE OF THE SECTION 95 OFFICER</w:t>
      </w:r>
      <w:bookmarkEnd w:id="26"/>
    </w:p>
    <w:p w14:paraId="63FD0480" w14:textId="77777777" w:rsidR="001B4A8A" w:rsidRPr="000A7D0F" w:rsidRDefault="001B4A8A" w:rsidP="001B4A8A">
      <w:pPr>
        <w:autoSpaceDE w:val="0"/>
        <w:autoSpaceDN w:val="0"/>
        <w:adjustRightInd w:val="0"/>
        <w:spacing w:before="100" w:after="100"/>
        <w:rPr>
          <w:rFonts w:cs="Arial"/>
          <w:b/>
          <w:bCs/>
          <w:noProof/>
          <w:sz w:val="22"/>
          <w:szCs w:val="22"/>
        </w:rPr>
      </w:pPr>
      <w:r w:rsidRPr="000A7D0F">
        <w:rPr>
          <w:rFonts w:cs="Arial"/>
          <w:b/>
          <w:bCs/>
          <w:noProof/>
          <w:sz w:val="22"/>
          <w:szCs w:val="22"/>
        </w:rPr>
        <w:t>The S95 (responsible) officer</w:t>
      </w:r>
    </w:p>
    <w:p w14:paraId="7CA29CEE" w14:textId="1A279E6B" w:rsidR="001B4A8A" w:rsidRPr="0037142E" w:rsidRDefault="001B4A8A" w:rsidP="005B34C4">
      <w:pPr>
        <w:numPr>
          <w:ilvl w:val="0"/>
          <w:numId w:val="40"/>
        </w:numPr>
        <w:autoSpaceDE w:val="0"/>
        <w:autoSpaceDN w:val="0"/>
        <w:adjustRightInd w:val="0"/>
        <w:spacing w:before="90" w:after="90"/>
        <w:rPr>
          <w:rFonts w:cs="Arial"/>
          <w:noProof/>
          <w:sz w:val="22"/>
          <w:szCs w:val="22"/>
        </w:rPr>
      </w:pPr>
      <w:r w:rsidRPr="0037142E">
        <w:rPr>
          <w:rFonts w:cs="Arial"/>
          <w:noProof/>
          <w:sz w:val="22"/>
          <w:szCs w:val="22"/>
        </w:rPr>
        <w:t>Take and/or authorise all operational decisions regarding the Council’s investments and borrowing, in accordance with approved Treasury Management Strategy.</w:t>
      </w:r>
    </w:p>
    <w:p w14:paraId="056B4F06" w14:textId="77A97BAC" w:rsidR="001B4A8A" w:rsidRPr="00493D08" w:rsidRDefault="001B4A8A" w:rsidP="00493D08">
      <w:pPr>
        <w:numPr>
          <w:ilvl w:val="0"/>
          <w:numId w:val="40"/>
        </w:numPr>
        <w:autoSpaceDE w:val="0"/>
        <w:autoSpaceDN w:val="0"/>
        <w:adjustRightInd w:val="0"/>
        <w:spacing w:before="90" w:after="90"/>
        <w:rPr>
          <w:rFonts w:cs="Arial"/>
          <w:noProof/>
          <w:sz w:val="22"/>
          <w:szCs w:val="22"/>
        </w:rPr>
      </w:pPr>
      <w:r w:rsidRPr="0037142E">
        <w:rPr>
          <w:rFonts w:cs="Arial"/>
          <w:noProof/>
          <w:sz w:val="22"/>
          <w:szCs w:val="22"/>
        </w:rPr>
        <w:t xml:space="preserve">Responsible for execution and administration of treasury management decisions in accordance with the Council’s Treasury Management </w:t>
      </w:r>
      <w:r w:rsidR="00493D08">
        <w:rPr>
          <w:rFonts w:cs="Arial"/>
          <w:noProof/>
          <w:sz w:val="22"/>
          <w:szCs w:val="22"/>
        </w:rPr>
        <w:t>Strategy</w:t>
      </w:r>
      <w:r w:rsidRPr="00493D08">
        <w:rPr>
          <w:rFonts w:cs="Arial"/>
          <w:noProof/>
          <w:sz w:val="22"/>
          <w:szCs w:val="22"/>
        </w:rPr>
        <w:t>, and if (s)he is a CIPFA member, CIPFA’s Standard of Professional Practice on Treasury Management.</w:t>
      </w:r>
    </w:p>
    <w:p w14:paraId="00C356B3" w14:textId="77777777" w:rsidR="001B4A8A" w:rsidRPr="0037142E" w:rsidRDefault="001B4A8A" w:rsidP="005B34C4">
      <w:pPr>
        <w:numPr>
          <w:ilvl w:val="0"/>
          <w:numId w:val="40"/>
        </w:numPr>
        <w:autoSpaceDE w:val="0"/>
        <w:autoSpaceDN w:val="0"/>
        <w:adjustRightInd w:val="0"/>
        <w:spacing w:before="90" w:after="90"/>
        <w:rPr>
          <w:rFonts w:cs="Arial"/>
          <w:noProof/>
          <w:sz w:val="22"/>
          <w:szCs w:val="22"/>
        </w:rPr>
      </w:pPr>
      <w:r w:rsidRPr="0037142E">
        <w:rPr>
          <w:rFonts w:cs="Arial"/>
          <w:noProof/>
          <w:sz w:val="22"/>
          <w:szCs w:val="22"/>
        </w:rPr>
        <w:t>In terms of Treasury Management, from time to time, formulate suitable criteria for assessing and monitoring the credit risk of investment counterparties and construct a lending list defining appropriate limits.</w:t>
      </w:r>
    </w:p>
    <w:p w14:paraId="60E1C95F" w14:textId="77777777" w:rsidR="001B4A8A" w:rsidRPr="0037142E" w:rsidRDefault="001B4A8A" w:rsidP="005B34C4">
      <w:pPr>
        <w:numPr>
          <w:ilvl w:val="0"/>
          <w:numId w:val="40"/>
        </w:numPr>
        <w:autoSpaceDE w:val="0"/>
        <w:autoSpaceDN w:val="0"/>
        <w:adjustRightInd w:val="0"/>
        <w:spacing w:before="90" w:after="90"/>
        <w:rPr>
          <w:rFonts w:cs="Arial"/>
          <w:noProof/>
          <w:sz w:val="22"/>
          <w:szCs w:val="22"/>
        </w:rPr>
      </w:pPr>
      <w:r w:rsidRPr="0037142E">
        <w:rPr>
          <w:rFonts w:cs="Arial"/>
          <w:noProof/>
          <w:sz w:val="22"/>
          <w:szCs w:val="22"/>
        </w:rPr>
        <w:t>Borrow, in advance of need, where, for instance, a sharp rise in interest rates is expected, and so borrowing early at fixed interest rates will be economically beneficial or meet budgetary constraints.  Adopt a cautious approach to any such borrowing, and a business case to support the decision-making process must consider:</w:t>
      </w:r>
    </w:p>
    <w:p w14:paraId="50F73221" w14:textId="77777777" w:rsidR="001B4A8A" w:rsidRPr="0037142E" w:rsidRDefault="001B4A8A" w:rsidP="005B34C4">
      <w:pPr>
        <w:pStyle w:val="ListParagraph"/>
        <w:numPr>
          <w:ilvl w:val="0"/>
          <w:numId w:val="42"/>
        </w:numPr>
        <w:tabs>
          <w:tab w:val="clear" w:pos="720"/>
          <w:tab w:val="num" w:pos="1843"/>
        </w:tabs>
        <w:autoSpaceDE w:val="0"/>
        <w:autoSpaceDN w:val="0"/>
        <w:adjustRightInd w:val="0"/>
        <w:spacing w:before="90" w:after="90"/>
        <w:ind w:left="1701" w:hanging="425"/>
        <w:rPr>
          <w:rFonts w:cs="Arial"/>
          <w:noProof/>
          <w:sz w:val="22"/>
          <w:szCs w:val="22"/>
        </w:rPr>
      </w:pPr>
      <w:r w:rsidRPr="0037142E">
        <w:rPr>
          <w:rFonts w:cs="Arial"/>
          <w:noProof/>
          <w:sz w:val="22"/>
          <w:szCs w:val="22"/>
        </w:rPr>
        <w:t xml:space="preserve">the benefits of borrowing in advance, </w:t>
      </w:r>
    </w:p>
    <w:p w14:paraId="364B0184" w14:textId="77777777" w:rsidR="001B4A8A" w:rsidRPr="0037142E" w:rsidRDefault="001B4A8A" w:rsidP="005B34C4">
      <w:pPr>
        <w:pStyle w:val="ListParagraph"/>
        <w:numPr>
          <w:ilvl w:val="0"/>
          <w:numId w:val="42"/>
        </w:numPr>
        <w:tabs>
          <w:tab w:val="clear" w:pos="720"/>
          <w:tab w:val="num" w:pos="1843"/>
        </w:tabs>
        <w:autoSpaceDE w:val="0"/>
        <w:autoSpaceDN w:val="0"/>
        <w:adjustRightInd w:val="0"/>
        <w:spacing w:before="90" w:after="90"/>
        <w:ind w:left="1701" w:hanging="425"/>
        <w:rPr>
          <w:rFonts w:cs="Arial"/>
          <w:noProof/>
          <w:sz w:val="22"/>
          <w:szCs w:val="22"/>
        </w:rPr>
      </w:pPr>
      <w:r w:rsidRPr="0037142E">
        <w:rPr>
          <w:rFonts w:cs="Arial"/>
          <w:noProof/>
          <w:sz w:val="22"/>
          <w:szCs w:val="22"/>
        </w:rPr>
        <w:t xml:space="preserve">the investment risks created by the existence of investments at the same time as additional borrowing being outstanding; and </w:t>
      </w:r>
    </w:p>
    <w:p w14:paraId="76860382" w14:textId="77777777" w:rsidR="001B4A8A" w:rsidRPr="0037142E" w:rsidRDefault="001B4A8A" w:rsidP="005B34C4">
      <w:pPr>
        <w:pStyle w:val="ListParagraph"/>
        <w:numPr>
          <w:ilvl w:val="0"/>
          <w:numId w:val="42"/>
        </w:numPr>
        <w:tabs>
          <w:tab w:val="clear" w:pos="720"/>
          <w:tab w:val="num" w:pos="1843"/>
        </w:tabs>
        <w:autoSpaceDE w:val="0"/>
        <w:autoSpaceDN w:val="0"/>
        <w:adjustRightInd w:val="0"/>
        <w:spacing w:before="90" w:after="90"/>
        <w:ind w:left="1701" w:hanging="425"/>
        <w:rPr>
          <w:rFonts w:cs="Arial"/>
          <w:noProof/>
          <w:sz w:val="22"/>
          <w:szCs w:val="22"/>
        </w:rPr>
      </w:pPr>
      <w:r w:rsidRPr="0037142E">
        <w:rPr>
          <w:rFonts w:cs="Arial"/>
          <w:noProof/>
          <w:sz w:val="22"/>
          <w:szCs w:val="22"/>
        </w:rPr>
        <w:t xml:space="preserve">how far in advance it is reasonable to borrow, considering the risks identified.  Any such advance borrowing shall be reported through the mid-year or annual Treasury Management reporting mechanism. </w:t>
      </w:r>
    </w:p>
    <w:p w14:paraId="0E419B46" w14:textId="77777777" w:rsidR="001B4A8A" w:rsidRPr="0037142E" w:rsidRDefault="001B4A8A" w:rsidP="005B34C4">
      <w:pPr>
        <w:pStyle w:val="ListParagraph"/>
        <w:numPr>
          <w:ilvl w:val="0"/>
          <w:numId w:val="40"/>
        </w:numPr>
        <w:autoSpaceDE w:val="0"/>
        <w:autoSpaceDN w:val="0"/>
        <w:adjustRightInd w:val="0"/>
        <w:spacing w:before="90" w:after="90"/>
        <w:rPr>
          <w:rFonts w:cs="Arial"/>
          <w:noProof/>
          <w:sz w:val="22"/>
          <w:szCs w:val="22"/>
        </w:rPr>
      </w:pPr>
      <w:r w:rsidRPr="0037142E">
        <w:rPr>
          <w:rFonts w:cs="Arial"/>
          <w:noProof/>
          <w:sz w:val="22"/>
          <w:szCs w:val="22"/>
        </w:rPr>
        <w:t>Take the most appropriate form of borrowing depending on the prevailing interest rates at the time, taking into account the risks shown in the forecast contained in the Treasury Management Strategy.</w:t>
      </w:r>
    </w:p>
    <w:p w14:paraId="05EE8873" w14:textId="77777777" w:rsidR="001B4A8A" w:rsidRPr="0037142E" w:rsidRDefault="001B4A8A" w:rsidP="00493D08">
      <w:pPr>
        <w:numPr>
          <w:ilvl w:val="0"/>
          <w:numId w:val="40"/>
        </w:numPr>
        <w:autoSpaceDE w:val="0"/>
        <w:autoSpaceDN w:val="0"/>
        <w:adjustRightInd w:val="0"/>
        <w:spacing w:before="90" w:after="90"/>
        <w:rPr>
          <w:rFonts w:cs="Arial"/>
          <w:b/>
          <w:noProof/>
          <w:color w:val="993366"/>
          <w:sz w:val="32"/>
          <w:szCs w:val="32"/>
        </w:rPr>
      </w:pPr>
      <w:r w:rsidRPr="0037142E">
        <w:rPr>
          <w:rFonts w:cs="Arial"/>
          <w:noProof/>
          <w:sz w:val="22"/>
          <w:szCs w:val="22"/>
        </w:rPr>
        <w:t xml:space="preserve">Maintain a counterparty list consistent with the </w:t>
      </w:r>
      <w:r w:rsidRPr="00BB17A4">
        <w:rPr>
          <w:rFonts w:cs="Arial"/>
          <w:noProof/>
          <w:sz w:val="22"/>
          <w:szCs w:val="22"/>
        </w:rPr>
        <w:t>Investment Counterparty Selection Criteria</w:t>
      </w:r>
      <w:r w:rsidRPr="0037142E">
        <w:rPr>
          <w:rFonts w:cs="Arial"/>
          <w:noProof/>
          <w:sz w:val="22"/>
          <w:szCs w:val="22"/>
        </w:rPr>
        <w:t xml:space="preserve"> and revise the criteria and submit them to Committee for approval as necessary, and in addition, set out the types of investment to be </w:t>
      </w:r>
      <w:r w:rsidRPr="00BB17A4">
        <w:rPr>
          <w:rFonts w:cs="Arial"/>
          <w:noProof/>
          <w:sz w:val="22"/>
          <w:szCs w:val="22"/>
        </w:rPr>
        <w:t>made (Permitted Investments).</w:t>
      </w:r>
    </w:p>
    <w:p w14:paraId="2AF56A36" w14:textId="0415F002" w:rsidR="00132091" w:rsidRPr="0037142E" w:rsidRDefault="00493D08" w:rsidP="00493D08">
      <w:pPr>
        <w:numPr>
          <w:ilvl w:val="0"/>
          <w:numId w:val="40"/>
        </w:numPr>
        <w:autoSpaceDE w:val="0"/>
        <w:autoSpaceDN w:val="0"/>
        <w:adjustRightInd w:val="0"/>
        <w:spacing w:before="90" w:after="90"/>
        <w:rPr>
          <w:rFonts w:cs="Arial"/>
          <w:i/>
          <w:sz w:val="22"/>
          <w:szCs w:val="22"/>
        </w:rPr>
      </w:pPr>
      <w:r>
        <w:rPr>
          <w:rFonts w:cs="Arial"/>
          <w:sz w:val="22"/>
          <w:szCs w:val="22"/>
        </w:rPr>
        <w:t>P</w:t>
      </w:r>
      <w:r w:rsidR="00132091" w:rsidRPr="0037142E">
        <w:rPr>
          <w:rFonts w:cs="Arial"/>
          <w:sz w:val="22"/>
          <w:szCs w:val="22"/>
        </w:rPr>
        <w:t xml:space="preserve">reparation of a capital strategy to include </w:t>
      </w:r>
      <w:r w:rsidR="00132091" w:rsidRPr="0037142E">
        <w:rPr>
          <w:rFonts w:cs="Arial"/>
          <w:bCs/>
          <w:sz w:val="22"/>
          <w:szCs w:val="22"/>
        </w:rPr>
        <w:t xml:space="preserve">capital expenditure, capital financing, non-financial investments and treasury management, </w:t>
      </w:r>
      <w:r w:rsidR="00132091" w:rsidRPr="0037142E">
        <w:rPr>
          <w:rFonts w:cs="Arial"/>
          <w:sz w:val="22"/>
          <w:szCs w:val="22"/>
        </w:rPr>
        <w:t>with a long-term timeframe</w:t>
      </w:r>
    </w:p>
    <w:p w14:paraId="23F86991" w14:textId="45AC7A1C"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nsuring that the capital strategy is prudent, sustainable, affordable and prudent in the long term and provides value for money</w:t>
      </w:r>
      <w:r w:rsidR="00BB17A4">
        <w:rPr>
          <w:rFonts w:cs="Arial"/>
          <w:sz w:val="22"/>
          <w:szCs w:val="22"/>
        </w:rPr>
        <w:t>.</w:t>
      </w:r>
    </w:p>
    <w:p w14:paraId="0BF6B240" w14:textId="04D5559F"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 xml:space="preserve">nsuring that due diligence has been carried out on all treasury and non-financial investments and is in accordance with the risk appetite of the </w:t>
      </w:r>
      <w:r>
        <w:rPr>
          <w:rFonts w:cs="Arial"/>
          <w:sz w:val="22"/>
          <w:szCs w:val="22"/>
        </w:rPr>
        <w:t>Council</w:t>
      </w:r>
      <w:r w:rsidR="00BB17A4">
        <w:rPr>
          <w:rFonts w:cs="Arial"/>
          <w:sz w:val="22"/>
          <w:szCs w:val="22"/>
        </w:rPr>
        <w:t>.</w:t>
      </w:r>
    </w:p>
    <w:p w14:paraId="1220FB2C" w14:textId="07427940"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nsure that the</w:t>
      </w:r>
      <w:r>
        <w:rPr>
          <w:rFonts w:cs="Arial"/>
          <w:sz w:val="22"/>
          <w:szCs w:val="22"/>
        </w:rPr>
        <w:t xml:space="preserve"> Council</w:t>
      </w:r>
      <w:r w:rsidR="00132091" w:rsidRPr="0037142E">
        <w:rPr>
          <w:rFonts w:cs="Arial"/>
          <w:sz w:val="22"/>
          <w:szCs w:val="22"/>
        </w:rPr>
        <w:t xml:space="preserve"> has appropriate legal powers to undertake expenditure on non-financial assets and their financing</w:t>
      </w:r>
      <w:r w:rsidR="00BB17A4">
        <w:rPr>
          <w:rFonts w:cs="Arial"/>
          <w:sz w:val="22"/>
          <w:szCs w:val="22"/>
        </w:rPr>
        <w:t>.</w:t>
      </w:r>
    </w:p>
    <w:p w14:paraId="16508A1F" w14:textId="1C32407A"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 xml:space="preserve">nsuring the proportionality of all investments so that the </w:t>
      </w:r>
      <w:r>
        <w:rPr>
          <w:rFonts w:cs="Arial"/>
          <w:sz w:val="22"/>
          <w:szCs w:val="22"/>
        </w:rPr>
        <w:t>Council</w:t>
      </w:r>
      <w:r w:rsidR="00132091" w:rsidRPr="0037142E">
        <w:rPr>
          <w:rFonts w:cs="Arial"/>
          <w:sz w:val="22"/>
          <w:szCs w:val="22"/>
        </w:rPr>
        <w:t xml:space="preserve"> does not undertake a level of investing which exposes the authority to an excessive level of risk compared to its financial resources</w:t>
      </w:r>
      <w:r w:rsidR="00BB17A4">
        <w:rPr>
          <w:rFonts w:cs="Arial"/>
          <w:sz w:val="22"/>
          <w:szCs w:val="22"/>
        </w:rPr>
        <w:t>.</w:t>
      </w:r>
    </w:p>
    <w:p w14:paraId="2ACF9783" w14:textId="4EE052F3"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 xml:space="preserve">nsuring that an adequate governance process is in place for the approval, monitoring and ongoing risk management of all non-financial investments and </w:t>
      </w:r>
      <w:proofErr w:type="gramStart"/>
      <w:r w:rsidR="00132091" w:rsidRPr="0037142E">
        <w:rPr>
          <w:rFonts w:cs="Arial"/>
          <w:sz w:val="22"/>
          <w:szCs w:val="22"/>
        </w:rPr>
        <w:t>long term</w:t>
      </w:r>
      <w:proofErr w:type="gramEnd"/>
      <w:r w:rsidR="00132091" w:rsidRPr="0037142E">
        <w:rPr>
          <w:rFonts w:cs="Arial"/>
          <w:sz w:val="22"/>
          <w:szCs w:val="22"/>
        </w:rPr>
        <w:t xml:space="preserve"> liabilities</w:t>
      </w:r>
      <w:r w:rsidR="00BB17A4">
        <w:rPr>
          <w:rFonts w:cs="Arial"/>
          <w:sz w:val="22"/>
          <w:szCs w:val="22"/>
        </w:rPr>
        <w:t>.</w:t>
      </w:r>
    </w:p>
    <w:p w14:paraId="78F444AB" w14:textId="0EDB0AD3"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P</w:t>
      </w:r>
      <w:r w:rsidR="00132091" w:rsidRPr="0037142E">
        <w:rPr>
          <w:rFonts w:cs="Arial"/>
          <w:sz w:val="22"/>
          <w:szCs w:val="22"/>
        </w:rPr>
        <w:t xml:space="preserve">rovision to members of a schedule of all non-treasury investments including material investments in subsidiaries, joint ventures, loans and financial guarantees ensuring that members are adequately informed and understand the risk exposures taken on by </w:t>
      </w:r>
      <w:r>
        <w:rPr>
          <w:rFonts w:cs="Arial"/>
          <w:sz w:val="22"/>
          <w:szCs w:val="22"/>
        </w:rPr>
        <w:t>the Council</w:t>
      </w:r>
      <w:r w:rsidR="00BB17A4">
        <w:rPr>
          <w:rFonts w:cs="Arial"/>
          <w:sz w:val="22"/>
          <w:szCs w:val="22"/>
        </w:rPr>
        <w:t>.</w:t>
      </w:r>
    </w:p>
    <w:p w14:paraId="4DFB4A48" w14:textId="043AEC44" w:rsidR="00132091" w:rsidRPr="0037142E" w:rsidRDefault="00493D08" w:rsidP="00493D08">
      <w:pPr>
        <w:numPr>
          <w:ilvl w:val="0"/>
          <w:numId w:val="40"/>
        </w:numPr>
        <w:autoSpaceDE w:val="0"/>
        <w:autoSpaceDN w:val="0"/>
        <w:adjustRightInd w:val="0"/>
        <w:spacing w:before="90" w:after="90"/>
        <w:rPr>
          <w:rFonts w:cs="Arial"/>
          <w:sz w:val="22"/>
          <w:szCs w:val="22"/>
        </w:rPr>
      </w:pPr>
      <w:r>
        <w:rPr>
          <w:rFonts w:cs="Arial"/>
          <w:sz w:val="22"/>
          <w:szCs w:val="22"/>
        </w:rPr>
        <w:t>E</w:t>
      </w:r>
      <w:r w:rsidR="00132091" w:rsidRPr="0037142E">
        <w:rPr>
          <w:rFonts w:cs="Arial"/>
          <w:sz w:val="22"/>
          <w:szCs w:val="22"/>
        </w:rPr>
        <w:t xml:space="preserve">nsuring that the </w:t>
      </w:r>
      <w:r>
        <w:rPr>
          <w:rFonts w:cs="Arial"/>
          <w:sz w:val="22"/>
          <w:szCs w:val="22"/>
        </w:rPr>
        <w:t>Council</w:t>
      </w:r>
      <w:r w:rsidR="00132091" w:rsidRPr="0037142E">
        <w:rPr>
          <w:rFonts w:cs="Arial"/>
          <w:sz w:val="22"/>
          <w:szCs w:val="22"/>
        </w:rPr>
        <w:t xml:space="preserve"> has adequate expertise, either in house or externally provided, to carry out the above</w:t>
      </w:r>
      <w:r w:rsidR="00BB17A4">
        <w:rPr>
          <w:rFonts w:cs="Arial"/>
          <w:sz w:val="22"/>
          <w:szCs w:val="22"/>
        </w:rPr>
        <w:t>.</w:t>
      </w:r>
    </w:p>
    <w:p w14:paraId="3C5D973B" w14:textId="6A47203B" w:rsidR="00132091" w:rsidRPr="0037142E" w:rsidRDefault="00493D08" w:rsidP="00493D08">
      <w:pPr>
        <w:numPr>
          <w:ilvl w:val="0"/>
          <w:numId w:val="40"/>
        </w:numPr>
        <w:autoSpaceDE w:val="0"/>
        <w:autoSpaceDN w:val="0"/>
        <w:adjustRightInd w:val="0"/>
        <w:spacing w:before="90" w:after="90"/>
        <w:rPr>
          <w:rFonts w:cs="Arial"/>
          <w:i/>
          <w:color w:val="0000FF"/>
          <w:spacing w:val="0"/>
          <w:sz w:val="22"/>
          <w:szCs w:val="22"/>
        </w:rPr>
      </w:pPr>
      <w:r>
        <w:rPr>
          <w:rFonts w:cs="Arial"/>
          <w:sz w:val="22"/>
          <w:szCs w:val="22"/>
        </w:rPr>
        <w:t>C</w:t>
      </w:r>
      <w:r w:rsidR="00132091" w:rsidRPr="0037142E">
        <w:rPr>
          <w:rFonts w:cs="Arial"/>
          <w:sz w:val="22"/>
          <w:szCs w:val="22"/>
        </w:rPr>
        <w:t xml:space="preserve">reation of Treasury Management Practices which specifically deal with how non-treasury investments will be carried out and managed, to include the following </w:t>
      </w:r>
      <w:r w:rsidR="00132091" w:rsidRPr="0037142E">
        <w:rPr>
          <w:rFonts w:cs="Arial"/>
          <w:i/>
          <w:color w:val="0000FF"/>
          <w:spacing w:val="0"/>
          <w:sz w:val="22"/>
          <w:szCs w:val="22"/>
        </w:rPr>
        <w:t>(TM Code p54): -</w:t>
      </w:r>
    </w:p>
    <w:p w14:paraId="6D7F7B90" w14:textId="77777777" w:rsidR="00132091" w:rsidRPr="0037142E" w:rsidRDefault="00132091" w:rsidP="005B34C4">
      <w:pPr>
        <w:pStyle w:val="ListParagraph"/>
        <w:numPr>
          <w:ilvl w:val="1"/>
          <w:numId w:val="40"/>
        </w:numPr>
        <w:jc w:val="both"/>
        <w:rPr>
          <w:rFonts w:cs="Arial"/>
          <w:sz w:val="22"/>
          <w:szCs w:val="22"/>
        </w:rPr>
      </w:pPr>
      <w:r w:rsidRPr="0037142E">
        <w:rPr>
          <w:rFonts w:cs="Arial"/>
          <w:bCs/>
          <w:i/>
          <w:iCs/>
          <w:sz w:val="22"/>
          <w:szCs w:val="22"/>
        </w:rPr>
        <w:t>Risk management (TMP1 and schedules),</w:t>
      </w:r>
      <w:r w:rsidRPr="0037142E">
        <w:rPr>
          <w:rFonts w:cs="Arial"/>
          <w:i/>
          <w:iCs/>
          <w:sz w:val="22"/>
          <w:szCs w:val="22"/>
        </w:rPr>
        <w:t xml:space="preserve"> including </w:t>
      </w:r>
      <w:r w:rsidRPr="0037142E">
        <w:rPr>
          <w:rFonts w:cs="Arial"/>
          <w:bCs/>
          <w:i/>
          <w:iCs/>
          <w:sz w:val="22"/>
          <w:szCs w:val="22"/>
        </w:rPr>
        <w:t>investment and risk management criteria for any material non-treasury investment portfolios;</w:t>
      </w:r>
    </w:p>
    <w:p w14:paraId="4EB427F1" w14:textId="77777777" w:rsidR="00132091" w:rsidRPr="0037142E" w:rsidRDefault="00132091" w:rsidP="00132091">
      <w:pPr>
        <w:ind w:left="1080"/>
        <w:jc w:val="both"/>
        <w:rPr>
          <w:rFonts w:cs="Arial"/>
          <w:sz w:val="22"/>
          <w:szCs w:val="22"/>
        </w:rPr>
      </w:pPr>
      <w:r w:rsidRPr="0037142E">
        <w:rPr>
          <w:rFonts w:cs="Arial"/>
          <w:bCs/>
          <w:i/>
          <w:iCs/>
          <w:sz w:val="22"/>
          <w:szCs w:val="22"/>
        </w:rPr>
        <w:t> </w:t>
      </w:r>
    </w:p>
    <w:p w14:paraId="706D204A" w14:textId="77777777" w:rsidR="00132091" w:rsidRPr="0037142E" w:rsidRDefault="00132091" w:rsidP="005B34C4">
      <w:pPr>
        <w:pStyle w:val="ListParagraph"/>
        <w:numPr>
          <w:ilvl w:val="1"/>
          <w:numId w:val="40"/>
        </w:numPr>
        <w:jc w:val="both"/>
        <w:rPr>
          <w:rFonts w:cs="Arial"/>
          <w:sz w:val="22"/>
          <w:szCs w:val="22"/>
        </w:rPr>
      </w:pPr>
      <w:r w:rsidRPr="0037142E">
        <w:rPr>
          <w:rFonts w:cs="Arial"/>
          <w:bCs/>
          <w:i/>
          <w:iCs/>
          <w:sz w:val="22"/>
          <w:szCs w:val="22"/>
        </w:rPr>
        <w:t xml:space="preserve">Performance measurement and management (TMP2 and schedules), including methodology and criteria for assessing the performance and success of non-treasury investments;         </w:t>
      </w:r>
    </w:p>
    <w:p w14:paraId="257CABA0" w14:textId="77777777" w:rsidR="00132091" w:rsidRPr="0037142E" w:rsidRDefault="00132091" w:rsidP="00132091">
      <w:pPr>
        <w:ind w:left="1080"/>
        <w:jc w:val="both"/>
        <w:rPr>
          <w:rFonts w:cs="Arial"/>
          <w:sz w:val="22"/>
          <w:szCs w:val="22"/>
        </w:rPr>
      </w:pPr>
      <w:r w:rsidRPr="0037142E">
        <w:rPr>
          <w:rFonts w:cs="Arial"/>
          <w:bCs/>
          <w:i/>
          <w:iCs/>
          <w:sz w:val="22"/>
          <w:szCs w:val="22"/>
        </w:rPr>
        <w:t> </w:t>
      </w:r>
    </w:p>
    <w:p w14:paraId="3AD0CC9A" w14:textId="77777777" w:rsidR="00132091" w:rsidRPr="0037142E" w:rsidRDefault="00132091" w:rsidP="005B34C4">
      <w:pPr>
        <w:pStyle w:val="ListParagraph"/>
        <w:numPr>
          <w:ilvl w:val="1"/>
          <w:numId w:val="40"/>
        </w:numPr>
        <w:jc w:val="both"/>
        <w:rPr>
          <w:rFonts w:cs="Arial"/>
          <w:sz w:val="22"/>
          <w:szCs w:val="22"/>
        </w:rPr>
      </w:pPr>
      <w:r w:rsidRPr="0037142E">
        <w:rPr>
          <w:rFonts w:cs="Arial"/>
          <w:bCs/>
          <w:i/>
          <w:iCs/>
          <w:sz w:val="22"/>
          <w:szCs w:val="22"/>
        </w:rPr>
        <w:t>Decision making, governance and organisation (TMP5 and schedules),</w:t>
      </w:r>
      <w:r w:rsidRPr="0037142E">
        <w:rPr>
          <w:rFonts w:cs="Arial"/>
          <w:i/>
          <w:iCs/>
          <w:sz w:val="22"/>
          <w:szCs w:val="22"/>
        </w:rPr>
        <w:t xml:space="preserve"> including a </w:t>
      </w:r>
      <w:r w:rsidRPr="0037142E">
        <w:rPr>
          <w:rFonts w:cs="Arial"/>
          <w:bCs/>
          <w:i/>
          <w:iCs/>
          <w:sz w:val="22"/>
          <w:szCs w:val="22"/>
        </w:rPr>
        <w:t>statement of the governance requirements for decision making in relation to non-treasury investments; and arrangements to ensure that appropriate professional due diligence is carried out to support decision making</w:t>
      </w:r>
      <w:r w:rsidRPr="0037142E">
        <w:rPr>
          <w:rFonts w:cs="Arial"/>
          <w:i/>
          <w:iCs/>
          <w:sz w:val="22"/>
          <w:szCs w:val="22"/>
        </w:rPr>
        <w:t>;</w:t>
      </w:r>
    </w:p>
    <w:p w14:paraId="7746019D" w14:textId="77777777" w:rsidR="00132091" w:rsidRPr="0037142E" w:rsidRDefault="00132091" w:rsidP="00132091">
      <w:pPr>
        <w:ind w:left="1080"/>
        <w:jc w:val="both"/>
        <w:rPr>
          <w:rFonts w:cs="Arial"/>
          <w:sz w:val="22"/>
          <w:szCs w:val="22"/>
        </w:rPr>
      </w:pPr>
      <w:r w:rsidRPr="0037142E">
        <w:rPr>
          <w:rFonts w:cs="Arial"/>
          <w:i/>
          <w:iCs/>
          <w:sz w:val="22"/>
          <w:szCs w:val="22"/>
        </w:rPr>
        <w:t> </w:t>
      </w:r>
    </w:p>
    <w:p w14:paraId="53B8E3C9" w14:textId="77777777" w:rsidR="00132091" w:rsidRPr="0037142E" w:rsidRDefault="00132091" w:rsidP="005B34C4">
      <w:pPr>
        <w:pStyle w:val="ListParagraph"/>
        <w:numPr>
          <w:ilvl w:val="1"/>
          <w:numId w:val="40"/>
        </w:numPr>
        <w:jc w:val="both"/>
        <w:rPr>
          <w:rFonts w:cs="Arial"/>
          <w:sz w:val="22"/>
          <w:szCs w:val="22"/>
        </w:rPr>
      </w:pPr>
      <w:r w:rsidRPr="0037142E">
        <w:rPr>
          <w:rFonts w:cs="Arial"/>
          <w:bCs/>
          <w:i/>
          <w:iCs/>
          <w:sz w:val="22"/>
          <w:szCs w:val="22"/>
        </w:rPr>
        <w:t xml:space="preserve">Reporting and management information (TMP6 and schedules), </w:t>
      </w:r>
      <w:r w:rsidRPr="0037142E">
        <w:rPr>
          <w:rFonts w:cs="Arial"/>
          <w:i/>
          <w:iCs/>
          <w:sz w:val="22"/>
          <w:szCs w:val="22"/>
        </w:rPr>
        <w:t xml:space="preserve">including </w:t>
      </w:r>
      <w:r w:rsidRPr="0037142E">
        <w:rPr>
          <w:rFonts w:cs="Arial"/>
          <w:bCs/>
          <w:i/>
          <w:iCs/>
          <w:sz w:val="22"/>
          <w:szCs w:val="22"/>
        </w:rPr>
        <w:t>where and how often monitoring reports are taken;</w:t>
      </w:r>
    </w:p>
    <w:p w14:paraId="77078AAE" w14:textId="77777777" w:rsidR="00132091" w:rsidRPr="0037142E" w:rsidRDefault="00132091" w:rsidP="00132091">
      <w:pPr>
        <w:ind w:left="1080"/>
        <w:jc w:val="both"/>
        <w:rPr>
          <w:rFonts w:cs="Arial"/>
          <w:sz w:val="22"/>
          <w:szCs w:val="22"/>
        </w:rPr>
      </w:pPr>
      <w:r w:rsidRPr="0037142E">
        <w:rPr>
          <w:rFonts w:cs="Arial"/>
          <w:bCs/>
          <w:sz w:val="22"/>
          <w:szCs w:val="22"/>
        </w:rPr>
        <w:t> </w:t>
      </w:r>
    </w:p>
    <w:p w14:paraId="77602E4B" w14:textId="77777777" w:rsidR="00132091" w:rsidRPr="0037142E" w:rsidRDefault="00132091" w:rsidP="005B34C4">
      <w:pPr>
        <w:pStyle w:val="ListParagraph"/>
        <w:numPr>
          <w:ilvl w:val="1"/>
          <w:numId w:val="40"/>
        </w:numPr>
        <w:jc w:val="both"/>
        <w:rPr>
          <w:rFonts w:cs="Arial"/>
          <w:sz w:val="22"/>
          <w:szCs w:val="22"/>
        </w:rPr>
      </w:pPr>
      <w:r w:rsidRPr="0037142E">
        <w:rPr>
          <w:rFonts w:cs="Arial"/>
          <w:bCs/>
          <w:i/>
          <w:iCs/>
          <w:sz w:val="22"/>
          <w:szCs w:val="22"/>
        </w:rPr>
        <w:t>Training and qualifications (TMP10 and schedules)</w:t>
      </w:r>
      <w:r w:rsidRPr="0037142E">
        <w:rPr>
          <w:rFonts w:cs="Arial"/>
          <w:i/>
          <w:iCs/>
          <w:sz w:val="22"/>
          <w:szCs w:val="22"/>
        </w:rPr>
        <w:t xml:space="preserve">, including </w:t>
      </w:r>
      <w:r w:rsidRPr="0037142E">
        <w:rPr>
          <w:rFonts w:cs="Arial"/>
          <w:bCs/>
          <w:i/>
          <w:iCs/>
          <w:sz w:val="22"/>
          <w:szCs w:val="22"/>
        </w:rPr>
        <w:t>how the relevant knowledge and skills in relation to non-treasury investments will be arranged</w:t>
      </w:r>
      <w:r w:rsidRPr="0037142E">
        <w:rPr>
          <w:rFonts w:cs="Arial"/>
          <w:i/>
          <w:iCs/>
          <w:sz w:val="22"/>
          <w:szCs w:val="22"/>
        </w:rPr>
        <w:t>.</w:t>
      </w:r>
    </w:p>
    <w:p w14:paraId="3FDCE177" w14:textId="77777777" w:rsidR="00132091" w:rsidRPr="0037142E" w:rsidRDefault="00132091" w:rsidP="00132091">
      <w:pPr>
        <w:autoSpaceDE w:val="0"/>
        <w:autoSpaceDN w:val="0"/>
        <w:adjustRightInd w:val="0"/>
        <w:spacing w:before="90" w:after="90"/>
        <w:jc w:val="both"/>
        <w:rPr>
          <w:rFonts w:cs="Arial"/>
          <w:b/>
          <w:noProof/>
          <w:color w:val="993366"/>
          <w:sz w:val="32"/>
          <w:szCs w:val="32"/>
        </w:rPr>
      </w:pPr>
    </w:p>
    <w:p w14:paraId="17C27391" w14:textId="77777777" w:rsidR="00132091" w:rsidRPr="00D26131" w:rsidRDefault="00132091">
      <w:pPr>
        <w:rPr>
          <w:rFonts w:cs="Arial"/>
          <w:b/>
          <w:color w:val="993366"/>
          <w:spacing w:val="0"/>
          <w:sz w:val="28"/>
          <w:szCs w:val="28"/>
          <w:highlight w:val="yellow"/>
          <w:lang w:val="en-US"/>
        </w:rPr>
      </w:pPr>
      <w:r w:rsidRPr="00D26131">
        <w:rPr>
          <w:rFonts w:cs="Arial"/>
          <w:b/>
          <w:color w:val="993366"/>
          <w:sz w:val="28"/>
          <w:szCs w:val="28"/>
          <w:highlight w:val="yellow"/>
        </w:rPr>
        <w:br w:type="page"/>
      </w:r>
    </w:p>
    <w:p w14:paraId="19D83348" w14:textId="2746BB10" w:rsidR="00E135FC" w:rsidRPr="00436920" w:rsidRDefault="008145FA" w:rsidP="00E135FC">
      <w:pPr>
        <w:pStyle w:val="BodyText"/>
        <w:rPr>
          <w:rFonts w:ascii="Arial" w:hAnsi="Arial" w:cs="Arial"/>
          <w:b/>
          <w:color w:val="993366"/>
          <w:sz w:val="28"/>
          <w:szCs w:val="28"/>
        </w:rPr>
      </w:pPr>
      <w:r w:rsidRPr="00436920">
        <w:rPr>
          <w:rFonts w:ascii="Arial" w:hAnsi="Arial" w:cs="Arial"/>
          <w:b/>
          <w:color w:val="993366"/>
          <w:sz w:val="28"/>
          <w:szCs w:val="28"/>
        </w:rPr>
        <w:t>ANNEX H</w:t>
      </w:r>
      <w:r w:rsidR="00F74FD3" w:rsidRPr="00436920">
        <w:rPr>
          <w:rFonts w:ascii="Arial" w:hAnsi="Arial" w:cs="Arial"/>
          <w:b/>
          <w:color w:val="993366"/>
          <w:sz w:val="28"/>
          <w:szCs w:val="28"/>
        </w:rPr>
        <w:t xml:space="preserve"> </w:t>
      </w:r>
    </w:p>
    <w:p w14:paraId="16340E13" w14:textId="77777777" w:rsidR="008145FA" w:rsidRPr="00D26131" w:rsidRDefault="008145FA" w:rsidP="00E135FC">
      <w:pPr>
        <w:rPr>
          <w:b/>
          <w:color w:val="993366"/>
          <w:sz w:val="28"/>
          <w:szCs w:val="28"/>
          <w:highlight w:val="yellow"/>
        </w:rPr>
      </w:pPr>
    </w:p>
    <w:p w14:paraId="660CBC3A" w14:textId="20F3C926" w:rsidR="00E135FC" w:rsidRPr="0037142E" w:rsidRDefault="00E135FC" w:rsidP="00E135FC">
      <w:pPr>
        <w:rPr>
          <w:b/>
          <w:color w:val="993366"/>
          <w:sz w:val="28"/>
          <w:szCs w:val="28"/>
        </w:rPr>
      </w:pPr>
      <w:r w:rsidRPr="0037142E">
        <w:rPr>
          <w:b/>
          <w:color w:val="993366"/>
          <w:sz w:val="28"/>
          <w:szCs w:val="28"/>
        </w:rPr>
        <w:t>Long Term (30 Y</w:t>
      </w:r>
      <w:r w:rsidR="00007E05">
        <w:rPr>
          <w:b/>
          <w:color w:val="993366"/>
          <w:sz w:val="28"/>
          <w:szCs w:val="28"/>
        </w:rPr>
        <w:t>ear</w:t>
      </w:r>
      <w:r w:rsidRPr="0037142E">
        <w:rPr>
          <w:b/>
          <w:color w:val="993366"/>
          <w:sz w:val="28"/>
          <w:szCs w:val="28"/>
        </w:rPr>
        <w:t>) Loans Charges Analysis</w:t>
      </w:r>
    </w:p>
    <w:p w14:paraId="119DE84C" w14:textId="77777777" w:rsidR="00E135FC" w:rsidRPr="00D26131" w:rsidRDefault="00E135FC" w:rsidP="00E135FC">
      <w:pPr>
        <w:ind w:left="630"/>
        <w:jc w:val="right"/>
        <w:rPr>
          <w:b/>
          <w:highlight w:val="yellow"/>
        </w:rPr>
      </w:pPr>
    </w:p>
    <w:p w14:paraId="71E55C4F" w14:textId="3B4B370B" w:rsidR="00E135FC" w:rsidRPr="008D6E57" w:rsidRDefault="00E135FC" w:rsidP="00E135FC">
      <w:pPr>
        <w:pStyle w:val="BodyText"/>
        <w:rPr>
          <w:rFonts w:ascii="Arial" w:hAnsi="Arial" w:cs="Arial"/>
          <w:sz w:val="22"/>
          <w:szCs w:val="22"/>
        </w:rPr>
      </w:pPr>
      <w:r w:rsidRPr="008D6E57">
        <w:rPr>
          <w:rFonts w:ascii="Arial" w:hAnsi="Arial" w:cs="Arial"/>
          <w:sz w:val="22"/>
          <w:szCs w:val="22"/>
        </w:rPr>
        <w:t xml:space="preserve">Current capital and revenue plans have been extrapolated over a </w:t>
      </w:r>
      <w:proofErr w:type="gramStart"/>
      <w:r w:rsidRPr="008D6E57">
        <w:rPr>
          <w:rFonts w:ascii="Arial" w:hAnsi="Arial" w:cs="Arial"/>
          <w:sz w:val="22"/>
          <w:szCs w:val="22"/>
        </w:rPr>
        <w:t>30 year</w:t>
      </w:r>
      <w:proofErr w:type="gramEnd"/>
      <w:r w:rsidRPr="008D6E57">
        <w:rPr>
          <w:rFonts w:ascii="Arial" w:hAnsi="Arial" w:cs="Arial"/>
          <w:sz w:val="22"/>
          <w:szCs w:val="22"/>
        </w:rPr>
        <w:t xml:space="preserve"> period in order to assess the impact on the revenue Loans Charges budget.  In line with assumptions made when assessing external debt and associated </w:t>
      </w:r>
      <w:r w:rsidRPr="00CD1463">
        <w:rPr>
          <w:rFonts w:ascii="Arial" w:hAnsi="Arial" w:cs="Arial"/>
          <w:sz w:val="22"/>
          <w:szCs w:val="22"/>
        </w:rPr>
        <w:t>li</w:t>
      </w:r>
      <w:r w:rsidR="002B5946" w:rsidRPr="00CD1463">
        <w:rPr>
          <w:rFonts w:ascii="Arial" w:hAnsi="Arial" w:cs="Arial"/>
          <w:sz w:val="22"/>
          <w:szCs w:val="22"/>
        </w:rPr>
        <w:t>mits</w:t>
      </w:r>
      <w:r w:rsidRPr="00CD1463">
        <w:rPr>
          <w:rFonts w:ascii="Arial" w:hAnsi="Arial" w:cs="Arial"/>
          <w:sz w:val="22"/>
          <w:szCs w:val="22"/>
        </w:rPr>
        <w:t>, long</w:t>
      </w:r>
      <w:r w:rsidRPr="00E10901">
        <w:rPr>
          <w:rFonts w:ascii="Arial" w:hAnsi="Arial" w:cs="Arial"/>
          <w:sz w:val="22"/>
          <w:szCs w:val="22"/>
        </w:rPr>
        <w:t xml:space="preserve"> term capital planning will </w:t>
      </w:r>
      <w:r w:rsidR="00622277">
        <w:rPr>
          <w:rFonts w:ascii="Arial" w:hAnsi="Arial" w:cs="Arial"/>
          <w:sz w:val="22"/>
          <w:szCs w:val="22"/>
        </w:rPr>
        <w:t xml:space="preserve">create an increasing charge </w:t>
      </w:r>
      <w:r w:rsidR="00E10901" w:rsidRPr="00E10901">
        <w:rPr>
          <w:rFonts w:ascii="Arial" w:hAnsi="Arial" w:cs="Arial"/>
          <w:sz w:val="22"/>
          <w:szCs w:val="22"/>
        </w:rPr>
        <w:t>which will require to be addressed through the revenue financial planning process</w:t>
      </w:r>
      <w:r w:rsidRPr="00E10901">
        <w:rPr>
          <w:rFonts w:ascii="Arial" w:hAnsi="Arial" w:cs="Arial"/>
          <w:sz w:val="22"/>
          <w:szCs w:val="22"/>
        </w:rPr>
        <w:t>.  Movements in notional loans charges associated with internal borrowing also impact on these figures.</w:t>
      </w:r>
    </w:p>
    <w:p w14:paraId="07134574" w14:textId="77777777" w:rsidR="00E135FC" w:rsidRPr="00D26131" w:rsidRDefault="00E135FC" w:rsidP="00E135FC">
      <w:pPr>
        <w:pStyle w:val="BodyText"/>
        <w:rPr>
          <w:rFonts w:ascii="Arial" w:hAnsi="Arial" w:cs="Arial"/>
          <w:sz w:val="22"/>
          <w:szCs w:val="22"/>
          <w:highlight w:val="yellow"/>
        </w:rPr>
      </w:pPr>
    </w:p>
    <w:p w14:paraId="095C2545" w14:textId="7E012AA7" w:rsidR="0095039C" w:rsidRDefault="00E135FC" w:rsidP="00E135FC">
      <w:pPr>
        <w:pStyle w:val="BodyText"/>
        <w:rPr>
          <w:rFonts w:ascii="Arial" w:hAnsi="Arial" w:cs="Arial"/>
          <w:sz w:val="22"/>
          <w:szCs w:val="22"/>
        </w:rPr>
      </w:pPr>
      <w:r w:rsidRPr="00E10901">
        <w:rPr>
          <w:rFonts w:ascii="Arial" w:hAnsi="Arial" w:cs="Arial"/>
          <w:sz w:val="22"/>
          <w:szCs w:val="22"/>
        </w:rPr>
        <w:t>It should be noted that from 20</w:t>
      </w:r>
      <w:r w:rsidR="00FB4DFE" w:rsidRPr="00E10901">
        <w:rPr>
          <w:rFonts w:ascii="Arial" w:hAnsi="Arial" w:cs="Arial"/>
          <w:sz w:val="22"/>
          <w:szCs w:val="22"/>
        </w:rPr>
        <w:t>3</w:t>
      </w:r>
      <w:r w:rsidR="00E10901" w:rsidRPr="00E10901">
        <w:rPr>
          <w:rFonts w:ascii="Arial" w:hAnsi="Arial" w:cs="Arial"/>
          <w:sz w:val="22"/>
          <w:szCs w:val="22"/>
        </w:rPr>
        <w:t>3</w:t>
      </w:r>
      <w:r w:rsidRPr="00E10901">
        <w:rPr>
          <w:rFonts w:ascii="Arial" w:hAnsi="Arial" w:cs="Arial"/>
          <w:sz w:val="22"/>
          <w:szCs w:val="22"/>
        </w:rPr>
        <w:t>-</w:t>
      </w:r>
      <w:r w:rsidR="000643CD" w:rsidRPr="00E10901">
        <w:rPr>
          <w:rFonts w:ascii="Arial" w:hAnsi="Arial" w:cs="Arial"/>
          <w:sz w:val="22"/>
          <w:szCs w:val="22"/>
        </w:rPr>
        <w:t>3</w:t>
      </w:r>
      <w:r w:rsidR="00E10901" w:rsidRPr="00E10901">
        <w:rPr>
          <w:rFonts w:ascii="Arial" w:hAnsi="Arial" w:cs="Arial"/>
          <w:sz w:val="22"/>
          <w:szCs w:val="22"/>
        </w:rPr>
        <w:t>4</w:t>
      </w:r>
      <w:r w:rsidRPr="00E10901">
        <w:rPr>
          <w:rFonts w:ascii="Arial" w:hAnsi="Arial" w:cs="Arial"/>
          <w:sz w:val="22"/>
          <w:szCs w:val="22"/>
        </w:rPr>
        <w:t xml:space="preserve">, the first year </w:t>
      </w:r>
      <w:proofErr w:type="spellStart"/>
      <w:r w:rsidR="00981220" w:rsidRPr="00E10901">
        <w:rPr>
          <w:rFonts w:ascii="Arial" w:hAnsi="Arial" w:cs="Arial"/>
          <w:sz w:val="22"/>
          <w:szCs w:val="22"/>
        </w:rPr>
        <w:t>outwith</w:t>
      </w:r>
      <w:proofErr w:type="spellEnd"/>
      <w:r w:rsidRPr="00E10901">
        <w:rPr>
          <w:rFonts w:ascii="Arial" w:hAnsi="Arial" w:cs="Arial"/>
          <w:sz w:val="22"/>
          <w:szCs w:val="22"/>
        </w:rPr>
        <w:t xml:space="preserve"> the curren</w:t>
      </w:r>
      <w:r w:rsidR="00283776" w:rsidRPr="00E10901">
        <w:rPr>
          <w:rFonts w:ascii="Arial" w:hAnsi="Arial" w:cs="Arial"/>
          <w:sz w:val="22"/>
          <w:szCs w:val="22"/>
        </w:rPr>
        <w:t xml:space="preserve">t </w:t>
      </w:r>
      <w:proofErr w:type="gramStart"/>
      <w:r w:rsidR="00283776" w:rsidRPr="00E10901">
        <w:rPr>
          <w:rFonts w:ascii="Arial" w:hAnsi="Arial" w:cs="Arial"/>
          <w:sz w:val="22"/>
          <w:szCs w:val="22"/>
        </w:rPr>
        <w:t>10 year</w:t>
      </w:r>
      <w:proofErr w:type="gramEnd"/>
      <w:r w:rsidR="00283776" w:rsidRPr="00E10901">
        <w:rPr>
          <w:rFonts w:ascii="Arial" w:hAnsi="Arial" w:cs="Arial"/>
          <w:sz w:val="22"/>
          <w:szCs w:val="22"/>
        </w:rPr>
        <w:t xml:space="preserve"> Capital Plan, a</w:t>
      </w:r>
      <w:r w:rsidRPr="00E10901">
        <w:rPr>
          <w:rFonts w:ascii="Arial" w:hAnsi="Arial" w:cs="Arial"/>
          <w:sz w:val="22"/>
          <w:szCs w:val="22"/>
        </w:rPr>
        <w:t xml:space="preserve"> </w:t>
      </w:r>
      <w:r w:rsidR="003C5F01" w:rsidRPr="00E10901">
        <w:rPr>
          <w:rFonts w:ascii="Arial" w:hAnsi="Arial" w:cs="Arial"/>
          <w:sz w:val="22"/>
          <w:szCs w:val="22"/>
        </w:rPr>
        <w:t>10</w:t>
      </w:r>
      <w:r w:rsidRPr="00E10901">
        <w:rPr>
          <w:rFonts w:ascii="Arial" w:hAnsi="Arial" w:cs="Arial"/>
          <w:sz w:val="22"/>
          <w:szCs w:val="22"/>
        </w:rPr>
        <w:t xml:space="preserve"> year average capital expenditure</w:t>
      </w:r>
      <w:r w:rsidR="00582F94" w:rsidRPr="00E10901">
        <w:rPr>
          <w:rFonts w:ascii="Arial" w:hAnsi="Arial" w:cs="Arial"/>
          <w:sz w:val="22"/>
          <w:szCs w:val="22"/>
        </w:rPr>
        <w:t>,</w:t>
      </w:r>
      <w:r w:rsidRPr="00E10901">
        <w:rPr>
          <w:rFonts w:ascii="Arial" w:hAnsi="Arial" w:cs="Arial"/>
          <w:sz w:val="22"/>
          <w:szCs w:val="22"/>
        </w:rPr>
        <w:t xml:space="preserve"> and </w:t>
      </w:r>
      <w:r w:rsidR="00582F94" w:rsidRPr="00E10901">
        <w:rPr>
          <w:rFonts w:ascii="Arial" w:hAnsi="Arial" w:cs="Arial"/>
          <w:sz w:val="22"/>
          <w:szCs w:val="22"/>
        </w:rPr>
        <w:t xml:space="preserve">annual </w:t>
      </w:r>
      <w:r w:rsidRPr="00E10901">
        <w:rPr>
          <w:rFonts w:ascii="Arial" w:hAnsi="Arial" w:cs="Arial"/>
          <w:sz w:val="22"/>
          <w:szCs w:val="22"/>
        </w:rPr>
        <w:t xml:space="preserve">borrowing requirement </w:t>
      </w:r>
      <w:r w:rsidR="00582F94" w:rsidRPr="00E10901">
        <w:rPr>
          <w:rFonts w:ascii="Arial" w:hAnsi="Arial" w:cs="Arial"/>
          <w:sz w:val="22"/>
          <w:szCs w:val="22"/>
        </w:rPr>
        <w:t xml:space="preserve">of £10.5m, </w:t>
      </w:r>
      <w:r w:rsidRPr="00E10901">
        <w:rPr>
          <w:rFonts w:ascii="Arial" w:hAnsi="Arial" w:cs="Arial"/>
          <w:sz w:val="22"/>
          <w:szCs w:val="22"/>
        </w:rPr>
        <w:t>has been assumed</w:t>
      </w:r>
      <w:r w:rsidR="00007E05">
        <w:rPr>
          <w:rFonts w:ascii="Arial" w:hAnsi="Arial" w:cs="Arial"/>
          <w:sz w:val="22"/>
          <w:szCs w:val="22"/>
        </w:rPr>
        <w:t xml:space="preserve"> and the gross budget remains at the 2033-34 amount.</w:t>
      </w:r>
    </w:p>
    <w:p w14:paraId="05F3690D" w14:textId="77777777" w:rsidR="00007E05" w:rsidRDefault="00007E05" w:rsidP="00E135FC">
      <w:pPr>
        <w:pStyle w:val="BodyText"/>
        <w:rPr>
          <w:rFonts w:ascii="Arial" w:hAnsi="Arial" w:cs="Arial"/>
          <w:sz w:val="22"/>
          <w:szCs w:val="22"/>
        </w:rPr>
      </w:pPr>
    </w:p>
    <w:p w14:paraId="52BBC010" w14:textId="77777777" w:rsidR="00007E05" w:rsidRPr="00E10901" w:rsidRDefault="00007E05" w:rsidP="00E135FC">
      <w:pPr>
        <w:pStyle w:val="BodyText"/>
        <w:rPr>
          <w:rFonts w:ascii="Arial" w:hAnsi="Arial" w:cs="Arial"/>
          <w:sz w:val="22"/>
          <w:szCs w:val="22"/>
        </w:rPr>
      </w:pPr>
    </w:p>
    <w:p w14:paraId="2F0E8F66" w14:textId="033FBB04" w:rsidR="00E135FC" w:rsidRPr="00D26131" w:rsidRDefault="00007E05" w:rsidP="00E135FC">
      <w:pPr>
        <w:pStyle w:val="BodyText"/>
        <w:rPr>
          <w:rFonts w:ascii="Arial" w:hAnsi="Arial" w:cs="Arial"/>
          <w:sz w:val="22"/>
          <w:szCs w:val="22"/>
          <w:highlight w:val="yellow"/>
        </w:rPr>
      </w:pPr>
      <w:r>
        <w:rPr>
          <w:noProof/>
        </w:rPr>
        <w:drawing>
          <wp:inline distT="0" distB="0" distL="0" distR="0" wp14:anchorId="3EF6496B" wp14:editId="19619CF4">
            <wp:extent cx="6108700" cy="3460750"/>
            <wp:effectExtent l="0" t="0" r="6350" b="635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012E5" w14:textId="055C062D" w:rsidR="00A33CC4" w:rsidRPr="00D26131" w:rsidRDefault="00A33CC4" w:rsidP="00E135FC">
      <w:pPr>
        <w:pStyle w:val="BodyText"/>
        <w:rPr>
          <w:rFonts w:ascii="Arial" w:hAnsi="Arial" w:cs="Arial"/>
          <w:sz w:val="22"/>
          <w:szCs w:val="22"/>
          <w:highlight w:val="yellow"/>
        </w:rPr>
      </w:pPr>
    </w:p>
    <w:p w14:paraId="0401C90A" w14:textId="6DC8E0C2" w:rsidR="00EC46FA" w:rsidRPr="00D26131" w:rsidRDefault="00EC46FA">
      <w:pPr>
        <w:rPr>
          <w:rFonts w:cs="Arial"/>
          <w:b/>
          <w:color w:val="993366"/>
          <w:spacing w:val="0"/>
          <w:sz w:val="28"/>
          <w:szCs w:val="28"/>
          <w:lang w:val="en-US"/>
        </w:rPr>
      </w:pPr>
      <w:r w:rsidRPr="00D26131">
        <w:rPr>
          <w:rFonts w:cs="Arial"/>
          <w:b/>
          <w:color w:val="993366"/>
          <w:sz w:val="28"/>
          <w:szCs w:val="28"/>
          <w:highlight w:val="yellow"/>
        </w:rPr>
        <w:br w:type="page"/>
      </w:r>
    </w:p>
    <w:p w14:paraId="45D3AAE5" w14:textId="697D6F60" w:rsidR="00062BC5" w:rsidRPr="00E51B6F" w:rsidRDefault="008145FA" w:rsidP="00F4519B">
      <w:pPr>
        <w:pStyle w:val="BodyText"/>
        <w:rPr>
          <w:rFonts w:ascii="Arial" w:hAnsi="Arial" w:cs="Arial"/>
          <w:b/>
          <w:color w:val="993366"/>
          <w:sz w:val="28"/>
          <w:szCs w:val="28"/>
        </w:rPr>
      </w:pPr>
      <w:r w:rsidRPr="00E51B6F">
        <w:rPr>
          <w:rFonts w:ascii="Arial" w:hAnsi="Arial" w:cs="Arial"/>
          <w:b/>
          <w:color w:val="993366"/>
          <w:sz w:val="28"/>
          <w:szCs w:val="28"/>
        </w:rPr>
        <w:t>ANNEX I</w:t>
      </w:r>
      <w:r w:rsidR="00F4519B" w:rsidRPr="00E51B6F">
        <w:rPr>
          <w:rFonts w:ascii="Arial" w:hAnsi="Arial" w:cs="Arial"/>
          <w:b/>
          <w:color w:val="993366"/>
          <w:sz w:val="28"/>
          <w:szCs w:val="28"/>
        </w:rPr>
        <w:t>: CREDIT RATINGS</w:t>
      </w:r>
    </w:p>
    <w:p w14:paraId="644FF1D3" w14:textId="77777777" w:rsidR="00062BC5" w:rsidRPr="00D26131" w:rsidRDefault="00062BC5" w:rsidP="005A2A46">
      <w:pPr>
        <w:ind w:left="630"/>
        <w:jc w:val="right"/>
        <w:rPr>
          <w:b/>
        </w:rPr>
      </w:pPr>
    </w:p>
    <w:p w14:paraId="69FD154D" w14:textId="77777777" w:rsidR="00FD5AF2" w:rsidRPr="00D26131" w:rsidRDefault="00FD5AF2" w:rsidP="00FD5AF2">
      <w:pPr>
        <w:rPr>
          <w:b/>
        </w:rPr>
      </w:pPr>
      <w:proofErr w:type="gramStart"/>
      <w:r w:rsidRPr="00D26131">
        <w:rPr>
          <w:b/>
          <w:color w:val="993366"/>
          <w:sz w:val="28"/>
          <w:szCs w:val="28"/>
        </w:rPr>
        <w:t>Long and Short Term</w:t>
      </w:r>
      <w:proofErr w:type="gramEnd"/>
      <w:r w:rsidRPr="00D26131">
        <w:rPr>
          <w:b/>
          <w:color w:val="993366"/>
          <w:sz w:val="28"/>
          <w:szCs w:val="28"/>
        </w:rPr>
        <w:t xml:space="preserve"> Credit Ratings</w:t>
      </w:r>
    </w:p>
    <w:p w14:paraId="2D270929" w14:textId="77777777" w:rsidR="00062BC5" w:rsidRPr="00D26131" w:rsidRDefault="00062BC5" w:rsidP="005A2A46">
      <w:pPr>
        <w:ind w:left="630"/>
        <w:jc w:val="right"/>
        <w:rPr>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9"/>
        <w:gridCol w:w="1119"/>
        <w:gridCol w:w="1414"/>
        <w:gridCol w:w="1106"/>
        <w:gridCol w:w="1427"/>
        <w:gridCol w:w="1093"/>
        <w:gridCol w:w="1440"/>
      </w:tblGrid>
      <w:tr w:rsidR="00062BC5" w:rsidRPr="00D26131" w14:paraId="4E8F5224" w14:textId="77777777" w:rsidTr="003B1AB3">
        <w:trPr>
          <w:trHeight w:val="425"/>
        </w:trPr>
        <w:tc>
          <w:tcPr>
            <w:tcW w:w="2589" w:type="dxa"/>
            <w:vMerge w:val="restart"/>
            <w:vAlign w:val="center"/>
          </w:tcPr>
          <w:p w14:paraId="4D9729BC" w14:textId="77777777" w:rsidR="00062BC5" w:rsidRPr="00D26131" w:rsidRDefault="00062BC5" w:rsidP="00EA1B2A">
            <w:pPr>
              <w:rPr>
                <w:b/>
                <w:i/>
              </w:rPr>
            </w:pPr>
            <w:r w:rsidRPr="00D26131">
              <w:rPr>
                <w:b/>
                <w:i/>
              </w:rPr>
              <w:t>Audit Commission Grading#</w:t>
            </w:r>
          </w:p>
        </w:tc>
        <w:tc>
          <w:tcPr>
            <w:tcW w:w="2533" w:type="dxa"/>
            <w:gridSpan w:val="2"/>
            <w:vAlign w:val="center"/>
          </w:tcPr>
          <w:p w14:paraId="3B28E1D8" w14:textId="77777777" w:rsidR="00062BC5" w:rsidRPr="00D26131" w:rsidRDefault="00062BC5" w:rsidP="003B1AB3">
            <w:pPr>
              <w:jc w:val="center"/>
              <w:rPr>
                <w:b/>
              </w:rPr>
            </w:pPr>
            <w:r w:rsidRPr="00D26131">
              <w:rPr>
                <w:b/>
              </w:rPr>
              <w:t>Fitch</w:t>
            </w:r>
          </w:p>
        </w:tc>
        <w:tc>
          <w:tcPr>
            <w:tcW w:w="2533" w:type="dxa"/>
            <w:gridSpan w:val="2"/>
            <w:vAlign w:val="center"/>
          </w:tcPr>
          <w:p w14:paraId="2A6CFF6D" w14:textId="77777777" w:rsidR="00062BC5" w:rsidRPr="00D26131" w:rsidRDefault="00062BC5" w:rsidP="003B1AB3">
            <w:pPr>
              <w:jc w:val="center"/>
              <w:rPr>
                <w:b/>
              </w:rPr>
            </w:pPr>
            <w:r w:rsidRPr="00D26131">
              <w:rPr>
                <w:b/>
              </w:rPr>
              <w:t>Moody’s</w:t>
            </w:r>
          </w:p>
        </w:tc>
        <w:tc>
          <w:tcPr>
            <w:tcW w:w="2533" w:type="dxa"/>
            <w:gridSpan w:val="2"/>
            <w:vAlign w:val="center"/>
          </w:tcPr>
          <w:p w14:paraId="328FB7EA" w14:textId="77777777" w:rsidR="00062BC5" w:rsidRPr="00D26131" w:rsidRDefault="00062BC5" w:rsidP="003B1AB3">
            <w:pPr>
              <w:jc w:val="center"/>
              <w:rPr>
                <w:b/>
              </w:rPr>
            </w:pPr>
            <w:r w:rsidRPr="00D26131">
              <w:rPr>
                <w:b/>
              </w:rPr>
              <w:t>Standard and Poor’s</w:t>
            </w:r>
          </w:p>
        </w:tc>
      </w:tr>
      <w:tr w:rsidR="00062BC5" w:rsidRPr="00D26131" w14:paraId="0CF65AE2" w14:textId="77777777" w:rsidTr="003B1AB3">
        <w:trPr>
          <w:trHeight w:val="425"/>
        </w:trPr>
        <w:tc>
          <w:tcPr>
            <w:tcW w:w="2589" w:type="dxa"/>
            <w:vMerge/>
            <w:tcBorders>
              <w:bottom w:val="single" w:sz="2" w:space="0" w:color="auto"/>
            </w:tcBorders>
            <w:vAlign w:val="center"/>
          </w:tcPr>
          <w:p w14:paraId="6B4F0984" w14:textId="77777777" w:rsidR="00062BC5" w:rsidRPr="00D26131" w:rsidRDefault="00062BC5" w:rsidP="00EA1B2A"/>
        </w:tc>
        <w:tc>
          <w:tcPr>
            <w:tcW w:w="1119" w:type="dxa"/>
            <w:tcBorders>
              <w:bottom w:val="single" w:sz="2" w:space="0" w:color="auto"/>
            </w:tcBorders>
            <w:vAlign w:val="center"/>
          </w:tcPr>
          <w:p w14:paraId="522CF002" w14:textId="77777777" w:rsidR="00062BC5" w:rsidRPr="00D26131" w:rsidRDefault="00062BC5" w:rsidP="003B1AB3">
            <w:pPr>
              <w:ind w:left="111"/>
              <w:rPr>
                <w:b/>
              </w:rPr>
            </w:pPr>
            <w:r w:rsidRPr="00D26131">
              <w:rPr>
                <w:b/>
              </w:rPr>
              <w:t>Long Term</w:t>
            </w:r>
          </w:p>
        </w:tc>
        <w:tc>
          <w:tcPr>
            <w:tcW w:w="1414" w:type="dxa"/>
            <w:tcBorders>
              <w:bottom w:val="single" w:sz="2" w:space="0" w:color="auto"/>
            </w:tcBorders>
            <w:vAlign w:val="center"/>
          </w:tcPr>
          <w:p w14:paraId="21005BAA" w14:textId="77777777" w:rsidR="00062BC5" w:rsidRPr="00D26131" w:rsidRDefault="00062BC5" w:rsidP="003B1AB3">
            <w:pPr>
              <w:ind w:left="111"/>
              <w:rPr>
                <w:b/>
              </w:rPr>
            </w:pPr>
            <w:r w:rsidRPr="00D26131">
              <w:rPr>
                <w:b/>
              </w:rPr>
              <w:t>Short Term</w:t>
            </w:r>
          </w:p>
        </w:tc>
        <w:tc>
          <w:tcPr>
            <w:tcW w:w="1106" w:type="dxa"/>
            <w:tcBorders>
              <w:bottom w:val="single" w:sz="2" w:space="0" w:color="auto"/>
            </w:tcBorders>
            <w:vAlign w:val="center"/>
          </w:tcPr>
          <w:p w14:paraId="25C9418E" w14:textId="77777777" w:rsidR="00062BC5" w:rsidRPr="00D26131" w:rsidRDefault="00062BC5" w:rsidP="003B1AB3">
            <w:pPr>
              <w:ind w:left="111"/>
              <w:rPr>
                <w:b/>
              </w:rPr>
            </w:pPr>
            <w:r w:rsidRPr="00D26131">
              <w:rPr>
                <w:b/>
              </w:rPr>
              <w:t>Long Term</w:t>
            </w:r>
          </w:p>
        </w:tc>
        <w:tc>
          <w:tcPr>
            <w:tcW w:w="1427" w:type="dxa"/>
            <w:tcBorders>
              <w:bottom w:val="single" w:sz="2" w:space="0" w:color="auto"/>
            </w:tcBorders>
            <w:vAlign w:val="center"/>
          </w:tcPr>
          <w:p w14:paraId="34E4B24A" w14:textId="77777777" w:rsidR="00062BC5" w:rsidRPr="00D26131" w:rsidRDefault="00062BC5" w:rsidP="003B1AB3">
            <w:pPr>
              <w:ind w:left="111"/>
              <w:rPr>
                <w:b/>
              </w:rPr>
            </w:pPr>
            <w:r w:rsidRPr="00D26131">
              <w:rPr>
                <w:b/>
              </w:rPr>
              <w:t>Short Term</w:t>
            </w:r>
          </w:p>
        </w:tc>
        <w:tc>
          <w:tcPr>
            <w:tcW w:w="1093" w:type="dxa"/>
            <w:tcBorders>
              <w:bottom w:val="single" w:sz="2" w:space="0" w:color="auto"/>
            </w:tcBorders>
            <w:vAlign w:val="center"/>
          </w:tcPr>
          <w:p w14:paraId="44988238" w14:textId="77777777" w:rsidR="00062BC5" w:rsidRPr="00D26131" w:rsidRDefault="00062BC5" w:rsidP="003B1AB3">
            <w:pPr>
              <w:ind w:left="111"/>
              <w:rPr>
                <w:b/>
              </w:rPr>
            </w:pPr>
            <w:r w:rsidRPr="00D26131">
              <w:rPr>
                <w:b/>
              </w:rPr>
              <w:t>Long Term</w:t>
            </w:r>
          </w:p>
        </w:tc>
        <w:tc>
          <w:tcPr>
            <w:tcW w:w="1440" w:type="dxa"/>
            <w:tcBorders>
              <w:bottom w:val="single" w:sz="2" w:space="0" w:color="auto"/>
            </w:tcBorders>
            <w:vAlign w:val="center"/>
          </w:tcPr>
          <w:p w14:paraId="29C8872C" w14:textId="77777777" w:rsidR="00062BC5" w:rsidRPr="00D26131" w:rsidRDefault="00062BC5" w:rsidP="003B1AB3">
            <w:pPr>
              <w:ind w:left="111"/>
              <w:rPr>
                <w:b/>
              </w:rPr>
            </w:pPr>
            <w:r w:rsidRPr="00D26131">
              <w:rPr>
                <w:b/>
              </w:rPr>
              <w:t>Short Term</w:t>
            </w:r>
          </w:p>
        </w:tc>
      </w:tr>
      <w:tr w:rsidR="00062BC5" w:rsidRPr="00D26131" w14:paraId="52A01499" w14:textId="77777777" w:rsidTr="003B1AB3">
        <w:trPr>
          <w:trHeight w:val="425"/>
        </w:trPr>
        <w:tc>
          <w:tcPr>
            <w:tcW w:w="2589" w:type="dxa"/>
            <w:tcBorders>
              <w:top w:val="single" w:sz="2" w:space="0" w:color="auto"/>
              <w:left w:val="single" w:sz="2" w:space="0" w:color="auto"/>
              <w:bottom w:val="single" w:sz="2" w:space="0" w:color="auto"/>
              <w:right w:val="single" w:sz="2" w:space="0" w:color="auto"/>
            </w:tcBorders>
            <w:vAlign w:val="center"/>
          </w:tcPr>
          <w:p w14:paraId="620956E8" w14:textId="77777777" w:rsidR="00062BC5" w:rsidRPr="00D26131" w:rsidRDefault="00062BC5" w:rsidP="00EA1B2A">
            <w:r w:rsidRPr="00D26131">
              <w:t>Extremely strong grade</w:t>
            </w:r>
          </w:p>
        </w:tc>
        <w:tc>
          <w:tcPr>
            <w:tcW w:w="1119" w:type="dxa"/>
            <w:tcBorders>
              <w:top w:val="single" w:sz="2" w:space="0" w:color="auto"/>
              <w:left w:val="single" w:sz="2" w:space="0" w:color="auto"/>
              <w:bottom w:val="single" w:sz="2" w:space="0" w:color="auto"/>
              <w:right w:val="single" w:sz="2" w:space="0" w:color="auto"/>
            </w:tcBorders>
            <w:vAlign w:val="center"/>
          </w:tcPr>
          <w:p w14:paraId="1B57F513" w14:textId="77777777" w:rsidR="00062BC5" w:rsidRPr="00D26131" w:rsidRDefault="00062BC5" w:rsidP="003B1AB3">
            <w:pPr>
              <w:ind w:left="83"/>
            </w:pPr>
            <w:r w:rsidRPr="00D26131">
              <w:t>AAA</w:t>
            </w:r>
          </w:p>
        </w:tc>
        <w:tc>
          <w:tcPr>
            <w:tcW w:w="1414" w:type="dxa"/>
            <w:tcBorders>
              <w:top w:val="single" w:sz="2" w:space="0" w:color="auto"/>
              <w:left w:val="single" w:sz="2" w:space="0" w:color="auto"/>
              <w:bottom w:val="single" w:sz="2" w:space="0" w:color="auto"/>
              <w:right w:val="single" w:sz="2" w:space="0" w:color="auto"/>
            </w:tcBorders>
            <w:vAlign w:val="center"/>
          </w:tcPr>
          <w:p w14:paraId="186197DF" w14:textId="77777777" w:rsidR="00062BC5" w:rsidRPr="00D26131" w:rsidRDefault="00062BC5" w:rsidP="003B1AB3">
            <w:pPr>
              <w:ind w:left="83"/>
            </w:pPr>
            <w:r w:rsidRPr="00D26131">
              <w:t>F1+</w:t>
            </w:r>
          </w:p>
        </w:tc>
        <w:tc>
          <w:tcPr>
            <w:tcW w:w="1106" w:type="dxa"/>
            <w:tcBorders>
              <w:top w:val="single" w:sz="2" w:space="0" w:color="auto"/>
              <w:left w:val="single" w:sz="2" w:space="0" w:color="auto"/>
              <w:bottom w:val="single" w:sz="2" w:space="0" w:color="auto"/>
              <w:right w:val="single" w:sz="2" w:space="0" w:color="auto"/>
            </w:tcBorders>
            <w:vAlign w:val="center"/>
          </w:tcPr>
          <w:p w14:paraId="730C01CD" w14:textId="77777777" w:rsidR="00062BC5" w:rsidRPr="00D26131" w:rsidRDefault="00062BC5" w:rsidP="003B1AB3">
            <w:pPr>
              <w:ind w:left="83"/>
            </w:pPr>
            <w:proofErr w:type="spellStart"/>
            <w:r w:rsidRPr="00D26131">
              <w:t>Aaa</w:t>
            </w:r>
            <w:proofErr w:type="spellEnd"/>
          </w:p>
        </w:tc>
        <w:tc>
          <w:tcPr>
            <w:tcW w:w="1427" w:type="dxa"/>
            <w:tcBorders>
              <w:top w:val="single" w:sz="2" w:space="0" w:color="auto"/>
              <w:left w:val="single" w:sz="2" w:space="0" w:color="auto"/>
              <w:bottom w:val="single" w:sz="2" w:space="0" w:color="auto"/>
              <w:right w:val="single" w:sz="2" w:space="0" w:color="auto"/>
            </w:tcBorders>
            <w:vAlign w:val="center"/>
          </w:tcPr>
          <w:p w14:paraId="2EAE13BA" w14:textId="77777777" w:rsidR="00062BC5" w:rsidRPr="00D26131" w:rsidRDefault="00062BC5" w:rsidP="003B1AB3">
            <w:pPr>
              <w:ind w:left="83"/>
            </w:pPr>
            <w:r w:rsidRPr="00D26131">
              <w:t>P-1</w:t>
            </w:r>
          </w:p>
        </w:tc>
        <w:tc>
          <w:tcPr>
            <w:tcW w:w="1093" w:type="dxa"/>
            <w:tcBorders>
              <w:top w:val="single" w:sz="2" w:space="0" w:color="auto"/>
              <w:left w:val="single" w:sz="2" w:space="0" w:color="auto"/>
              <w:bottom w:val="single" w:sz="2" w:space="0" w:color="auto"/>
              <w:right w:val="single" w:sz="2" w:space="0" w:color="auto"/>
            </w:tcBorders>
            <w:vAlign w:val="center"/>
          </w:tcPr>
          <w:p w14:paraId="6737A2F4" w14:textId="77777777" w:rsidR="00062BC5" w:rsidRPr="00D26131" w:rsidRDefault="00062BC5" w:rsidP="003B1AB3">
            <w:pPr>
              <w:ind w:left="83"/>
            </w:pPr>
            <w:r w:rsidRPr="00D26131">
              <w:t>AAA</w:t>
            </w:r>
          </w:p>
        </w:tc>
        <w:tc>
          <w:tcPr>
            <w:tcW w:w="1440" w:type="dxa"/>
            <w:tcBorders>
              <w:top w:val="single" w:sz="2" w:space="0" w:color="auto"/>
              <w:left w:val="single" w:sz="2" w:space="0" w:color="auto"/>
              <w:bottom w:val="single" w:sz="2" w:space="0" w:color="auto"/>
              <w:right w:val="single" w:sz="2" w:space="0" w:color="auto"/>
            </w:tcBorders>
            <w:vAlign w:val="center"/>
          </w:tcPr>
          <w:p w14:paraId="5C73696B" w14:textId="77777777" w:rsidR="00062BC5" w:rsidRPr="00D26131" w:rsidRDefault="00062BC5" w:rsidP="003B1AB3">
            <w:pPr>
              <w:ind w:left="83"/>
            </w:pPr>
            <w:r w:rsidRPr="00D26131">
              <w:t>A-1+</w:t>
            </w:r>
          </w:p>
        </w:tc>
      </w:tr>
      <w:tr w:rsidR="00062BC5" w:rsidRPr="00D26131" w14:paraId="79663835" w14:textId="77777777" w:rsidTr="003B1AB3">
        <w:trPr>
          <w:trHeight w:val="425"/>
        </w:trPr>
        <w:tc>
          <w:tcPr>
            <w:tcW w:w="2589" w:type="dxa"/>
            <w:tcBorders>
              <w:top w:val="single" w:sz="2" w:space="0" w:color="auto"/>
              <w:left w:val="single" w:sz="2" w:space="0" w:color="auto"/>
              <w:bottom w:val="single" w:sz="2" w:space="0" w:color="auto"/>
              <w:right w:val="single" w:sz="2" w:space="0" w:color="auto"/>
            </w:tcBorders>
            <w:vAlign w:val="center"/>
          </w:tcPr>
          <w:p w14:paraId="62430C8B" w14:textId="77777777" w:rsidR="00062BC5" w:rsidRPr="00D26131" w:rsidRDefault="00062BC5" w:rsidP="00EA1B2A">
            <w:r w:rsidRPr="00D26131">
              <w:t>Very strong grade</w:t>
            </w:r>
          </w:p>
        </w:tc>
        <w:tc>
          <w:tcPr>
            <w:tcW w:w="1119" w:type="dxa"/>
            <w:tcBorders>
              <w:top w:val="single" w:sz="2" w:space="0" w:color="auto"/>
              <w:left w:val="single" w:sz="2" w:space="0" w:color="auto"/>
              <w:bottom w:val="single" w:sz="2" w:space="0" w:color="auto"/>
              <w:right w:val="single" w:sz="2" w:space="0" w:color="auto"/>
            </w:tcBorders>
            <w:vAlign w:val="center"/>
          </w:tcPr>
          <w:p w14:paraId="41451DF7" w14:textId="77777777" w:rsidR="00062BC5" w:rsidRPr="00D26131" w:rsidRDefault="00062BC5" w:rsidP="003B1AB3">
            <w:pPr>
              <w:ind w:left="83"/>
            </w:pPr>
            <w:r w:rsidRPr="00D26131">
              <w:t>AA+</w:t>
            </w:r>
            <w:r w:rsidRPr="00D26131">
              <w:br/>
              <w:t>AA</w:t>
            </w:r>
            <w:r w:rsidRPr="00D26131">
              <w:br/>
            </w:r>
            <w:proofErr w:type="spellStart"/>
            <w:r w:rsidRPr="00D26131">
              <w:t>AA</w:t>
            </w:r>
            <w:proofErr w:type="spellEnd"/>
            <w:r w:rsidRPr="00D26131">
              <w:t>-</w:t>
            </w:r>
          </w:p>
        </w:tc>
        <w:tc>
          <w:tcPr>
            <w:tcW w:w="1414" w:type="dxa"/>
            <w:tcBorders>
              <w:top w:val="single" w:sz="2" w:space="0" w:color="auto"/>
              <w:left w:val="single" w:sz="2" w:space="0" w:color="auto"/>
              <w:bottom w:val="single" w:sz="2" w:space="0" w:color="auto"/>
              <w:right w:val="single" w:sz="2" w:space="0" w:color="auto"/>
            </w:tcBorders>
            <w:vAlign w:val="center"/>
          </w:tcPr>
          <w:p w14:paraId="139B7509" w14:textId="77777777" w:rsidR="00062BC5" w:rsidRPr="00D26131" w:rsidRDefault="00062BC5" w:rsidP="003B1AB3">
            <w:pPr>
              <w:ind w:left="83"/>
            </w:pPr>
            <w:r w:rsidRPr="00D26131">
              <w:t>F1+</w:t>
            </w:r>
          </w:p>
          <w:p w14:paraId="4DE587C0" w14:textId="77777777" w:rsidR="00062BC5" w:rsidRPr="00D26131" w:rsidRDefault="00062BC5" w:rsidP="003B1AB3">
            <w:pPr>
              <w:ind w:left="83"/>
            </w:pPr>
            <w:r w:rsidRPr="00D26131">
              <w:t>F1+</w:t>
            </w:r>
          </w:p>
          <w:p w14:paraId="7995B467" w14:textId="77777777" w:rsidR="00062BC5" w:rsidRPr="00D26131" w:rsidRDefault="00062BC5" w:rsidP="003B1AB3">
            <w:pPr>
              <w:ind w:left="83"/>
            </w:pPr>
            <w:r w:rsidRPr="00D26131">
              <w:t>F1+</w:t>
            </w:r>
          </w:p>
        </w:tc>
        <w:tc>
          <w:tcPr>
            <w:tcW w:w="1106" w:type="dxa"/>
            <w:tcBorders>
              <w:top w:val="single" w:sz="2" w:space="0" w:color="auto"/>
              <w:left w:val="single" w:sz="2" w:space="0" w:color="auto"/>
              <w:bottom w:val="single" w:sz="2" w:space="0" w:color="auto"/>
              <w:right w:val="single" w:sz="2" w:space="0" w:color="auto"/>
            </w:tcBorders>
            <w:vAlign w:val="center"/>
          </w:tcPr>
          <w:p w14:paraId="7F36C395" w14:textId="77777777" w:rsidR="00062BC5" w:rsidRPr="00D26131" w:rsidRDefault="00062BC5" w:rsidP="003B1AB3">
            <w:pPr>
              <w:ind w:left="83"/>
            </w:pPr>
            <w:r w:rsidRPr="00D26131">
              <w:t>Aa1</w:t>
            </w:r>
          </w:p>
          <w:p w14:paraId="72FA282E" w14:textId="77777777" w:rsidR="00062BC5" w:rsidRPr="00D26131" w:rsidRDefault="00062BC5" w:rsidP="003B1AB3">
            <w:pPr>
              <w:ind w:left="83"/>
            </w:pPr>
            <w:r w:rsidRPr="00D26131">
              <w:t>Aa2</w:t>
            </w:r>
          </w:p>
          <w:p w14:paraId="01E47310" w14:textId="77777777" w:rsidR="00062BC5" w:rsidRPr="00D26131" w:rsidRDefault="00062BC5" w:rsidP="003B1AB3">
            <w:pPr>
              <w:ind w:left="83"/>
            </w:pPr>
            <w:r w:rsidRPr="00D26131">
              <w:t>Aa3</w:t>
            </w:r>
          </w:p>
        </w:tc>
        <w:tc>
          <w:tcPr>
            <w:tcW w:w="1427" w:type="dxa"/>
            <w:tcBorders>
              <w:top w:val="single" w:sz="2" w:space="0" w:color="auto"/>
              <w:left w:val="single" w:sz="2" w:space="0" w:color="auto"/>
              <w:bottom w:val="single" w:sz="2" w:space="0" w:color="auto"/>
              <w:right w:val="single" w:sz="2" w:space="0" w:color="auto"/>
            </w:tcBorders>
            <w:vAlign w:val="center"/>
          </w:tcPr>
          <w:p w14:paraId="341ED427" w14:textId="77777777" w:rsidR="00062BC5" w:rsidRPr="00D26131" w:rsidRDefault="00062BC5" w:rsidP="003B1AB3">
            <w:pPr>
              <w:ind w:left="83"/>
            </w:pPr>
            <w:r w:rsidRPr="00D26131">
              <w:t>P-1</w:t>
            </w:r>
          </w:p>
          <w:p w14:paraId="1DBD9D83" w14:textId="77777777" w:rsidR="00062BC5" w:rsidRPr="00D26131" w:rsidRDefault="00062BC5" w:rsidP="003B1AB3">
            <w:pPr>
              <w:ind w:left="83"/>
            </w:pPr>
            <w:r w:rsidRPr="00D26131">
              <w:t>P-1</w:t>
            </w:r>
          </w:p>
          <w:p w14:paraId="0E505DB2" w14:textId="77777777" w:rsidR="00062BC5" w:rsidRPr="00D26131" w:rsidRDefault="00062BC5" w:rsidP="003B1AB3">
            <w:pPr>
              <w:ind w:left="83"/>
            </w:pPr>
            <w:r w:rsidRPr="00D26131">
              <w:t>P-1</w:t>
            </w:r>
          </w:p>
        </w:tc>
        <w:tc>
          <w:tcPr>
            <w:tcW w:w="1093" w:type="dxa"/>
            <w:tcBorders>
              <w:top w:val="single" w:sz="2" w:space="0" w:color="auto"/>
              <w:left w:val="single" w:sz="2" w:space="0" w:color="auto"/>
              <w:bottom w:val="single" w:sz="2" w:space="0" w:color="auto"/>
              <w:right w:val="single" w:sz="2" w:space="0" w:color="auto"/>
            </w:tcBorders>
            <w:vAlign w:val="center"/>
          </w:tcPr>
          <w:p w14:paraId="3C27247F" w14:textId="77777777" w:rsidR="00062BC5" w:rsidRPr="00D26131" w:rsidRDefault="00062BC5" w:rsidP="003B1AB3">
            <w:pPr>
              <w:ind w:left="83"/>
            </w:pPr>
            <w:r w:rsidRPr="00D26131">
              <w:t>AA+</w:t>
            </w:r>
            <w:r w:rsidRPr="00D26131">
              <w:br/>
              <w:t>AA</w:t>
            </w:r>
            <w:r w:rsidRPr="00D26131">
              <w:br/>
            </w:r>
            <w:proofErr w:type="spellStart"/>
            <w:r w:rsidRPr="00D26131">
              <w:t>AA</w:t>
            </w:r>
            <w:proofErr w:type="spellEnd"/>
            <w:r w:rsidRPr="00D26131">
              <w:t>-</w:t>
            </w:r>
          </w:p>
        </w:tc>
        <w:tc>
          <w:tcPr>
            <w:tcW w:w="1440" w:type="dxa"/>
            <w:tcBorders>
              <w:top w:val="single" w:sz="2" w:space="0" w:color="auto"/>
              <w:left w:val="single" w:sz="2" w:space="0" w:color="auto"/>
              <w:bottom w:val="single" w:sz="2" w:space="0" w:color="auto"/>
              <w:right w:val="single" w:sz="2" w:space="0" w:color="auto"/>
            </w:tcBorders>
            <w:vAlign w:val="center"/>
          </w:tcPr>
          <w:p w14:paraId="44AFE3C5" w14:textId="77777777" w:rsidR="00062BC5" w:rsidRPr="00D26131" w:rsidRDefault="00062BC5" w:rsidP="003B1AB3">
            <w:pPr>
              <w:ind w:left="83"/>
            </w:pPr>
            <w:r w:rsidRPr="00D26131">
              <w:t>A-1+</w:t>
            </w:r>
          </w:p>
          <w:p w14:paraId="2AC1C8EC" w14:textId="77777777" w:rsidR="00062BC5" w:rsidRPr="00D26131" w:rsidRDefault="00062BC5" w:rsidP="003B1AB3">
            <w:pPr>
              <w:ind w:left="83"/>
            </w:pPr>
            <w:r w:rsidRPr="00D26131">
              <w:t>A-1+</w:t>
            </w:r>
          </w:p>
          <w:p w14:paraId="6745BCBB" w14:textId="77777777" w:rsidR="00062BC5" w:rsidRPr="00D26131" w:rsidRDefault="00062BC5" w:rsidP="003B1AB3">
            <w:pPr>
              <w:ind w:left="83"/>
            </w:pPr>
            <w:r w:rsidRPr="00D26131">
              <w:t>A-1+</w:t>
            </w:r>
          </w:p>
        </w:tc>
      </w:tr>
      <w:tr w:rsidR="00062BC5" w:rsidRPr="00D26131" w14:paraId="562D89F0" w14:textId="77777777" w:rsidTr="003B1AB3">
        <w:trPr>
          <w:trHeight w:val="425"/>
        </w:trPr>
        <w:tc>
          <w:tcPr>
            <w:tcW w:w="2589" w:type="dxa"/>
            <w:tcBorders>
              <w:top w:val="single" w:sz="2" w:space="0" w:color="auto"/>
              <w:left w:val="single" w:sz="2" w:space="0" w:color="auto"/>
              <w:bottom w:val="single" w:sz="2" w:space="0" w:color="auto"/>
              <w:right w:val="single" w:sz="2" w:space="0" w:color="auto"/>
            </w:tcBorders>
            <w:vAlign w:val="center"/>
          </w:tcPr>
          <w:p w14:paraId="61874722" w14:textId="77777777" w:rsidR="00062BC5" w:rsidRPr="00D26131" w:rsidRDefault="00062BC5" w:rsidP="00EA1B2A">
            <w:r w:rsidRPr="00D26131">
              <w:t>Strong grade</w:t>
            </w:r>
          </w:p>
          <w:p w14:paraId="1DC0C330" w14:textId="77777777" w:rsidR="00062BC5" w:rsidRPr="00D26131" w:rsidRDefault="00062BC5" w:rsidP="00EA1B2A">
            <w:r w:rsidRPr="00D26131">
              <w:t>But susceptible to adverse conditions</w:t>
            </w:r>
          </w:p>
        </w:tc>
        <w:tc>
          <w:tcPr>
            <w:tcW w:w="1119" w:type="dxa"/>
            <w:tcBorders>
              <w:top w:val="single" w:sz="2" w:space="0" w:color="auto"/>
              <w:left w:val="single" w:sz="2" w:space="0" w:color="auto"/>
              <w:bottom w:val="single" w:sz="2" w:space="0" w:color="auto"/>
              <w:right w:val="single" w:sz="2" w:space="0" w:color="auto"/>
            </w:tcBorders>
            <w:vAlign w:val="center"/>
          </w:tcPr>
          <w:p w14:paraId="070CC821" w14:textId="77777777" w:rsidR="00062BC5" w:rsidRPr="00D26131" w:rsidRDefault="00062BC5" w:rsidP="003B1AB3">
            <w:pPr>
              <w:ind w:left="83"/>
            </w:pPr>
            <w:r w:rsidRPr="00D26131">
              <w:t>A+</w:t>
            </w:r>
          </w:p>
          <w:p w14:paraId="10665C9A" w14:textId="77777777" w:rsidR="00062BC5" w:rsidRPr="00D26131" w:rsidRDefault="00062BC5" w:rsidP="003B1AB3">
            <w:pPr>
              <w:ind w:left="83"/>
            </w:pPr>
            <w:r w:rsidRPr="00D26131">
              <w:t>A</w:t>
            </w:r>
          </w:p>
          <w:p w14:paraId="41FB45C7" w14:textId="77777777" w:rsidR="00062BC5" w:rsidRPr="00D26131" w:rsidRDefault="00062BC5" w:rsidP="003B1AB3">
            <w:pPr>
              <w:ind w:left="83"/>
            </w:pPr>
            <w:r w:rsidRPr="00D26131">
              <w:t>A-</w:t>
            </w:r>
          </w:p>
        </w:tc>
        <w:tc>
          <w:tcPr>
            <w:tcW w:w="1414" w:type="dxa"/>
            <w:tcBorders>
              <w:top w:val="single" w:sz="2" w:space="0" w:color="auto"/>
              <w:left w:val="single" w:sz="2" w:space="0" w:color="auto"/>
              <w:bottom w:val="single" w:sz="2" w:space="0" w:color="auto"/>
              <w:right w:val="single" w:sz="2" w:space="0" w:color="auto"/>
            </w:tcBorders>
            <w:vAlign w:val="center"/>
          </w:tcPr>
          <w:p w14:paraId="5FB0C838" w14:textId="77777777" w:rsidR="00062BC5" w:rsidRPr="00D26131" w:rsidRDefault="00062BC5" w:rsidP="003B1AB3">
            <w:pPr>
              <w:ind w:left="83"/>
            </w:pPr>
            <w:r w:rsidRPr="00D26131">
              <w:t>F1+ / F1</w:t>
            </w:r>
          </w:p>
          <w:p w14:paraId="1BFDFFE3" w14:textId="77777777" w:rsidR="00062BC5" w:rsidRPr="00D26131" w:rsidRDefault="00062BC5" w:rsidP="003B1AB3">
            <w:pPr>
              <w:ind w:left="83"/>
            </w:pPr>
            <w:r w:rsidRPr="00D26131">
              <w:t>F1</w:t>
            </w:r>
          </w:p>
          <w:p w14:paraId="7A4E5E62" w14:textId="77777777" w:rsidR="00062BC5" w:rsidRPr="00D26131" w:rsidRDefault="00062BC5" w:rsidP="003B1AB3">
            <w:pPr>
              <w:ind w:left="83"/>
            </w:pPr>
            <w:r w:rsidRPr="00D26131">
              <w:t>F1</w:t>
            </w:r>
          </w:p>
        </w:tc>
        <w:tc>
          <w:tcPr>
            <w:tcW w:w="1106" w:type="dxa"/>
            <w:tcBorders>
              <w:top w:val="single" w:sz="2" w:space="0" w:color="auto"/>
              <w:left w:val="single" w:sz="2" w:space="0" w:color="auto"/>
              <w:bottom w:val="single" w:sz="2" w:space="0" w:color="auto"/>
              <w:right w:val="single" w:sz="2" w:space="0" w:color="auto"/>
            </w:tcBorders>
            <w:vAlign w:val="center"/>
          </w:tcPr>
          <w:p w14:paraId="2B87DB46" w14:textId="77777777" w:rsidR="00062BC5" w:rsidRPr="00D26131" w:rsidRDefault="00062BC5" w:rsidP="003B1AB3">
            <w:pPr>
              <w:ind w:left="83"/>
            </w:pPr>
            <w:r w:rsidRPr="00D26131">
              <w:t>A1</w:t>
            </w:r>
          </w:p>
          <w:p w14:paraId="15F3E812" w14:textId="77777777" w:rsidR="00062BC5" w:rsidRPr="00D26131" w:rsidRDefault="00062BC5" w:rsidP="003B1AB3">
            <w:pPr>
              <w:ind w:left="83"/>
            </w:pPr>
            <w:r w:rsidRPr="00D26131">
              <w:t>A2</w:t>
            </w:r>
          </w:p>
          <w:p w14:paraId="491AB3A2" w14:textId="77777777" w:rsidR="00062BC5" w:rsidRPr="00D26131" w:rsidRDefault="00062BC5" w:rsidP="003B1AB3">
            <w:pPr>
              <w:ind w:left="83"/>
            </w:pPr>
            <w:r w:rsidRPr="00D26131">
              <w:t>A3</w:t>
            </w:r>
          </w:p>
        </w:tc>
        <w:tc>
          <w:tcPr>
            <w:tcW w:w="1427" w:type="dxa"/>
            <w:tcBorders>
              <w:top w:val="single" w:sz="2" w:space="0" w:color="auto"/>
              <w:left w:val="single" w:sz="2" w:space="0" w:color="auto"/>
              <w:bottom w:val="single" w:sz="2" w:space="0" w:color="auto"/>
              <w:right w:val="single" w:sz="2" w:space="0" w:color="auto"/>
            </w:tcBorders>
            <w:vAlign w:val="center"/>
          </w:tcPr>
          <w:p w14:paraId="206A376E" w14:textId="77777777" w:rsidR="00062BC5" w:rsidRPr="00D26131" w:rsidRDefault="00062BC5" w:rsidP="003B1AB3">
            <w:pPr>
              <w:ind w:left="83"/>
            </w:pPr>
            <w:r w:rsidRPr="00D26131">
              <w:t>P-1</w:t>
            </w:r>
          </w:p>
          <w:p w14:paraId="25DD27D1" w14:textId="77777777" w:rsidR="00062BC5" w:rsidRPr="00D26131" w:rsidRDefault="00062BC5" w:rsidP="003B1AB3">
            <w:pPr>
              <w:ind w:left="83"/>
            </w:pPr>
            <w:r w:rsidRPr="00D26131">
              <w:t>P-1 / P-2</w:t>
            </w:r>
          </w:p>
          <w:p w14:paraId="304D40E3" w14:textId="77777777" w:rsidR="00062BC5" w:rsidRPr="00D26131" w:rsidRDefault="00062BC5" w:rsidP="003B1AB3">
            <w:pPr>
              <w:ind w:left="83"/>
            </w:pPr>
            <w:r w:rsidRPr="00D26131">
              <w:t>P-1 / P-2</w:t>
            </w:r>
          </w:p>
        </w:tc>
        <w:tc>
          <w:tcPr>
            <w:tcW w:w="1093" w:type="dxa"/>
            <w:tcBorders>
              <w:top w:val="single" w:sz="2" w:space="0" w:color="auto"/>
              <w:left w:val="single" w:sz="2" w:space="0" w:color="auto"/>
              <w:bottom w:val="single" w:sz="2" w:space="0" w:color="auto"/>
              <w:right w:val="single" w:sz="2" w:space="0" w:color="auto"/>
            </w:tcBorders>
            <w:vAlign w:val="center"/>
          </w:tcPr>
          <w:p w14:paraId="1EBF14A4" w14:textId="77777777" w:rsidR="00062BC5" w:rsidRPr="00D26131" w:rsidRDefault="00062BC5" w:rsidP="003B1AB3">
            <w:pPr>
              <w:ind w:left="83"/>
            </w:pPr>
            <w:r w:rsidRPr="00D26131">
              <w:t>A+</w:t>
            </w:r>
          </w:p>
          <w:p w14:paraId="238798B1" w14:textId="77777777" w:rsidR="00062BC5" w:rsidRPr="00D26131" w:rsidRDefault="00062BC5" w:rsidP="003B1AB3">
            <w:pPr>
              <w:ind w:left="83"/>
            </w:pPr>
            <w:r w:rsidRPr="00D26131">
              <w:t>A</w:t>
            </w:r>
          </w:p>
          <w:p w14:paraId="23F99239" w14:textId="77777777" w:rsidR="00062BC5" w:rsidRPr="00D26131" w:rsidRDefault="00062BC5" w:rsidP="003B1AB3">
            <w:pPr>
              <w:ind w:left="83"/>
            </w:pPr>
            <w:r w:rsidRPr="00D26131">
              <w:t>A</w:t>
            </w:r>
          </w:p>
        </w:tc>
        <w:tc>
          <w:tcPr>
            <w:tcW w:w="1440" w:type="dxa"/>
            <w:tcBorders>
              <w:top w:val="single" w:sz="2" w:space="0" w:color="auto"/>
              <w:left w:val="single" w:sz="2" w:space="0" w:color="auto"/>
              <w:bottom w:val="single" w:sz="2" w:space="0" w:color="auto"/>
              <w:right w:val="single" w:sz="2" w:space="0" w:color="auto"/>
            </w:tcBorders>
            <w:vAlign w:val="center"/>
          </w:tcPr>
          <w:p w14:paraId="386B58F8" w14:textId="77777777" w:rsidR="00062BC5" w:rsidRPr="00D26131" w:rsidRDefault="00062BC5" w:rsidP="003B1AB3">
            <w:pPr>
              <w:ind w:left="83"/>
            </w:pPr>
            <w:r w:rsidRPr="00D26131">
              <w:t>A-1+ / A-1</w:t>
            </w:r>
          </w:p>
          <w:p w14:paraId="0940E7C8" w14:textId="77777777" w:rsidR="00062BC5" w:rsidRPr="00D26131" w:rsidRDefault="00062BC5" w:rsidP="003B1AB3">
            <w:pPr>
              <w:ind w:left="83"/>
            </w:pPr>
            <w:r w:rsidRPr="00D26131">
              <w:t>A-1</w:t>
            </w:r>
          </w:p>
          <w:p w14:paraId="1A08944A" w14:textId="77777777" w:rsidR="00062BC5" w:rsidRPr="00D26131" w:rsidRDefault="00062BC5" w:rsidP="003B1AB3">
            <w:pPr>
              <w:ind w:left="83"/>
            </w:pPr>
            <w:r w:rsidRPr="00D26131">
              <w:t>A-1 / A-2</w:t>
            </w:r>
          </w:p>
        </w:tc>
      </w:tr>
      <w:tr w:rsidR="00062BC5" w:rsidRPr="00D26131" w14:paraId="23C5156D" w14:textId="77777777" w:rsidTr="003B1AB3">
        <w:trPr>
          <w:trHeight w:val="425"/>
        </w:trPr>
        <w:tc>
          <w:tcPr>
            <w:tcW w:w="2589" w:type="dxa"/>
            <w:tcBorders>
              <w:top w:val="single" w:sz="2" w:space="0" w:color="auto"/>
            </w:tcBorders>
            <w:vAlign w:val="center"/>
          </w:tcPr>
          <w:p w14:paraId="2C1198BA" w14:textId="77777777" w:rsidR="00062BC5" w:rsidRPr="00D26131" w:rsidRDefault="00062BC5" w:rsidP="00EA1B2A">
            <w:r w:rsidRPr="00D26131">
              <w:t>Adequate Grade</w:t>
            </w:r>
          </w:p>
        </w:tc>
        <w:tc>
          <w:tcPr>
            <w:tcW w:w="1119" w:type="dxa"/>
            <w:tcBorders>
              <w:top w:val="single" w:sz="2" w:space="0" w:color="auto"/>
            </w:tcBorders>
            <w:vAlign w:val="center"/>
          </w:tcPr>
          <w:p w14:paraId="3A1CD78F" w14:textId="77777777" w:rsidR="00062BC5" w:rsidRPr="00D26131" w:rsidRDefault="00062BC5" w:rsidP="003B1AB3">
            <w:pPr>
              <w:ind w:left="111"/>
            </w:pPr>
            <w:r w:rsidRPr="00D26131">
              <w:t>BBB+</w:t>
            </w:r>
          </w:p>
          <w:p w14:paraId="7F86676E" w14:textId="77777777" w:rsidR="00062BC5" w:rsidRPr="00D26131" w:rsidRDefault="00062BC5" w:rsidP="003B1AB3">
            <w:pPr>
              <w:ind w:left="111"/>
            </w:pPr>
            <w:r w:rsidRPr="00D26131">
              <w:t>BBB</w:t>
            </w:r>
          </w:p>
          <w:p w14:paraId="623AE909" w14:textId="77777777" w:rsidR="00062BC5" w:rsidRPr="00D26131" w:rsidRDefault="00062BC5" w:rsidP="003B1AB3">
            <w:pPr>
              <w:ind w:left="111"/>
            </w:pPr>
            <w:r w:rsidRPr="00D26131">
              <w:t>BBB-</w:t>
            </w:r>
          </w:p>
        </w:tc>
        <w:tc>
          <w:tcPr>
            <w:tcW w:w="1414" w:type="dxa"/>
            <w:tcBorders>
              <w:top w:val="single" w:sz="2" w:space="0" w:color="auto"/>
            </w:tcBorders>
            <w:vAlign w:val="center"/>
          </w:tcPr>
          <w:p w14:paraId="090AE4B3" w14:textId="77777777" w:rsidR="00062BC5" w:rsidRPr="00D26131" w:rsidRDefault="00062BC5" w:rsidP="003B1AB3">
            <w:pPr>
              <w:ind w:left="111"/>
            </w:pPr>
            <w:r w:rsidRPr="00D26131">
              <w:t>F2</w:t>
            </w:r>
          </w:p>
          <w:p w14:paraId="01F4661F" w14:textId="77777777" w:rsidR="00062BC5" w:rsidRPr="00D26131" w:rsidRDefault="00062BC5" w:rsidP="003B1AB3">
            <w:pPr>
              <w:ind w:left="111"/>
            </w:pPr>
            <w:r w:rsidRPr="00D26131">
              <w:t>F2 / F3</w:t>
            </w:r>
          </w:p>
          <w:p w14:paraId="17FE647E" w14:textId="77777777" w:rsidR="00062BC5" w:rsidRPr="00D26131" w:rsidRDefault="00062BC5" w:rsidP="003B1AB3">
            <w:pPr>
              <w:ind w:left="111"/>
            </w:pPr>
            <w:r w:rsidRPr="00D26131">
              <w:t>F3</w:t>
            </w:r>
          </w:p>
        </w:tc>
        <w:tc>
          <w:tcPr>
            <w:tcW w:w="1106" w:type="dxa"/>
            <w:tcBorders>
              <w:top w:val="single" w:sz="2" w:space="0" w:color="auto"/>
            </w:tcBorders>
            <w:vAlign w:val="center"/>
          </w:tcPr>
          <w:p w14:paraId="1561F638" w14:textId="77777777" w:rsidR="00062BC5" w:rsidRPr="00D26131" w:rsidRDefault="00062BC5" w:rsidP="003B1AB3">
            <w:pPr>
              <w:ind w:left="111"/>
            </w:pPr>
            <w:r w:rsidRPr="00D26131">
              <w:t>Baa1</w:t>
            </w:r>
          </w:p>
          <w:p w14:paraId="6A2F6E8D" w14:textId="77777777" w:rsidR="00062BC5" w:rsidRPr="00D26131" w:rsidRDefault="00062BC5" w:rsidP="003B1AB3">
            <w:pPr>
              <w:ind w:left="111"/>
            </w:pPr>
            <w:r w:rsidRPr="00D26131">
              <w:t>Baa2</w:t>
            </w:r>
          </w:p>
          <w:p w14:paraId="38B0F782" w14:textId="77777777" w:rsidR="00062BC5" w:rsidRPr="00D26131" w:rsidRDefault="00062BC5" w:rsidP="003B1AB3">
            <w:pPr>
              <w:ind w:left="111"/>
            </w:pPr>
            <w:r w:rsidRPr="00D26131">
              <w:t>Baa3</w:t>
            </w:r>
          </w:p>
        </w:tc>
        <w:tc>
          <w:tcPr>
            <w:tcW w:w="1427" w:type="dxa"/>
            <w:tcBorders>
              <w:top w:val="single" w:sz="2" w:space="0" w:color="auto"/>
            </w:tcBorders>
            <w:vAlign w:val="center"/>
          </w:tcPr>
          <w:p w14:paraId="7813F95C" w14:textId="77777777" w:rsidR="00062BC5" w:rsidRPr="00D26131" w:rsidRDefault="00062BC5" w:rsidP="003B1AB3">
            <w:pPr>
              <w:ind w:left="111"/>
            </w:pPr>
            <w:r w:rsidRPr="00D26131">
              <w:t>P-2</w:t>
            </w:r>
          </w:p>
          <w:p w14:paraId="31523509" w14:textId="77777777" w:rsidR="00062BC5" w:rsidRPr="00D26131" w:rsidRDefault="00062BC5" w:rsidP="003B1AB3">
            <w:pPr>
              <w:ind w:left="111"/>
            </w:pPr>
            <w:r w:rsidRPr="00D26131">
              <w:t>P-2 / P-3</w:t>
            </w:r>
          </w:p>
          <w:p w14:paraId="39C9626D" w14:textId="77777777" w:rsidR="00062BC5" w:rsidRPr="00D26131" w:rsidRDefault="00062BC5" w:rsidP="003B1AB3">
            <w:pPr>
              <w:ind w:left="111"/>
            </w:pPr>
            <w:r w:rsidRPr="00D26131">
              <w:t>P-3</w:t>
            </w:r>
          </w:p>
        </w:tc>
        <w:tc>
          <w:tcPr>
            <w:tcW w:w="1093" w:type="dxa"/>
            <w:tcBorders>
              <w:top w:val="single" w:sz="2" w:space="0" w:color="auto"/>
            </w:tcBorders>
            <w:vAlign w:val="center"/>
          </w:tcPr>
          <w:p w14:paraId="7DD1C65C" w14:textId="77777777" w:rsidR="00062BC5" w:rsidRPr="00D26131" w:rsidRDefault="00062BC5" w:rsidP="003B1AB3">
            <w:pPr>
              <w:ind w:left="111"/>
            </w:pPr>
            <w:r w:rsidRPr="00D26131">
              <w:t>BBB+</w:t>
            </w:r>
          </w:p>
          <w:p w14:paraId="73B3C4A9" w14:textId="77777777" w:rsidR="00062BC5" w:rsidRPr="00D26131" w:rsidRDefault="00062BC5" w:rsidP="003B1AB3">
            <w:pPr>
              <w:ind w:left="111"/>
            </w:pPr>
            <w:r w:rsidRPr="00D26131">
              <w:t>BBB</w:t>
            </w:r>
          </w:p>
          <w:p w14:paraId="528C705E" w14:textId="77777777" w:rsidR="00062BC5" w:rsidRPr="00D26131" w:rsidRDefault="00062BC5" w:rsidP="003B1AB3">
            <w:pPr>
              <w:ind w:left="111"/>
            </w:pPr>
            <w:r w:rsidRPr="00D26131">
              <w:t>BBB-</w:t>
            </w:r>
          </w:p>
        </w:tc>
        <w:tc>
          <w:tcPr>
            <w:tcW w:w="1440" w:type="dxa"/>
            <w:tcBorders>
              <w:top w:val="single" w:sz="2" w:space="0" w:color="auto"/>
            </w:tcBorders>
            <w:vAlign w:val="center"/>
          </w:tcPr>
          <w:p w14:paraId="70BFB26B" w14:textId="77777777" w:rsidR="00062BC5" w:rsidRPr="00D26131" w:rsidRDefault="00062BC5" w:rsidP="003B1AB3">
            <w:pPr>
              <w:ind w:left="111"/>
            </w:pPr>
            <w:r w:rsidRPr="00D26131">
              <w:t>A-2</w:t>
            </w:r>
          </w:p>
          <w:p w14:paraId="052C9EC6" w14:textId="77777777" w:rsidR="00062BC5" w:rsidRPr="00D26131" w:rsidRDefault="00062BC5" w:rsidP="003B1AB3">
            <w:pPr>
              <w:ind w:left="111"/>
            </w:pPr>
            <w:r w:rsidRPr="00D26131">
              <w:t>A-2 / A-3</w:t>
            </w:r>
          </w:p>
          <w:p w14:paraId="1BD3B4A0" w14:textId="77777777" w:rsidR="00062BC5" w:rsidRPr="00D26131" w:rsidRDefault="00062BC5" w:rsidP="003B1AB3">
            <w:pPr>
              <w:ind w:left="111"/>
            </w:pPr>
            <w:r w:rsidRPr="00D26131">
              <w:t>A-2</w:t>
            </w:r>
          </w:p>
        </w:tc>
      </w:tr>
      <w:tr w:rsidR="00062BC5" w:rsidRPr="00D26131" w14:paraId="6C15A1ED" w14:textId="77777777" w:rsidTr="003B1AB3">
        <w:trPr>
          <w:trHeight w:val="425"/>
        </w:trPr>
        <w:tc>
          <w:tcPr>
            <w:tcW w:w="2589" w:type="dxa"/>
            <w:vAlign w:val="center"/>
          </w:tcPr>
          <w:p w14:paraId="5AD3AC05" w14:textId="77777777" w:rsidR="00062BC5" w:rsidRPr="00D26131" w:rsidRDefault="00062BC5" w:rsidP="00EA1B2A">
            <w:r w:rsidRPr="00D26131">
              <w:t>Speculative Grade</w:t>
            </w:r>
          </w:p>
        </w:tc>
        <w:tc>
          <w:tcPr>
            <w:tcW w:w="1119" w:type="dxa"/>
            <w:vAlign w:val="center"/>
          </w:tcPr>
          <w:p w14:paraId="057B2937" w14:textId="77777777" w:rsidR="00062BC5" w:rsidRPr="00D26131" w:rsidRDefault="00062BC5" w:rsidP="003B1AB3">
            <w:pPr>
              <w:ind w:left="111"/>
            </w:pPr>
            <w:r w:rsidRPr="00D26131">
              <w:t>BB+</w:t>
            </w:r>
          </w:p>
          <w:p w14:paraId="60E8DDF3" w14:textId="77777777" w:rsidR="00062BC5" w:rsidRPr="00D26131" w:rsidRDefault="00062BC5" w:rsidP="003B1AB3">
            <w:pPr>
              <w:ind w:left="111"/>
            </w:pPr>
            <w:r w:rsidRPr="00D26131">
              <w:t>BB</w:t>
            </w:r>
          </w:p>
          <w:p w14:paraId="60978B3E" w14:textId="77777777" w:rsidR="00062BC5" w:rsidRPr="00D26131" w:rsidRDefault="00062BC5" w:rsidP="003B1AB3">
            <w:pPr>
              <w:ind w:left="111"/>
            </w:pPr>
            <w:r w:rsidRPr="00D26131">
              <w:t>BB-</w:t>
            </w:r>
          </w:p>
        </w:tc>
        <w:tc>
          <w:tcPr>
            <w:tcW w:w="1414" w:type="dxa"/>
            <w:vAlign w:val="center"/>
          </w:tcPr>
          <w:p w14:paraId="30C5ACCE" w14:textId="77777777" w:rsidR="00062BC5" w:rsidRPr="00D26131" w:rsidRDefault="00062BC5" w:rsidP="003B1AB3">
            <w:pPr>
              <w:ind w:left="111"/>
            </w:pPr>
            <w:r w:rsidRPr="00D26131">
              <w:t>B</w:t>
            </w:r>
          </w:p>
          <w:p w14:paraId="2A83282A" w14:textId="77777777" w:rsidR="00062BC5" w:rsidRPr="00D26131" w:rsidRDefault="00062BC5" w:rsidP="003B1AB3">
            <w:pPr>
              <w:ind w:left="111"/>
            </w:pPr>
            <w:r w:rsidRPr="00D26131">
              <w:t>B</w:t>
            </w:r>
            <w:r w:rsidRPr="00D26131">
              <w:br/>
            </w:r>
            <w:proofErr w:type="spellStart"/>
            <w:r w:rsidRPr="00D26131">
              <w:t>B</w:t>
            </w:r>
            <w:proofErr w:type="spellEnd"/>
          </w:p>
        </w:tc>
        <w:tc>
          <w:tcPr>
            <w:tcW w:w="1106" w:type="dxa"/>
            <w:vAlign w:val="center"/>
          </w:tcPr>
          <w:p w14:paraId="04A8981F" w14:textId="77777777" w:rsidR="00062BC5" w:rsidRPr="00D26131" w:rsidRDefault="00062BC5" w:rsidP="003B1AB3">
            <w:pPr>
              <w:ind w:left="111"/>
            </w:pPr>
            <w:r w:rsidRPr="00D26131">
              <w:t>Ba1</w:t>
            </w:r>
          </w:p>
          <w:p w14:paraId="52E08DF7" w14:textId="77777777" w:rsidR="00062BC5" w:rsidRPr="00D26131" w:rsidRDefault="00062BC5" w:rsidP="003B1AB3">
            <w:pPr>
              <w:ind w:left="111"/>
            </w:pPr>
            <w:r w:rsidRPr="00D26131">
              <w:t>Ba2</w:t>
            </w:r>
          </w:p>
          <w:p w14:paraId="0BB3191F" w14:textId="77777777" w:rsidR="00062BC5" w:rsidRPr="00D26131" w:rsidRDefault="00062BC5" w:rsidP="003B1AB3">
            <w:pPr>
              <w:ind w:left="111"/>
            </w:pPr>
            <w:r w:rsidRPr="00D26131">
              <w:t>Ba3</w:t>
            </w:r>
          </w:p>
        </w:tc>
        <w:tc>
          <w:tcPr>
            <w:tcW w:w="1427" w:type="dxa"/>
            <w:vAlign w:val="center"/>
          </w:tcPr>
          <w:p w14:paraId="70D76C50" w14:textId="77777777" w:rsidR="00062BC5" w:rsidRPr="00D26131" w:rsidRDefault="00062BC5" w:rsidP="003B1AB3">
            <w:pPr>
              <w:ind w:left="111"/>
            </w:pPr>
            <w:r w:rsidRPr="00D26131">
              <w:t>NP *</w:t>
            </w:r>
          </w:p>
          <w:p w14:paraId="13631FCB" w14:textId="77777777" w:rsidR="00062BC5" w:rsidRPr="00D26131" w:rsidRDefault="00062BC5" w:rsidP="003B1AB3">
            <w:pPr>
              <w:ind w:left="111"/>
            </w:pPr>
            <w:r w:rsidRPr="00D26131">
              <w:t>NP</w:t>
            </w:r>
          </w:p>
          <w:p w14:paraId="5CC7636B" w14:textId="77777777" w:rsidR="00062BC5" w:rsidRPr="00D26131" w:rsidRDefault="00062BC5" w:rsidP="003B1AB3">
            <w:pPr>
              <w:ind w:left="111"/>
            </w:pPr>
            <w:r w:rsidRPr="00D26131">
              <w:t>NP</w:t>
            </w:r>
          </w:p>
        </w:tc>
        <w:tc>
          <w:tcPr>
            <w:tcW w:w="1093" w:type="dxa"/>
            <w:vAlign w:val="center"/>
          </w:tcPr>
          <w:p w14:paraId="683DF44F" w14:textId="77777777" w:rsidR="00062BC5" w:rsidRPr="00D26131" w:rsidRDefault="00062BC5" w:rsidP="003B1AB3">
            <w:pPr>
              <w:ind w:left="111"/>
            </w:pPr>
            <w:r w:rsidRPr="00D26131">
              <w:t>BB+</w:t>
            </w:r>
          </w:p>
          <w:p w14:paraId="2BD25EE1" w14:textId="77777777" w:rsidR="00062BC5" w:rsidRPr="00D26131" w:rsidRDefault="00062BC5" w:rsidP="003B1AB3">
            <w:pPr>
              <w:ind w:left="111"/>
            </w:pPr>
            <w:r w:rsidRPr="00D26131">
              <w:t>BB</w:t>
            </w:r>
          </w:p>
          <w:p w14:paraId="408EB1F5" w14:textId="77777777" w:rsidR="00062BC5" w:rsidRPr="00D26131" w:rsidRDefault="00062BC5" w:rsidP="003B1AB3">
            <w:pPr>
              <w:ind w:left="111"/>
            </w:pPr>
            <w:r w:rsidRPr="00D26131">
              <w:t>BB-</w:t>
            </w:r>
          </w:p>
        </w:tc>
        <w:tc>
          <w:tcPr>
            <w:tcW w:w="1440" w:type="dxa"/>
            <w:vAlign w:val="center"/>
          </w:tcPr>
          <w:p w14:paraId="3D4DE423" w14:textId="77777777" w:rsidR="00062BC5" w:rsidRPr="00D26131" w:rsidRDefault="00062BC5" w:rsidP="003B1AB3">
            <w:pPr>
              <w:ind w:left="111"/>
            </w:pPr>
            <w:r w:rsidRPr="00D26131">
              <w:t>B-1</w:t>
            </w:r>
          </w:p>
          <w:p w14:paraId="7035EE46" w14:textId="77777777" w:rsidR="00062BC5" w:rsidRPr="00D26131" w:rsidRDefault="00062BC5" w:rsidP="003B1AB3">
            <w:pPr>
              <w:ind w:left="111"/>
            </w:pPr>
            <w:r w:rsidRPr="00D26131">
              <w:t>B-2</w:t>
            </w:r>
          </w:p>
          <w:p w14:paraId="6002F248" w14:textId="77777777" w:rsidR="00062BC5" w:rsidRPr="00D26131" w:rsidRDefault="00062BC5" w:rsidP="003B1AB3">
            <w:pPr>
              <w:ind w:left="111"/>
            </w:pPr>
            <w:r w:rsidRPr="00D26131">
              <w:t>B-3</w:t>
            </w:r>
          </w:p>
        </w:tc>
      </w:tr>
      <w:tr w:rsidR="00062BC5" w:rsidRPr="00D26131" w14:paraId="6316BFEC" w14:textId="77777777" w:rsidTr="003B1AB3">
        <w:trPr>
          <w:trHeight w:val="876"/>
        </w:trPr>
        <w:tc>
          <w:tcPr>
            <w:tcW w:w="2589" w:type="dxa"/>
            <w:vAlign w:val="center"/>
          </w:tcPr>
          <w:p w14:paraId="14F1DEE9" w14:textId="77777777" w:rsidR="00062BC5" w:rsidRPr="00D26131" w:rsidRDefault="00062BC5" w:rsidP="00EA1B2A">
            <w:r w:rsidRPr="00D26131">
              <w:t>Very Speculative Grade</w:t>
            </w:r>
          </w:p>
        </w:tc>
        <w:tc>
          <w:tcPr>
            <w:tcW w:w="1119" w:type="dxa"/>
            <w:vAlign w:val="center"/>
          </w:tcPr>
          <w:p w14:paraId="1E015402" w14:textId="77777777" w:rsidR="00062BC5" w:rsidRPr="00D26131" w:rsidRDefault="00062BC5" w:rsidP="003B1AB3">
            <w:pPr>
              <w:ind w:left="111"/>
            </w:pPr>
            <w:r w:rsidRPr="00D26131">
              <w:t>B+</w:t>
            </w:r>
          </w:p>
          <w:p w14:paraId="34008F84" w14:textId="77777777" w:rsidR="00062BC5" w:rsidRPr="00D26131" w:rsidRDefault="00062BC5" w:rsidP="003B1AB3">
            <w:pPr>
              <w:ind w:left="111"/>
            </w:pPr>
            <w:r w:rsidRPr="00D26131">
              <w:t>B</w:t>
            </w:r>
          </w:p>
          <w:p w14:paraId="148E9D0A" w14:textId="77777777" w:rsidR="00062BC5" w:rsidRPr="00D26131" w:rsidRDefault="00062BC5" w:rsidP="003B1AB3">
            <w:pPr>
              <w:ind w:left="111"/>
            </w:pPr>
            <w:r w:rsidRPr="00D26131">
              <w:t>B-</w:t>
            </w:r>
          </w:p>
        </w:tc>
        <w:tc>
          <w:tcPr>
            <w:tcW w:w="1414" w:type="dxa"/>
            <w:vAlign w:val="center"/>
          </w:tcPr>
          <w:p w14:paraId="3E2B3331" w14:textId="77777777" w:rsidR="00062BC5" w:rsidRPr="00D26131" w:rsidRDefault="00062BC5" w:rsidP="003B1AB3">
            <w:pPr>
              <w:ind w:left="111"/>
            </w:pPr>
            <w:r w:rsidRPr="00D26131">
              <w:t>B</w:t>
            </w:r>
          </w:p>
          <w:p w14:paraId="1A57BF3C" w14:textId="77777777" w:rsidR="00062BC5" w:rsidRPr="00D26131" w:rsidRDefault="00062BC5" w:rsidP="003B1AB3">
            <w:pPr>
              <w:ind w:left="111"/>
            </w:pPr>
            <w:r w:rsidRPr="00D26131">
              <w:t>B</w:t>
            </w:r>
          </w:p>
          <w:p w14:paraId="335031DF" w14:textId="77777777" w:rsidR="00062BC5" w:rsidRPr="00D26131" w:rsidRDefault="00062BC5" w:rsidP="003B1AB3">
            <w:pPr>
              <w:ind w:left="111"/>
            </w:pPr>
            <w:r w:rsidRPr="00D26131">
              <w:t>B</w:t>
            </w:r>
          </w:p>
        </w:tc>
        <w:tc>
          <w:tcPr>
            <w:tcW w:w="1106" w:type="dxa"/>
            <w:vAlign w:val="center"/>
          </w:tcPr>
          <w:p w14:paraId="26960005" w14:textId="77777777" w:rsidR="00062BC5" w:rsidRPr="00D26131" w:rsidRDefault="00062BC5" w:rsidP="003B1AB3">
            <w:pPr>
              <w:ind w:left="111"/>
            </w:pPr>
            <w:r w:rsidRPr="00D26131">
              <w:t>Ba1</w:t>
            </w:r>
          </w:p>
          <w:p w14:paraId="638B88A5" w14:textId="77777777" w:rsidR="00062BC5" w:rsidRPr="00D26131" w:rsidRDefault="00062BC5" w:rsidP="003B1AB3">
            <w:pPr>
              <w:ind w:left="111"/>
            </w:pPr>
            <w:r w:rsidRPr="00D26131">
              <w:t>Ba2</w:t>
            </w:r>
          </w:p>
          <w:p w14:paraId="7B06110F" w14:textId="77777777" w:rsidR="00062BC5" w:rsidRPr="00D26131" w:rsidRDefault="00062BC5" w:rsidP="003B1AB3">
            <w:pPr>
              <w:ind w:left="111"/>
            </w:pPr>
            <w:r w:rsidRPr="00D26131">
              <w:t>Ba3</w:t>
            </w:r>
          </w:p>
        </w:tc>
        <w:tc>
          <w:tcPr>
            <w:tcW w:w="1427" w:type="dxa"/>
            <w:vAlign w:val="center"/>
          </w:tcPr>
          <w:p w14:paraId="32C9549A" w14:textId="77777777" w:rsidR="00062BC5" w:rsidRPr="00D26131" w:rsidRDefault="00062BC5" w:rsidP="003B1AB3">
            <w:pPr>
              <w:ind w:left="111"/>
            </w:pPr>
            <w:r w:rsidRPr="00D26131">
              <w:t>NP</w:t>
            </w:r>
          </w:p>
          <w:p w14:paraId="70BF5E00" w14:textId="77777777" w:rsidR="00062BC5" w:rsidRPr="00D26131" w:rsidRDefault="00062BC5" w:rsidP="003B1AB3">
            <w:pPr>
              <w:ind w:left="111"/>
            </w:pPr>
            <w:r w:rsidRPr="00D26131">
              <w:t>NP</w:t>
            </w:r>
          </w:p>
          <w:p w14:paraId="78861FD5" w14:textId="77777777" w:rsidR="00062BC5" w:rsidRPr="00D26131" w:rsidRDefault="00062BC5" w:rsidP="003B1AB3">
            <w:pPr>
              <w:ind w:left="111"/>
            </w:pPr>
            <w:r w:rsidRPr="00D26131">
              <w:t>NP</w:t>
            </w:r>
          </w:p>
        </w:tc>
        <w:tc>
          <w:tcPr>
            <w:tcW w:w="1093" w:type="dxa"/>
            <w:vAlign w:val="center"/>
          </w:tcPr>
          <w:p w14:paraId="4C8015B4" w14:textId="77777777" w:rsidR="00062BC5" w:rsidRPr="00D26131" w:rsidRDefault="00062BC5" w:rsidP="003B1AB3">
            <w:pPr>
              <w:ind w:left="111"/>
            </w:pPr>
            <w:r w:rsidRPr="00D26131">
              <w:t>B+</w:t>
            </w:r>
          </w:p>
          <w:p w14:paraId="68CD86CF" w14:textId="77777777" w:rsidR="00062BC5" w:rsidRPr="00D26131" w:rsidRDefault="00062BC5" w:rsidP="003B1AB3">
            <w:pPr>
              <w:ind w:left="111"/>
            </w:pPr>
            <w:r w:rsidRPr="00D26131">
              <w:t>B</w:t>
            </w:r>
          </w:p>
          <w:p w14:paraId="2FB9AD09" w14:textId="77777777" w:rsidR="00062BC5" w:rsidRPr="00D26131" w:rsidRDefault="00062BC5" w:rsidP="003B1AB3">
            <w:pPr>
              <w:ind w:left="111"/>
            </w:pPr>
            <w:r w:rsidRPr="00D26131">
              <w:t>B-</w:t>
            </w:r>
          </w:p>
        </w:tc>
        <w:tc>
          <w:tcPr>
            <w:tcW w:w="1440" w:type="dxa"/>
            <w:vAlign w:val="center"/>
          </w:tcPr>
          <w:p w14:paraId="012FF316" w14:textId="77777777" w:rsidR="00062BC5" w:rsidRPr="00D26131" w:rsidRDefault="00062BC5" w:rsidP="003B1AB3">
            <w:pPr>
              <w:ind w:left="111"/>
            </w:pPr>
            <w:r w:rsidRPr="00D26131">
              <w:t>-</w:t>
            </w:r>
          </w:p>
          <w:p w14:paraId="278D4B0A" w14:textId="77777777" w:rsidR="00062BC5" w:rsidRPr="00D26131" w:rsidRDefault="00062BC5" w:rsidP="003B1AB3">
            <w:pPr>
              <w:ind w:left="111"/>
            </w:pPr>
            <w:r w:rsidRPr="00D26131">
              <w:t>-</w:t>
            </w:r>
          </w:p>
          <w:p w14:paraId="72849360" w14:textId="77777777" w:rsidR="00062BC5" w:rsidRPr="00D26131" w:rsidRDefault="00062BC5" w:rsidP="003B1AB3">
            <w:pPr>
              <w:ind w:left="111"/>
            </w:pPr>
            <w:r w:rsidRPr="00D26131">
              <w:t>-</w:t>
            </w:r>
          </w:p>
        </w:tc>
      </w:tr>
      <w:tr w:rsidR="00062BC5" w:rsidRPr="00D26131" w14:paraId="51182660" w14:textId="77777777" w:rsidTr="003B1AB3">
        <w:trPr>
          <w:trHeight w:val="425"/>
        </w:trPr>
        <w:tc>
          <w:tcPr>
            <w:tcW w:w="2589" w:type="dxa"/>
            <w:vAlign w:val="center"/>
          </w:tcPr>
          <w:p w14:paraId="7ACDB47F" w14:textId="77777777" w:rsidR="00062BC5" w:rsidRPr="00D26131" w:rsidRDefault="00062BC5" w:rsidP="00EA1B2A">
            <w:r w:rsidRPr="00D26131">
              <w:t>Vulnerable Grade</w:t>
            </w:r>
          </w:p>
        </w:tc>
        <w:tc>
          <w:tcPr>
            <w:tcW w:w="1119" w:type="dxa"/>
            <w:vAlign w:val="center"/>
          </w:tcPr>
          <w:p w14:paraId="40925E54" w14:textId="77777777" w:rsidR="00062BC5" w:rsidRPr="00D26131" w:rsidRDefault="00062BC5" w:rsidP="003B1AB3">
            <w:pPr>
              <w:ind w:left="111"/>
            </w:pPr>
            <w:r w:rsidRPr="00D26131">
              <w:t>CCC</w:t>
            </w:r>
          </w:p>
          <w:p w14:paraId="4A398F76" w14:textId="77777777" w:rsidR="00062BC5" w:rsidRPr="00D26131" w:rsidRDefault="00062BC5" w:rsidP="003B1AB3">
            <w:pPr>
              <w:ind w:left="111"/>
            </w:pPr>
            <w:r w:rsidRPr="00D26131">
              <w:t>CCC</w:t>
            </w:r>
          </w:p>
          <w:p w14:paraId="1D417EA1" w14:textId="77777777" w:rsidR="00062BC5" w:rsidRPr="00D26131" w:rsidRDefault="00062BC5" w:rsidP="003B1AB3">
            <w:pPr>
              <w:ind w:left="111"/>
            </w:pPr>
            <w:r w:rsidRPr="00D26131">
              <w:t>CCC</w:t>
            </w:r>
          </w:p>
          <w:p w14:paraId="74A3BB61" w14:textId="77777777" w:rsidR="00062BC5" w:rsidRPr="00D26131" w:rsidRDefault="00062BC5" w:rsidP="003B1AB3">
            <w:pPr>
              <w:ind w:left="111"/>
            </w:pPr>
            <w:r w:rsidRPr="00D26131">
              <w:t>CC</w:t>
            </w:r>
          </w:p>
          <w:p w14:paraId="485870B9" w14:textId="77777777" w:rsidR="00062BC5" w:rsidRPr="00D26131" w:rsidRDefault="00062BC5" w:rsidP="003B1AB3">
            <w:pPr>
              <w:ind w:left="111"/>
            </w:pPr>
            <w:r w:rsidRPr="00D26131">
              <w:t>C</w:t>
            </w:r>
          </w:p>
        </w:tc>
        <w:tc>
          <w:tcPr>
            <w:tcW w:w="1414" w:type="dxa"/>
            <w:vAlign w:val="center"/>
          </w:tcPr>
          <w:p w14:paraId="03E9460C" w14:textId="77777777" w:rsidR="00062BC5" w:rsidRPr="00D26131" w:rsidRDefault="00062BC5" w:rsidP="003B1AB3">
            <w:pPr>
              <w:ind w:left="111"/>
            </w:pPr>
            <w:r w:rsidRPr="00D26131">
              <w:t>C</w:t>
            </w:r>
          </w:p>
          <w:p w14:paraId="2730EFDC" w14:textId="77777777" w:rsidR="00062BC5" w:rsidRPr="00D26131" w:rsidRDefault="00062BC5" w:rsidP="003B1AB3">
            <w:pPr>
              <w:ind w:left="111"/>
            </w:pPr>
            <w:r w:rsidRPr="00D26131">
              <w:t>C</w:t>
            </w:r>
          </w:p>
          <w:p w14:paraId="1B6E98ED" w14:textId="77777777" w:rsidR="00062BC5" w:rsidRPr="00D26131" w:rsidRDefault="00062BC5" w:rsidP="003B1AB3">
            <w:pPr>
              <w:ind w:left="111"/>
            </w:pPr>
            <w:r w:rsidRPr="00D26131">
              <w:t>C</w:t>
            </w:r>
          </w:p>
          <w:p w14:paraId="7CED72F1" w14:textId="77777777" w:rsidR="00062BC5" w:rsidRPr="00D26131" w:rsidRDefault="00062BC5" w:rsidP="003B1AB3">
            <w:pPr>
              <w:ind w:left="111"/>
            </w:pPr>
            <w:r w:rsidRPr="00D26131">
              <w:t>C</w:t>
            </w:r>
          </w:p>
          <w:p w14:paraId="3C5F8641" w14:textId="77777777" w:rsidR="00062BC5" w:rsidRPr="00D26131" w:rsidRDefault="00062BC5" w:rsidP="003B1AB3">
            <w:pPr>
              <w:ind w:left="111"/>
            </w:pPr>
            <w:r w:rsidRPr="00D26131">
              <w:t>C</w:t>
            </w:r>
          </w:p>
        </w:tc>
        <w:tc>
          <w:tcPr>
            <w:tcW w:w="1106" w:type="dxa"/>
            <w:vAlign w:val="center"/>
          </w:tcPr>
          <w:p w14:paraId="37AE4B73" w14:textId="77777777" w:rsidR="00062BC5" w:rsidRPr="00D26131" w:rsidRDefault="00062BC5" w:rsidP="003B1AB3">
            <w:pPr>
              <w:ind w:left="111"/>
            </w:pPr>
            <w:r w:rsidRPr="00D26131">
              <w:t>Caa1</w:t>
            </w:r>
          </w:p>
          <w:p w14:paraId="34913A78" w14:textId="77777777" w:rsidR="00062BC5" w:rsidRPr="00D26131" w:rsidRDefault="00062BC5" w:rsidP="003B1AB3">
            <w:pPr>
              <w:ind w:left="111"/>
            </w:pPr>
            <w:r w:rsidRPr="00D26131">
              <w:t>Caa2</w:t>
            </w:r>
          </w:p>
          <w:p w14:paraId="427CD035" w14:textId="77777777" w:rsidR="00062BC5" w:rsidRPr="00D26131" w:rsidRDefault="00062BC5" w:rsidP="003B1AB3">
            <w:pPr>
              <w:ind w:left="111"/>
            </w:pPr>
            <w:r w:rsidRPr="00D26131">
              <w:t>Caa3</w:t>
            </w:r>
          </w:p>
          <w:p w14:paraId="494C4716" w14:textId="77777777" w:rsidR="00062BC5" w:rsidRPr="00D26131" w:rsidRDefault="00062BC5" w:rsidP="003B1AB3">
            <w:pPr>
              <w:ind w:left="111"/>
            </w:pPr>
            <w:r w:rsidRPr="00D26131">
              <w:t>-</w:t>
            </w:r>
          </w:p>
          <w:p w14:paraId="0E4FFBED" w14:textId="77777777" w:rsidR="00062BC5" w:rsidRPr="00D26131" w:rsidRDefault="00062BC5" w:rsidP="003B1AB3">
            <w:pPr>
              <w:ind w:left="111"/>
            </w:pPr>
            <w:r w:rsidRPr="00D26131">
              <w:t>Ca</w:t>
            </w:r>
          </w:p>
        </w:tc>
        <w:tc>
          <w:tcPr>
            <w:tcW w:w="1427" w:type="dxa"/>
            <w:vAlign w:val="center"/>
          </w:tcPr>
          <w:p w14:paraId="2D8059E9" w14:textId="77777777" w:rsidR="00062BC5" w:rsidRPr="00D26131" w:rsidRDefault="00062BC5" w:rsidP="003B1AB3">
            <w:pPr>
              <w:ind w:left="111"/>
            </w:pPr>
            <w:r w:rsidRPr="00D26131">
              <w:t>NP</w:t>
            </w:r>
          </w:p>
          <w:p w14:paraId="30061CEE" w14:textId="77777777" w:rsidR="00062BC5" w:rsidRPr="00D26131" w:rsidRDefault="00062BC5" w:rsidP="003B1AB3">
            <w:pPr>
              <w:ind w:left="111"/>
            </w:pPr>
            <w:r w:rsidRPr="00D26131">
              <w:t>NP</w:t>
            </w:r>
          </w:p>
          <w:p w14:paraId="7590B5C4" w14:textId="77777777" w:rsidR="00062BC5" w:rsidRPr="00D26131" w:rsidRDefault="00062BC5" w:rsidP="003B1AB3">
            <w:pPr>
              <w:ind w:left="111"/>
            </w:pPr>
            <w:r w:rsidRPr="00D26131">
              <w:t>NP</w:t>
            </w:r>
          </w:p>
          <w:p w14:paraId="4B9A2234" w14:textId="77777777" w:rsidR="00062BC5" w:rsidRPr="00D26131" w:rsidRDefault="00062BC5" w:rsidP="003B1AB3">
            <w:pPr>
              <w:ind w:left="111"/>
            </w:pPr>
            <w:r w:rsidRPr="00D26131">
              <w:t>NP</w:t>
            </w:r>
          </w:p>
          <w:p w14:paraId="731F046C" w14:textId="77777777" w:rsidR="00062BC5" w:rsidRPr="00D26131" w:rsidRDefault="00062BC5" w:rsidP="003B1AB3">
            <w:pPr>
              <w:ind w:left="111"/>
            </w:pPr>
            <w:r w:rsidRPr="00D26131">
              <w:t>NP</w:t>
            </w:r>
          </w:p>
        </w:tc>
        <w:tc>
          <w:tcPr>
            <w:tcW w:w="1093" w:type="dxa"/>
            <w:vAlign w:val="center"/>
          </w:tcPr>
          <w:p w14:paraId="07F993C8" w14:textId="77777777" w:rsidR="00062BC5" w:rsidRPr="00D26131" w:rsidRDefault="00062BC5" w:rsidP="003B1AB3">
            <w:pPr>
              <w:ind w:left="111"/>
            </w:pPr>
            <w:r w:rsidRPr="00D26131">
              <w:t>CCC+</w:t>
            </w:r>
          </w:p>
          <w:p w14:paraId="0CA70C8B" w14:textId="77777777" w:rsidR="00062BC5" w:rsidRPr="00D26131" w:rsidRDefault="00062BC5" w:rsidP="003B1AB3">
            <w:pPr>
              <w:ind w:left="111"/>
            </w:pPr>
            <w:r w:rsidRPr="00D26131">
              <w:t>CCC</w:t>
            </w:r>
          </w:p>
          <w:p w14:paraId="7F98DC67" w14:textId="77777777" w:rsidR="00062BC5" w:rsidRPr="00D26131" w:rsidRDefault="00062BC5" w:rsidP="003B1AB3">
            <w:pPr>
              <w:ind w:left="111"/>
            </w:pPr>
            <w:r w:rsidRPr="00D26131">
              <w:t>CCC-</w:t>
            </w:r>
          </w:p>
          <w:p w14:paraId="264C4631" w14:textId="77777777" w:rsidR="00062BC5" w:rsidRPr="00D26131" w:rsidRDefault="00062BC5" w:rsidP="003B1AB3">
            <w:pPr>
              <w:ind w:left="111"/>
            </w:pPr>
            <w:r w:rsidRPr="00D26131">
              <w:t>CC</w:t>
            </w:r>
          </w:p>
          <w:p w14:paraId="572D997F" w14:textId="77777777" w:rsidR="00062BC5" w:rsidRPr="00D26131" w:rsidRDefault="00062BC5" w:rsidP="003B1AB3">
            <w:pPr>
              <w:ind w:left="111"/>
            </w:pPr>
            <w:r w:rsidRPr="00D26131">
              <w:t>C</w:t>
            </w:r>
          </w:p>
        </w:tc>
        <w:tc>
          <w:tcPr>
            <w:tcW w:w="1440" w:type="dxa"/>
            <w:vAlign w:val="center"/>
          </w:tcPr>
          <w:p w14:paraId="0B6672DC" w14:textId="77777777" w:rsidR="00062BC5" w:rsidRPr="00D26131" w:rsidRDefault="00062BC5" w:rsidP="003B1AB3">
            <w:pPr>
              <w:ind w:left="111"/>
            </w:pPr>
            <w:r w:rsidRPr="00D26131">
              <w:t>C</w:t>
            </w:r>
          </w:p>
          <w:p w14:paraId="74510D9A" w14:textId="77777777" w:rsidR="00062BC5" w:rsidRPr="00D26131" w:rsidRDefault="00062BC5" w:rsidP="003B1AB3">
            <w:pPr>
              <w:ind w:left="111"/>
            </w:pPr>
            <w:r w:rsidRPr="00D26131">
              <w:t>C</w:t>
            </w:r>
          </w:p>
          <w:p w14:paraId="6483C92D" w14:textId="77777777" w:rsidR="00062BC5" w:rsidRPr="00D26131" w:rsidRDefault="00062BC5" w:rsidP="003B1AB3">
            <w:pPr>
              <w:ind w:left="111"/>
            </w:pPr>
            <w:r w:rsidRPr="00D26131">
              <w:t>C</w:t>
            </w:r>
          </w:p>
          <w:p w14:paraId="2EC9A37B" w14:textId="77777777" w:rsidR="00062BC5" w:rsidRPr="00D26131" w:rsidRDefault="00062BC5" w:rsidP="003B1AB3">
            <w:pPr>
              <w:ind w:left="111"/>
            </w:pPr>
            <w:r w:rsidRPr="00D26131">
              <w:t>C</w:t>
            </w:r>
          </w:p>
          <w:p w14:paraId="08918140" w14:textId="77777777" w:rsidR="00062BC5" w:rsidRPr="00D26131" w:rsidRDefault="00062BC5" w:rsidP="003B1AB3">
            <w:pPr>
              <w:ind w:left="111"/>
            </w:pPr>
            <w:r w:rsidRPr="00D26131">
              <w:t>C</w:t>
            </w:r>
          </w:p>
        </w:tc>
      </w:tr>
      <w:tr w:rsidR="00062BC5" w:rsidRPr="00D26131" w14:paraId="6EE28830" w14:textId="77777777" w:rsidTr="003B1AB3">
        <w:trPr>
          <w:trHeight w:val="425"/>
        </w:trPr>
        <w:tc>
          <w:tcPr>
            <w:tcW w:w="2589" w:type="dxa"/>
            <w:vAlign w:val="center"/>
          </w:tcPr>
          <w:p w14:paraId="26851E92" w14:textId="77777777" w:rsidR="00062BC5" w:rsidRPr="00D26131" w:rsidRDefault="00062BC5" w:rsidP="00EA1B2A">
            <w:r w:rsidRPr="00D26131">
              <w:t>Defaulting Grade</w:t>
            </w:r>
          </w:p>
        </w:tc>
        <w:tc>
          <w:tcPr>
            <w:tcW w:w="1119" w:type="dxa"/>
            <w:vAlign w:val="center"/>
          </w:tcPr>
          <w:p w14:paraId="5BF29DE1" w14:textId="77777777" w:rsidR="00062BC5" w:rsidRPr="00D26131" w:rsidRDefault="00062BC5" w:rsidP="003B1AB3">
            <w:pPr>
              <w:ind w:left="111"/>
            </w:pPr>
            <w:r w:rsidRPr="00D26131">
              <w:t>D</w:t>
            </w:r>
          </w:p>
        </w:tc>
        <w:tc>
          <w:tcPr>
            <w:tcW w:w="1414" w:type="dxa"/>
            <w:vAlign w:val="center"/>
          </w:tcPr>
          <w:p w14:paraId="059FAE96" w14:textId="77777777" w:rsidR="00062BC5" w:rsidRPr="00D26131" w:rsidRDefault="00062BC5" w:rsidP="003B1AB3">
            <w:pPr>
              <w:ind w:left="111"/>
            </w:pPr>
            <w:r w:rsidRPr="00D26131">
              <w:t>D</w:t>
            </w:r>
          </w:p>
        </w:tc>
        <w:tc>
          <w:tcPr>
            <w:tcW w:w="1106" w:type="dxa"/>
            <w:vAlign w:val="center"/>
          </w:tcPr>
          <w:p w14:paraId="59F96EE8" w14:textId="77777777" w:rsidR="00062BC5" w:rsidRPr="00D26131" w:rsidRDefault="00062BC5" w:rsidP="003B1AB3">
            <w:pPr>
              <w:ind w:left="111"/>
            </w:pPr>
            <w:r w:rsidRPr="00D26131">
              <w:t>C</w:t>
            </w:r>
          </w:p>
        </w:tc>
        <w:tc>
          <w:tcPr>
            <w:tcW w:w="1427" w:type="dxa"/>
            <w:vAlign w:val="center"/>
          </w:tcPr>
          <w:p w14:paraId="51209FE2" w14:textId="77777777" w:rsidR="00062BC5" w:rsidRPr="00D26131" w:rsidRDefault="00062BC5" w:rsidP="003B1AB3">
            <w:pPr>
              <w:ind w:left="111"/>
            </w:pPr>
            <w:r w:rsidRPr="00D26131">
              <w:t>NP</w:t>
            </w:r>
          </w:p>
        </w:tc>
        <w:tc>
          <w:tcPr>
            <w:tcW w:w="1093" w:type="dxa"/>
            <w:vAlign w:val="center"/>
          </w:tcPr>
          <w:p w14:paraId="6BA286A1" w14:textId="77777777" w:rsidR="00062BC5" w:rsidRPr="00D26131" w:rsidRDefault="00062BC5" w:rsidP="003B1AB3">
            <w:pPr>
              <w:ind w:left="111"/>
            </w:pPr>
            <w:r w:rsidRPr="00D26131">
              <w:t>D</w:t>
            </w:r>
          </w:p>
        </w:tc>
        <w:tc>
          <w:tcPr>
            <w:tcW w:w="1440" w:type="dxa"/>
            <w:vAlign w:val="center"/>
          </w:tcPr>
          <w:p w14:paraId="5513AD0C" w14:textId="77777777" w:rsidR="00062BC5" w:rsidRPr="00D26131" w:rsidRDefault="00062BC5" w:rsidP="003B1AB3">
            <w:pPr>
              <w:ind w:left="111"/>
            </w:pPr>
            <w:r w:rsidRPr="00D26131">
              <w:t>D</w:t>
            </w:r>
          </w:p>
        </w:tc>
      </w:tr>
    </w:tbl>
    <w:p w14:paraId="038F89AF" w14:textId="77777777" w:rsidR="00062BC5" w:rsidRPr="00D26131" w:rsidRDefault="00062BC5" w:rsidP="005A2A46"/>
    <w:p w14:paraId="34A1B5F2" w14:textId="77777777" w:rsidR="00062BC5" w:rsidRPr="00D26131" w:rsidRDefault="00062BC5" w:rsidP="005A2A46">
      <w:r w:rsidRPr="00D26131">
        <w:t># for the purpose of standardisation based on Standard and Poor’s credit rating definitions.</w:t>
      </w:r>
    </w:p>
    <w:p w14:paraId="3ACDE7AC" w14:textId="77777777" w:rsidR="00062BC5" w:rsidRPr="00D26131" w:rsidRDefault="00062BC5" w:rsidP="005A2A46">
      <w:r w:rsidRPr="00D26131">
        <w:t>* NP – Not Prime</w:t>
      </w:r>
    </w:p>
    <w:p w14:paraId="083D7466" w14:textId="77777777" w:rsidR="00062BC5" w:rsidRPr="00D26131" w:rsidRDefault="00062BC5" w:rsidP="005A2A46">
      <w:r w:rsidRPr="00D26131">
        <w:br/>
        <w:t>Source:  Audit Commission adaptation of information from Fitch, Moody’s and Standard &amp; Poor’s</w:t>
      </w:r>
    </w:p>
    <w:p w14:paraId="38A72866" w14:textId="77777777" w:rsidR="00B708B8" w:rsidRPr="00D26131" w:rsidRDefault="00062BC5" w:rsidP="00F9071C">
      <w:pPr>
        <w:rPr>
          <w:sz w:val="22"/>
          <w:szCs w:val="22"/>
          <w:highlight w:val="yellow"/>
        </w:rPr>
      </w:pPr>
      <w:r w:rsidRPr="00D26131">
        <w:rPr>
          <w:b/>
          <w:color w:val="993366"/>
          <w:sz w:val="22"/>
          <w:szCs w:val="22"/>
          <w:highlight w:val="yellow"/>
        </w:rPr>
        <w:br w:type="page"/>
      </w:r>
    </w:p>
    <w:p w14:paraId="7FC5A57F" w14:textId="0614CA46" w:rsidR="00062BC5" w:rsidRPr="00D26131" w:rsidRDefault="00F4519B" w:rsidP="00E51B6F">
      <w:pPr>
        <w:pStyle w:val="BodyText"/>
        <w:rPr>
          <w:rFonts w:ascii="Arial" w:hAnsi="Arial" w:cs="Arial"/>
          <w:iCs/>
          <w:sz w:val="28"/>
          <w:szCs w:val="28"/>
        </w:rPr>
      </w:pPr>
      <w:r>
        <w:rPr>
          <w:rFonts w:ascii="Arial" w:hAnsi="Arial" w:cs="Arial"/>
          <w:b/>
          <w:color w:val="993366"/>
          <w:sz w:val="28"/>
          <w:szCs w:val="28"/>
        </w:rPr>
        <w:t>ANNEX J: INVESTMENT PERFORMANCE/RISK BENCHMARKING</w:t>
      </w:r>
      <w:r w:rsidR="00062BC5" w:rsidRPr="00D26131">
        <w:rPr>
          <w:rFonts w:ascii="Arial" w:hAnsi="Arial" w:cs="Arial"/>
          <w:b/>
          <w:color w:val="993366"/>
          <w:sz w:val="28"/>
          <w:szCs w:val="28"/>
        </w:rPr>
        <w:t xml:space="preserve"> </w:t>
      </w:r>
    </w:p>
    <w:p w14:paraId="5C6AEE2C" w14:textId="57C1EA8A"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br/>
        <w:t xml:space="preserve">The consideration and approval of security and liquidity benchmarks are also part of Member reporting. These benchmarks are targets and so may be breached from time to time. Any breach will be reported, with supporting reasons, in the </w:t>
      </w:r>
      <w:r w:rsidR="00E51B6F">
        <w:rPr>
          <w:rFonts w:ascii="Arial" w:hAnsi="Arial" w:cs="Arial"/>
          <w:iCs/>
          <w:sz w:val="22"/>
          <w:szCs w:val="22"/>
        </w:rPr>
        <w:t>A</w:t>
      </w:r>
      <w:r w:rsidRPr="00D26131">
        <w:rPr>
          <w:rFonts w:ascii="Arial" w:hAnsi="Arial" w:cs="Arial"/>
          <w:iCs/>
          <w:sz w:val="22"/>
          <w:szCs w:val="22"/>
        </w:rPr>
        <w:t xml:space="preserve">nnual </w:t>
      </w:r>
      <w:r w:rsidR="00E51B6F">
        <w:rPr>
          <w:rFonts w:ascii="Arial" w:hAnsi="Arial" w:cs="Arial"/>
          <w:iCs/>
          <w:sz w:val="22"/>
          <w:szCs w:val="22"/>
        </w:rPr>
        <w:t>T</w:t>
      </w:r>
      <w:r w:rsidRPr="00D26131">
        <w:rPr>
          <w:rFonts w:ascii="Arial" w:hAnsi="Arial" w:cs="Arial"/>
          <w:iCs/>
          <w:sz w:val="22"/>
          <w:szCs w:val="22"/>
        </w:rPr>
        <w:t xml:space="preserve">reasury </w:t>
      </w:r>
      <w:r w:rsidR="00E51B6F">
        <w:rPr>
          <w:rFonts w:ascii="Arial" w:hAnsi="Arial" w:cs="Arial"/>
          <w:iCs/>
          <w:sz w:val="22"/>
          <w:szCs w:val="22"/>
        </w:rPr>
        <w:t>R</w:t>
      </w:r>
      <w:r w:rsidRPr="00D26131">
        <w:rPr>
          <w:rFonts w:ascii="Arial" w:hAnsi="Arial" w:cs="Arial"/>
          <w:iCs/>
          <w:sz w:val="22"/>
          <w:szCs w:val="22"/>
        </w:rPr>
        <w:t>eport.</w:t>
      </w:r>
    </w:p>
    <w:p w14:paraId="0D4003B3" w14:textId="77777777" w:rsidR="00062BC5" w:rsidRPr="00D26131" w:rsidRDefault="00062BC5" w:rsidP="00E51B6F">
      <w:pPr>
        <w:pStyle w:val="BodyText"/>
        <w:rPr>
          <w:rFonts w:ascii="Arial" w:hAnsi="Arial" w:cs="Arial"/>
          <w:iCs/>
          <w:sz w:val="22"/>
          <w:szCs w:val="22"/>
        </w:rPr>
      </w:pPr>
    </w:p>
    <w:p w14:paraId="6BDAAB36" w14:textId="77777777" w:rsidR="00062BC5" w:rsidRPr="00D26131" w:rsidRDefault="00062BC5" w:rsidP="00E51B6F">
      <w:pPr>
        <w:pStyle w:val="BodyText"/>
        <w:rPr>
          <w:rFonts w:ascii="Arial" w:hAnsi="Arial" w:cs="Arial"/>
          <w:b/>
          <w:iCs/>
          <w:sz w:val="22"/>
          <w:szCs w:val="22"/>
        </w:rPr>
      </w:pPr>
      <w:r w:rsidRPr="00D26131">
        <w:rPr>
          <w:rFonts w:ascii="Arial" w:hAnsi="Arial" w:cs="Arial"/>
          <w:b/>
          <w:iCs/>
          <w:sz w:val="22"/>
          <w:szCs w:val="22"/>
        </w:rPr>
        <w:t>Yield</w:t>
      </w:r>
    </w:p>
    <w:p w14:paraId="3EE737DE" w14:textId="77777777"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t>These benchmarks are currently widely used to assess investment performance. Local measures of yield benchmarks are:</w:t>
      </w:r>
      <w:r w:rsidRPr="00D26131">
        <w:rPr>
          <w:rFonts w:ascii="Arial" w:hAnsi="Arial" w:cs="Arial"/>
          <w:iCs/>
          <w:sz w:val="22"/>
          <w:szCs w:val="22"/>
        </w:rPr>
        <w:br/>
      </w:r>
    </w:p>
    <w:p w14:paraId="4757263A" w14:textId="4B901B8A" w:rsidR="00062BC5" w:rsidRPr="00D26131" w:rsidRDefault="00062BC5" w:rsidP="00E51B6F">
      <w:pPr>
        <w:pStyle w:val="BodyText"/>
        <w:ind w:left="1440"/>
        <w:rPr>
          <w:rFonts w:ascii="Arial" w:hAnsi="Arial" w:cs="Arial"/>
          <w:iCs/>
          <w:sz w:val="22"/>
          <w:szCs w:val="22"/>
        </w:rPr>
      </w:pPr>
      <w:r w:rsidRPr="00D26131">
        <w:rPr>
          <w:rFonts w:ascii="Arial" w:hAnsi="Arial" w:cs="Arial"/>
          <w:iCs/>
          <w:sz w:val="22"/>
          <w:szCs w:val="22"/>
        </w:rPr>
        <w:t xml:space="preserve">Investments – </w:t>
      </w:r>
      <w:r w:rsidRPr="00D26131">
        <w:rPr>
          <w:rFonts w:ascii="Arial" w:hAnsi="Arial" w:cs="Arial"/>
          <w:b/>
          <w:iCs/>
          <w:sz w:val="22"/>
          <w:szCs w:val="22"/>
        </w:rPr>
        <w:t xml:space="preserve">Internal returns above the </w:t>
      </w:r>
      <w:r w:rsidR="00D26131" w:rsidRPr="00D26131">
        <w:rPr>
          <w:rFonts w:ascii="Arial" w:hAnsi="Arial" w:cs="Arial"/>
          <w:b/>
          <w:iCs/>
          <w:sz w:val="22"/>
          <w:szCs w:val="22"/>
          <w:lang w:val="en-GB"/>
        </w:rPr>
        <w:t xml:space="preserve">365 </w:t>
      </w:r>
      <w:proofErr w:type="gramStart"/>
      <w:r w:rsidR="00D26131" w:rsidRPr="00D26131">
        <w:rPr>
          <w:rFonts w:ascii="Arial" w:hAnsi="Arial" w:cs="Arial"/>
          <w:b/>
          <w:iCs/>
          <w:sz w:val="22"/>
          <w:szCs w:val="22"/>
          <w:lang w:val="en-GB"/>
        </w:rPr>
        <w:t>day</w:t>
      </w:r>
      <w:proofErr w:type="gramEnd"/>
      <w:r w:rsidR="00D26131" w:rsidRPr="00D26131">
        <w:rPr>
          <w:rFonts w:ascii="Arial" w:hAnsi="Arial" w:cs="Arial"/>
          <w:b/>
          <w:iCs/>
          <w:sz w:val="22"/>
          <w:szCs w:val="22"/>
          <w:lang w:val="en-GB"/>
        </w:rPr>
        <w:t xml:space="preserve"> backward looking SONIA (Sterling</w:t>
      </w:r>
      <w:r w:rsidR="00E51B6F">
        <w:rPr>
          <w:rFonts w:ascii="Arial" w:hAnsi="Arial" w:cs="Arial"/>
          <w:b/>
          <w:iCs/>
          <w:sz w:val="22"/>
          <w:szCs w:val="22"/>
          <w:lang w:val="en-GB"/>
        </w:rPr>
        <w:t xml:space="preserve"> </w:t>
      </w:r>
      <w:r w:rsidR="00D26131" w:rsidRPr="00D26131">
        <w:rPr>
          <w:rFonts w:ascii="Arial" w:hAnsi="Arial" w:cs="Arial"/>
          <w:b/>
          <w:iCs/>
          <w:sz w:val="22"/>
          <w:szCs w:val="22"/>
          <w:lang w:val="en-GB"/>
        </w:rPr>
        <w:t>Overnight Index Average) uncompounded rate</w:t>
      </w:r>
      <w:r w:rsidRPr="00D26131">
        <w:rPr>
          <w:rFonts w:ascii="Arial" w:hAnsi="Arial" w:cs="Arial"/>
          <w:b/>
          <w:iCs/>
          <w:sz w:val="22"/>
          <w:szCs w:val="22"/>
        </w:rPr>
        <w:br/>
      </w:r>
    </w:p>
    <w:p w14:paraId="75624C18" w14:textId="6BA873F0"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t xml:space="preserve">Security and liquidity benchmarks are already intrinsic to the approved </w:t>
      </w:r>
      <w:r w:rsidR="00E51B6F">
        <w:rPr>
          <w:rFonts w:ascii="Arial" w:hAnsi="Arial" w:cs="Arial"/>
          <w:iCs/>
          <w:sz w:val="22"/>
          <w:szCs w:val="22"/>
        </w:rPr>
        <w:t>T</w:t>
      </w:r>
      <w:r w:rsidRPr="00D26131">
        <w:rPr>
          <w:rFonts w:ascii="Arial" w:hAnsi="Arial" w:cs="Arial"/>
          <w:iCs/>
          <w:sz w:val="22"/>
          <w:szCs w:val="22"/>
        </w:rPr>
        <w:t xml:space="preserve">reasury </w:t>
      </w:r>
      <w:r w:rsidR="00E51B6F">
        <w:rPr>
          <w:rFonts w:ascii="Arial" w:hAnsi="Arial" w:cs="Arial"/>
          <w:iCs/>
          <w:sz w:val="22"/>
          <w:szCs w:val="22"/>
        </w:rPr>
        <w:t>S</w:t>
      </w:r>
      <w:r w:rsidRPr="00D26131">
        <w:rPr>
          <w:rFonts w:ascii="Arial" w:hAnsi="Arial" w:cs="Arial"/>
          <w:iCs/>
          <w:sz w:val="22"/>
          <w:szCs w:val="22"/>
        </w:rPr>
        <w:t>trategy through the counterparty selection criteria and some of the prudential indicators. Benchmarks for the cash type investments are below. In the other investment categories, appropriate benchmarks will be used where available.</w:t>
      </w:r>
    </w:p>
    <w:p w14:paraId="570E2A6E" w14:textId="77777777" w:rsidR="00062BC5" w:rsidRPr="00D26131" w:rsidRDefault="00062BC5" w:rsidP="00E51B6F">
      <w:pPr>
        <w:pStyle w:val="BodyText"/>
        <w:rPr>
          <w:rFonts w:ascii="Arial" w:hAnsi="Arial" w:cs="Arial"/>
          <w:iCs/>
          <w:sz w:val="22"/>
          <w:szCs w:val="22"/>
        </w:rPr>
      </w:pPr>
    </w:p>
    <w:p w14:paraId="557EA596" w14:textId="77777777" w:rsidR="00062BC5" w:rsidRPr="00D26131" w:rsidRDefault="00062BC5" w:rsidP="00E51B6F">
      <w:pPr>
        <w:pStyle w:val="BodyText"/>
        <w:rPr>
          <w:rFonts w:ascii="Arial" w:hAnsi="Arial" w:cs="Arial"/>
          <w:iCs/>
          <w:sz w:val="22"/>
          <w:szCs w:val="22"/>
        </w:rPr>
      </w:pPr>
      <w:r w:rsidRPr="00D26131">
        <w:rPr>
          <w:rFonts w:ascii="Arial" w:hAnsi="Arial" w:cs="Arial"/>
          <w:b/>
          <w:iCs/>
          <w:sz w:val="22"/>
          <w:szCs w:val="22"/>
        </w:rPr>
        <w:t>Liquidity</w:t>
      </w:r>
    </w:p>
    <w:p w14:paraId="76A34D58" w14:textId="77777777"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t>This is defined as an organisation “having adequate, though not excessive, cash resources, borrowing arrangements, overdrafts or standby facilities to enable it at all times to have the level of funds available to it which are necessary for the achievement of its business/service objectives” (CIPFA Treasury Management Code of Practice). In respect of liquidity, the Council seeks to maintain:</w:t>
      </w:r>
    </w:p>
    <w:p w14:paraId="71DB31B6" w14:textId="77777777" w:rsidR="00062BC5" w:rsidRPr="00D26131" w:rsidRDefault="00062BC5" w:rsidP="00E51B6F">
      <w:pPr>
        <w:pStyle w:val="BodyText"/>
        <w:rPr>
          <w:rFonts w:ascii="Arial" w:hAnsi="Arial" w:cs="Arial"/>
          <w:iCs/>
          <w:sz w:val="22"/>
          <w:szCs w:val="22"/>
        </w:rPr>
      </w:pPr>
    </w:p>
    <w:p w14:paraId="010EFFFE" w14:textId="3874A4EA" w:rsidR="00062BC5" w:rsidRPr="00E51B6F" w:rsidRDefault="00E51B6F" w:rsidP="00E51B6F">
      <w:pPr>
        <w:pStyle w:val="BodyText"/>
        <w:tabs>
          <w:tab w:val="num" w:pos="1440"/>
        </w:tabs>
        <w:rPr>
          <w:b/>
          <w:bCs/>
        </w:rPr>
      </w:pPr>
      <w:r>
        <w:rPr>
          <w:rFonts w:ascii="Arial" w:hAnsi="Arial" w:cs="Arial"/>
          <w:iCs/>
          <w:sz w:val="22"/>
          <w:szCs w:val="22"/>
        </w:rPr>
        <w:tab/>
      </w:r>
      <w:r w:rsidR="00062BC5" w:rsidRPr="00E51B6F">
        <w:rPr>
          <w:rFonts w:ascii="Arial" w:hAnsi="Arial" w:cs="Arial"/>
          <w:b/>
          <w:bCs/>
          <w:iCs/>
          <w:sz w:val="22"/>
          <w:szCs w:val="22"/>
        </w:rPr>
        <w:t>Bank overdraft - £</w:t>
      </w:r>
      <w:r w:rsidR="00BD6A76" w:rsidRPr="00E51B6F">
        <w:rPr>
          <w:rFonts w:ascii="Arial" w:hAnsi="Arial" w:cs="Arial"/>
          <w:b/>
          <w:bCs/>
          <w:iCs/>
          <w:sz w:val="22"/>
          <w:szCs w:val="22"/>
        </w:rPr>
        <w:t>2</w:t>
      </w:r>
      <w:r w:rsidR="00062BC5" w:rsidRPr="00E51B6F">
        <w:rPr>
          <w:rFonts w:ascii="Arial" w:hAnsi="Arial" w:cs="Arial"/>
          <w:b/>
          <w:bCs/>
          <w:iCs/>
          <w:sz w:val="22"/>
          <w:szCs w:val="22"/>
        </w:rPr>
        <w:t>,</w:t>
      </w:r>
      <w:r w:rsidR="006453A1" w:rsidRPr="00E51B6F">
        <w:rPr>
          <w:rFonts w:ascii="Arial" w:hAnsi="Arial" w:cs="Arial"/>
          <w:b/>
          <w:bCs/>
          <w:iCs/>
          <w:sz w:val="22"/>
          <w:szCs w:val="22"/>
        </w:rPr>
        <w:t>000,</w:t>
      </w:r>
      <w:r w:rsidR="00062BC5" w:rsidRPr="00E51B6F">
        <w:rPr>
          <w:rFonts w:ascii="Arial" w:hAnsi="Arial" w:cs="Arial"/>
          <w:b/>
          <w:bCs/>
          <w:iCs/>
          <w:sz w:val="22"/>
          <w:szCs w:val="22"/>
        </w:rPr>
        <w:t>000</w:t>
      </w:r>
    </w:p>
    <w:p w14:paraId="377F63E7" w14:textId="09791DC6" w:rsidR="00062BC5" w:rsidRPr="00D26131" w:rsidRDefault="00062BC5" w:rsidP="00E51B6F">
      <w:pPr>
        <w:pStyle w:val="BodyText"/>
        <w:tabs>
          <w:tab w:val="num" w:pos="1440"/>
        </w:tabs>
        <w:ind w:left="1440"/>
      </w:pPr>
      <w:r w:rsidRPr="00E51B6F">
        <w:rPr>
          <w:rFonts w:ascii="Arial" w:hAnsi="Arial" w:cs="Arial"/>
          <w:b/>
          <w:bCs/>
          <w:iCs/>
          <w:sz w:val="22"/>
          <w:szCs w:val="22"/>
        </w:rPr>
        <w:t xml:space="preserve">Liquid </w:t>
      </w:r>
      <w:proofErr w:type="gramStart"/>
      <w:r w:rsidRPr="00E51B6F">
        <w:rPr>
          <w:rFonts w:ascii="Arial" w:hAnsi="Arial" w:cs="Arial"/>
          <w:b/>
          <w:bCs/>
          <w:iCs/>
          <w:sz w:val="22"/>
          <w:szCs w:val="22"/>
        </w:rPr>
        <w:t>short term</w:t>
      </w:r>
      <w:proofErr w:type="gramEnd"/>
      <w:r w:rsidRPr="00E51B6F">
        <w:rPr>
          <w:rFonts w:ascii="Arial" w:hAnsi="Arial" w:cs="Arial"/>
          <w:b/>
          <w:bCs/>
          <w:iCs/>
          <w:sz w:val="22"/>
          <w:szCs w:val="22"/>
        </w:rPr>
        <w:t xml:space="preserve"> deposits of at least £</w:t>
      </w:r>
      <w:r w:rsidR="00FB4DFE" w:rsidRPr="00E51B6F">
        <w:rPr>
          <w:rFonts w:ascii="Arial" w:hAnsi="Arial" w:cs="Arial"/>
          <w:b/>
          <w:bCs/>
          <w:iCs/>
          <w:sz w:val="22"/>
          <w:szCs w:val="22"/>
        </w:rPr>
        <w:t>1</w:t>
      </w:r>
      <w:r w:rsidRPr="00E51B6F">
        <w:rPr>
          <w:rFonts w:ascii="Arial" w:hAnsi="Arial" w:cs="Arial"/>
          <w:b/>
          <w:bCs/>
          <w:iCs/>
          <w:sz w:val="22"/>
          <w:szCs w:val="22"/>
        </w:rPr>
        <w:t>,</w:t>
      </w:r>
      <w:r w:rsidR="00FB4DFE" w:rsidRPr="00E51B6F">
        <w:rPr>
          <w:rFonts w:ascii="Arial" w:hAnsi="Arial" w:cs="Arial"/>
          <w:b/>
          <w:bCs/>
          <w:iCs/>
          <w:sz w:val="22"/>
          <w:szCs w:val="22"/>
        </w:rPr>
        <w:t>5</w:t>
      </w:r>
      <w:r w:rsidRPr="00E51B6F">
        <w:rPr>
          <w:rFonts w:ascii="Arial" w:hAnsi="Arial" w:cs="Arial"/>
          <w:b/>
          <w:bCs/>
          <w:iCs/>
          <w:sz w:val="22"/>
          <w:szCs w:val="22"/>
        </w:rPr>
        <w:t>00,000 available with a week’s notice</w:t>
      </w:r>
    </w:p>
    <w:p w14:paraId="2D286A57" w14:textId="77777777" w:rsidR="00062BC5" w:rsidRPr="00D26131" w:rsidRDefault="00062BC5" w:rsidP="00E51B6F">
      <w:pPr>
        <w:pStyle w:val="BodyText"/>
        <w:tabs>
          <w:tab w:val="num" w:pos="1440"/>
        </w:tabs>
      </w:pPr>
    </w:p>
    <w:p w14:paraId="02844D3F" w14:textId="77777777"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t>The availability of liquidity in the portfolio can be benchmarked by the monitoring of the Weighted Average Life (WAL) of the portfolio – shorter WAL would generally embody less risk. In this respect, the proposed benchmark to be used is:</w:t>
      </w:r>
    </w:p>
    <w:p w14:paraId="289421DC" w14:textId="77777777" w:rsidR="00062BC5" w:rsidRPr="00D26131" w:rsidRDefault="00062BC5" w:rsidP="00E51B6F">
      <w:pPr>
        <w:pStyle w:val="BodyText"/>
        <w:rPr>
          <w:rFonts w:ascii="Arial" w:hAnsi="Arial" w:cs="Arial"/>
          <w:iCs/>
          <w:sz w:val="22"/>
          <w:szCs w:val="22"/>
        </w:rPr>
      </w:pPr>
    </w:p>
    <w:p w14:paraId="55E3C2B3" w14:textId="77777777" w:rsidR="00062BC5" w:rsidRPr="00D26131" w:rsidRDefault="00062BC5" w:rsidP="00E51B6F">
      <w:pPr>
        <w:pStyle w:val="BodyText2"/>
        <w:autoSpaceDE w:val="0"/>
        <w:autoSpaceDN w:val="0"/>
        <w:adjustRightInd w:val="0"/>
        <w:ind w:left="720" w:firstLine="720"/>
        <w:jc w:val="both"/>
        <w:rPr>
          <w:rFonts w:ascii="Arial" w:hAnsi="Arial" w:cs="Arial"/>
          <w:szCs w:val="22"/>
        </w:rPr>
      </w:pPr>
      <w:r w:rsidRPr="00D26131">
        <w:rPr>
          <w:rFonts w:ascii="Arial" w:hAnsi="Arial" w:cs="Arial"/>
          <w:b/>
          <w:bCs/>
          <w:iCs/>
          <w:szCs w:val="22"/>
        </w:rPr>
        <w:t>WAL benchmark is expected to be 0.5 years, with a maximum of 1.00 years</w:t>
      </w:r>
      <w:r w:rsidRPr="00D26131">
        <w:rPr>
          <w:rFonts w:ascii="Arial" w:hAnsi="Arial" w:cs="Arial"/>
          <w:szCs w:val="22"/>
        </w:rPr>
        <w:t>.</w:t>
      </w:r>
    </w:p>
    <w:p w14:paraId="1DB12C57" w14:textId="77777777" w:rsidR="00062BC5" w:rsidRPr="00D26131" w:rsidRDefault="00062BC5" w:rsidP="00E51B6F">
      <w:pPr>
        <w:pStyle w:val="BodyText2"/>
        <w:autoSpaceDE w:val="0"/>
        <w:autoSpaceDN w:val="0"/>
        <w:adjustRightInd w:val="0"/>
        <w:jc w:val="both"/>
        <w:rPr>
          <w:rFonts w:ascii="Arial" w:hAnsi="Arial" w:cs="Arial"/>
          <w:szCs w:val="22"/>
        </w:rPr>
      </w:pPr>
    </w:p>
    <w:p w14:paraId="30FEBAE1" w14:textId="77777777" w:rsidR="00062BC5" w:rsidRPr="00D26131" w:rsidRDefault="00062BC5" w:rsidP="00E51B6F">
      <w:pPr>
        <w:pStyle w:val="BodyText"/>
        <w:rPr>
          <w:rFonts w:ascii="Arial" w:hAnsi="Arial" w:cs="Arial"/>
          <w:b/>
          <w:iCs/>
          <w:sz w:val="22"/>
          <w:szCs w:val="22"/>
        </w:rPr>
      </w:pPr>
      <w:r w:rsidRPr="00D26131">
        <w:rPr>
          <w:rFonts w:ascii="Arial" w:hAnsi="Arial" w:cs="Arial"/>
          <w:b/>
          <w:iCs/>
          <w:sz w:val="22"/>
          <w:szCs w:val="22"/>
        </w:rPr>
        <w:t>Security of the investments</w:t>
      </w:r>
    </w:p>
    <w:p w14:paraId="37542933" w14:textId="4D5BE1AE" w:rsidR="00062BC5" w:rsidRPr="00D26131" w:rsidRDefault="00062BC5" w:rsidP="00E51B6F">
      <w:pPr>
        <w:pStyle w:val="BodyText"/>
        <w:rPr>
          <w:rFonts w:ascii="Arial" w:hAnsi="Arial" w:cs="Arial"/>
          <w:iCs/>
          <w:sz w:val="22"/>
          <w:szCs w:val="22"/>
        </w:rPr>
      </w:pPr>
      <w:r w:rsidRPr="00D26131">
        <w:rPr>
          <w:rFonts w:ascii="Arial" w:hAnsi="Arial" w:cs="Arial"/>
          <w:iCs/>
          <w:sz w:val="22"/>
          <w:szCs w:val="22"/>
        </w:rPr>
        <w:t xml:space="preserve">In the context of benchmarking, assessing security is a much more subjective area to assess.  Security is currently evidenced by the application of minimum credit quality criteria to investment counterparties, primarily </w:t>
      </w:r>
      <w:r w:rsidR="00E51B6F" w:rsidRPr="00D26131">
        <w:rPr>
          <w:rFonts w:ascii="Arial" w:hAnsi="Arial" w:cs="Arial"/>
          <w:iCs/>
          <w:sz w:val="22"/>
          <w:szCs w:val="22"/>
        </w:rPr>
        <w:t>using</w:t>
      </w:r>
      <w:r w:rsidRPr="00D26131">
        <w:rPr>
          <w:rFonts w:ascii="Arial" w:hAnsi="Arial" w:cs="Arial"/>
          <w:iCs/>
          <w:sz w:val="22"/>
          <w:szCs w:val="22"/>
        </w:rPr>
        <w:t xml:space="preserve"> the Creditworthiness service provided by </w:t>
      </w:r>
      <w:r w:rsidR="00BD6A76" w:rsidRPr="00D26131">
        <w:rPr>
          <w:rFonts w:ascii="Arial" w:hAnsi="Arial" w:cs="Arial"/>
          <w:iCs/>
          <w:sz w:val="22"/>
          <w:szCs w:val="22"/>
        </w:rPr>
        <w:t>Link Group</w:t>
      </w:r>
      <w:r w:rsidRPr="00D26131">
        <w:rPr>
          <w:rFonts w:ascii="Arial" w:hAnsi="Arial" w:cs="Arial"/>
          <w:iCs/>
          <w:sz w:val="22"/>
          <w:szCs w:val="22"/>
        </w:rPr>
        <w:t xml:space="preserve">. Whilst this approach embodies security considerations, benchmarking levels of risk is more problematic. One method to benchmark security risk is to assess the historic level of default against the minimum criteria used in the Council’s investment strategy.  </w:t>
      </w:r>
    </w:p>
    <w:p w14:paraId="32BD4CBD" w14:textId="77777777" w:rsidR="00062BC5" w:rsidRPr="00D26131" w:rsidRDefault="00062BC5" w:rsidP="00E51B6F">
      <w:pPr>
        <w:pStyle w:val="BodyText"/>
        <w:rPr>
          <w:rFonts w:ascii="Arial" w:hAnsi="Arial" w:cs="Arial"/>
          <w:sz w:val="22"/>
          <w:szCs w:val="22"/>
        </w:rPr>
      </w:pPr>
    </w:p>
    <w:p w14:paraId="2335C5E1" w14:textId="77777777" w:rsidR="00062BC5" w:rsidRPr="00D26131" w:rsidRDefault="00062BC5" w:rsidP="00E51B6F">
      <w:pPr>
        <w:pStyle w:val="BodyText"/>
        <w:rPr>
          <w:rFonts w:ascii="Arial" w:hAnsi="Arial" w:cs="Arial"/>
          <w:sz w:val="22"/>
          <w:szCs w:val="22"/>
        </w:rPr>
      </w:pPr>
      <w:r w:rsidRPr="00D26131">
        <w:rPr>
          <w:rFonts w:ascii="Arial" w:hAnsi="Arial" w:cs="Arial"/>
          <w:sz w:val="22"/>
          <w:szCs w:val="22"/>
        </w:rPr>
        <w:t>The Council’s maximum security risk benchmark for the whole portfolio, when compared to these historic default tables, is:</w:t>
      </w:r>
      <w:r w:rsidRPr="00D26131">
        <w:rPr>
          <w:rFonts w:ascii="Arial" w:hAnsi="Arial" w:cs="Arial"/>
          <w:sz w:val="22"/>
          <w:szCs w:val="22"/>
        </w:rPr>
        <w:br/>
      </w:r>
    </w:p>
    <w:p w14:paraId="60F50CB2" w14:textId="7FE02F8A" w:rsidR="00062BC5" w:rsidRPr="00D26131" w:rsidRDefault="00FE01C8" w:rsidP="00E51B6F">
      <w:pPr>
        <w:pStyle w:val="BodyText2"/>
        <w:autoSpaceDE w:val="0"/>
        <w:autoSpaceDN w:val="0"/>
        <w:adjustRightInd w:val="0"/>
        <w:ind w:left="720" w:firstLine="720"/>
        <w:jc w:val="both"/>
        <w:rPr>
          <w:rFonts w:ascii="Arial" w:hAnsi="Arial" w:cs="Arial"/>
          <w:b/>
          <w:szCs w:val="22"/>
        </w:rPr>
      </w:pPr>
      <w:r w:rsidRPr="00FE01C8">
        <w:rPr>
          <w:rFonts w:ascii="Arial" w:hAnsi="Arial" w:cs="Arial"/>
          <w:b/>
          <w:szCs w:val="22"/>
        </w:rPr>
        <w:t>0.0</w:t>
      </w:r>
      <w:r w:rsidR="00A4393D">
        <w:rPr>
          <w:rFonts w:ascii="Arial" w:hAnsi="Arial" w:cs="Arial"/>
          <w:b/>
          <w:szCs w:val="22"/>
        </w:rPr>
        <w:t>0</w:t>
      </w:r>
      <w:r w:rsidRPr="00FE01C8">
        <w:rPr>
          <w:rFonts w:ascii="Arial" w:hAnsi="Arial" w:cs="Arial"/>
          <w:b/>
          <w:szCs w:val="22"/>
        </w:rPr>
        <w:t>2</w:t>
      </w:r>
      <w:r w:rsidR="00062BC5" w:rsidRPr="00FE01C8">
        <w:rPr>
          <w:rFonts w:ascii="Arial" w:hAnsi="Arial" w:cs="Arial"/>
          <w:b/>
          <w:szCs w:val="22"/>
        </w:rPr>
        <w:t>% historic</w:t>
      </w:r>
      <w:r w:rsidR="00062BC5" w:rsidRPr="00D26131">
        <w:rPr>
          <w:rFonts w:ascii="Arial" w:hAnsi="Arial" w:cs="Arial"/>
          <w:b/>
          <w:szCs w:val="22"/>
        </w:rPr>
        <w:t xml:space="preserve"> risk of default when compared to the whole portfolio.</w:t>
      </w:r>
    </w:p>
    <w:p w14:paraId="33F4FF34" w14:textId="77777777" w:rsidR="00062BC5" w:rsidRPr="00D26131" w:rsidRDefault="00062BC5" w:rsidP="00E51B6F">
      <w:pPr>
        <w:pStyle w:val="BodyText2"/>
        <w:autoSpaceDE w:val="0"/>
        <w:autoSpaceDN w:val="0"/>
        <w:adjustRightInd w:val="0"/>
        <w:jc w:val="both"/>
        <w:rPr>
          <w:rFonts w:ascii="Arial" w:hAnsi="Arial" w:cs="Arial"/>
          <w:b/>
          <w:szCs w:val="22"/>
        </w:rPr>
      </w:pPr>
    </w:p>
    <w:p w14:paraId="58EF2F01" w14:textId="77777777" w:rsidR="00062BC5" w:rsidRPr="00D26131" w:rsidRDefault="00062BC5" w:rsidP="00E51B6F">
      <w:pPr>
        <w:pStyle w:val="BodyText2"/>
        <w:autoSpaceDE w:val="0"/>
        <w:autoSpaceDN w:val="0"/>
        <w:adjustRightInd w:val="0"/>
        <w:rPr>
          <w:rFonts w:ascii="Arial" w:hAnsi="Arial" w:cs="Arial"/>
          <w:b/>
          <w:szCs w:val="22"/>
        </w:rPr>
      </w:pPr>
      <w:r w:rsidRPr="00D26131">
        <w:rPr>
          <w:rFonts w:ascii="Arial" w:hAnsi="Arial" w:cs="Arial"/>
          <w:szCs w:val="22"/>
        </w:rPr>
        <w:t xml:space="preserve">These benchmarks are embodied in the criteria for selecting cash investment counterparties and these will be monitored and reported to Members in the Annual Treasury Management Report. As this data is collated, trends and analysis will be collected and reported. </w:t>
      </w:r>
    </w:p>
    <w:p w14:paraId="6AEB0D48" w14:textId="77777777" w:rsidR="00062BC5" w:rsidRPr="00E51B6F" w:rsidRDefault="00062BC5" w:rsidP="00E51B6F">
      <w:pPr>
        <w:rPr>
          <w:rFonts w:cs="Arial"/>
          <w:b/>
          <w:color w:val="993366"/>
          <w:sz w:val="28"/>
          <w:szCs w:val="28"/>
        </w:rPr>
      </w:pPr>
      <w:r w:rsidRPr="00D26131">
        <w:rPr>
          <w:rFonts w:cs="Arial"/>
          <w:b/>
          <w:color w:val="993366"/>
          <w:sz w:val="32"/>
          <w:szCs w:val="32"/>
        </w:rPr>
        <w:br w:type="page"/>
      </w:r>
      <w:r w:rsidRPr="00E51B6F">
        <w:rPr>
          <w:rFonts w:cs="Arial"/>
          <w:b/>
          <w:color w:val="993366"/>
          <w:sz w:val="28"/>
          <w:szCs w:val="28"/>
        </w:rPr>
        <w:t>GLOSSARY OF TERMS</w:t>
      </w:r>
    </w:p>
    <w:p w14:paraId="56696DC7" w14:textId="77777777" w:rsidR="00062BC5" w:rsidRPr="00D26131" w:rsidRDefault="00062BC5" w:rsidP="00FB710B">
      <w:pPr>
        <w:rPr>
          <w:rFonts w:cs="Arial"/>
          <w:b/>
          <w:color w:val="99336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7534"/>
      </w:tblGrid>
      <w:tr w:rsidR="00062BC5" w:rsidRPr="00D26131" w14:paraId="421CDBE4" w14:textId="77777777" w:rsidTr="00475D55">
        <w:trPr>
          <w:trHeight w:val="251"/>
        </w:trPr>
        <w:tc>
          <w:tcPr>
            <w:tcW w:w="2061" w:type="dxa"/>
          </w:tcPr>
          <w:p w14:paraId="25A5576B" w14:textId="77777777" w:rsidR="00062BC5" w:rsidRPr="00D26131" w:rsidRDefault="00062BC5" w:rsidP="008934A1">
            <w:pPr>
              <w:rPr>
                <w:rFonts w:cs="Arial"/>
                <w:b/>
                <w:sz w:val="22"/>
                <w:szCs w:val="22"/>
              </w:rPr>
            </w:pPr>
            <w:r w:rsidRPr="00D26131">
              <w:rPr>
                <w:rFonts w:cs="Arial"/>
                <w:b/>
                <w:sz w:val="22"/>
                <w:szCs w:val="22"/>
              </w:rPr>
              <w:t>CIPFA</w:t>
            </w:r>
          </w:p>
        </w:tc>
        <w:tc>
          <w:tcPr>
            <w:tcW w:w="7534" w:type="dxa"/>
          </w:tcPr>
          <w:p w14:paraId="53175B78" w14:textId="77777777" w:rsidR="00062BC5" w:rsidRPr="00D26131" w:rsidRDefault="00062BC5" w:rsidP="008934A1">
            <w:pPr>
              <w:rPr>
                <w:rFonts w:cs="Arial"/>
                <w:sz w:val="22"/>
                <w:szCs w:val="22"/>
              </w:rPr>
            </w:pPr>
            <w:r w:rsidRPr="00D26131">
              <w:rPr>
                <w:rFonts w:cs="Arial"/>
                <w:sz w:val="22"/>
                <w:szCs w:val="22"/>
              </w:rPr>
              <w:t>Chartered Institute of Public Finance and Accountancy</w:t>
            </w:r>
          </w:p>
        </w:tc>
      </w:tr>
      <w:tr w:rsidR="00062BC5" w:rsidRPr="00D26131" w14:paraId="36B5B2A7" w14:textId="77777777" w:rsidTr="00475D55">
        <w:tc>
          <w:tcPr>
            <w:tcW w:w="2061" w:type="dxa"/>
          </w:tcPr>
          <w:p w14:paraId="682C96BD" w14:textId="77777777" w:rsidR="00062BC5" w:rsidRPr="00D26131" w:rsidRDefault="00062BC5" w:rsidP="0053030E">
            <w:pPr>
              <w:rPr>
                <w:rFonts w:cs="Arial"/>
                <w:b/>
                <w:sz w:val="22"/>
                <w:szCs w:val="22"/>
              </w:rPr>
            </w:pPr>
            <w:r w:rsidRPr="00D26131">
              <w:rPr>
                <w:rFonts w:cs="Arial"/>
                <w:b/>
                <w:sz w:val="22"/>
                <w:szCs w:val="22"/>
              </w:rPr>
              <w:t>CIPFA Code</w:t>
            </w:r>
          </w:p>
        </w:tc>
        <w:tc>
          <w:tcPr>
            <w:tcW w:w="7534" w:type="dxa"/>
          </w:tcPr>
          <w:p w14:paraId="119FB37E" w14:textId="77777777" w:rsidR="00062BC5" w:rsidRPr="00D26131" w:rsidRDefault="00062BC5" w:rsidP="00584713">
            <w:pPr>
              <w:rPr>
                <w:rFonts w:cs="Arial"/>
                <w:sz w:val="22"/>
                <w:szCs w:val="22"/>
              </w:rPr>
            </w:pPr>
            <w:r w:rsidRPr="00D26131">
              <w:rPr>
                <w:rFonts w:cs="Arial"/>
                <w:sz w:val="22"/>
                <w:szCs w:val="22"/>
              </w:rPr>
              <w:t>Treasury Management in the Public Services: Code of Practice and Cross-Sectoral Guidance Notes</w:t>
            </w:r>
          </w:p>
        </w:tc>
      </w:tr>
      <w:tr w:rsidR="00062BC5" w:rsidRPr="00D26131" w14:paraId="42522A5A" w14:textId="77777777" w:rsidTr="00475D55">
        <w:tc>
          <w:tcPr>
            <w:tcW w:w="2061" w:type="dxa"/>
          </w:tcPr>
          <w:p w14:paraId="73938E40" w14:textId="77777777" w:rsidR="00062BC5" w:rsidRPr="00D26131" w:rsidRDefault="00062BC5" w:rsidP="008934A1">
            <w:pPr>
              <w:rPr>
                <w:rFonts w:cs="Arial"/>
                <w:b/>
                <w:sz w:val="22"/>
                <w:szCs w:val="22"/>
              </w:rPr>
            </w:pPr>
            <w:r w:rsidRPr="00D26131">
              <w:rPr>
                <w:rFonts w:cs="Arial"/>
                <w:b/>
                <w:sz w:val="22"/>
                <w:szCs w:val="22"/>
              </w:rPr>
              <w:t>CFR</w:t>
            </w:r>
          </w:p>
          <w:p w14:paraId="7EC5286E" w14:textId="77777777" w:rsidR="00062BC5" w:rsidRPr="00D26131" w:rsidRDefault="00062BC5" w:rsidP="008934A1">
            <w:pPr>
              <w:rPr>
                <w:rFonts w:cs="Arial"/>
                <w:b/>
                <w:sz w:val="22"/>
                <w:szCs w:val="22"/>
              </w:rPr>
            </w:pPr>
          </w:p>
        </w:tc>
        <w:tc>
          <w:tcPr>
            <w:tcW w:w="7534" w:type="dxa"/>
          </w:tcPr>
          <w:p w14:paraId="6CACF57A" w14:textId="77777777" w:rsidR="00062BC5" w:rsidRPr="00D26131" w:rsidRDefault="00062BC5" w:rsidP="006B58E4">
            <w:pPr>
              <w:pStyle w:val="Header"/>
              <w:tabs>
                <w:tab w:val="clear" w:pos="4153"/>
                <w:tab w:val="clear" w:pos="8306"/>
              </w:tabs>
              <w:rPr>
                <w:rFonts w:cs="Arial"/>
                <w:sz w:val="22"/>
                <w:szCs w:val="22"/>
              </w:rPr>
            </w:pPr>
            <w:r w:rsidRPr="00D26131">
              <w:rPr>
                <w:rFonts w:cs="Arial"/>
                <w:sz w:val="22"/>
                <w:szCs w:val="22"/>
              </w:rPr>
              <w:t xml:space="preserve">Capital Financing Requirement is the estimated level of borrowing or financing needed to fund capital expenditure. </w:t>
            </w:r>
          </w:p>
        </w:tc>
      </w:tr>
      <w:tr w:rsidR="00062BC5" w:rsidRPr="00D26131" w14:paraId="5EEF70C1" w14:textId="77777777" w:rsidTr="00475D55">
        <w:tc>
          <w:tcPr>
            <w:tcW w:w="2061" w:type="dxa"/>
          </w:tcPr>
          <w:p w14:paraId="652FA139" w14:textId="77777777" w:rsidR="00062BC5" w:rsidRPr="00D26131" w:rsidRDefault="00062BC5" w:rsidP="008934A1">
            <w:pPr>
              <w:rPr>
                <w:rFonts w:cs="Arial"/>
                <w:b/>
                <w:sz w:val="22"/>
                <w:szCs w:val="22"/>
              </w:rPr>
            </w:pPr>
            <w:r w:rsidRPr="00D26131">
              <w:rPr>
                <w:rFonts w:cs="Arial"/>
                <w:b/>
                <w:sz w:val="22"/>
                <w:szCs w:val="22"/>
              </w:rPr>
              <w:t>Consent to Borrow</w:t>
            </w:r>
          </w:p>
        </w:tc>
        <w:tc>
          <w:tcPr>
            <w:tcW w:w="7534" w:type="dxa"/>
          </w:tcPr>
          <w:p w14:paraId="6F490270" w14:textId="77777777" w:rsidR="00062BC5" w:rsidRPr="00D26131" w:rsidRDefault="00062BC5" w:rsidP="008934A1">
            <w:pPr>
              <w:rPr>
                <w:sz w:val="22"/>
                <w:szCs w:val="22"/>
              </w:rPr>
            </w:pPr>
            <w:r w:rsidRPr="00D26131">
              <w:rPr>
                <w:sz w:val="22"/>
                <w:szCs w:val="22"/>
              </w:rPr>
              <w:t xml:space="preserve">Para 1 (1) of Schedule 3 of the Local Government (Scotland) Act 1975 (the 1975 Act) effectively restricts local authorities to </w:t>
            </w:r>
            <w:r w:rsidRPr="00D26131">
              <w:rPr>
                <w:rStyle w:val="searchword"/>
                <w:sz w:val="22"/>
                <w:szCs w:val="22"/>
              </w:rPr>
              <w:t>borrow</w:t>
            </w:r>
            <w:r w:rsidRPr="00D26131">
              <w:rPr>
                <w:sz w:val="22"/>
                <w:szCs w:val="22"/>
              </w:rPr>
              <w:t xml:space="preserve">ing only for capital expenditure. Under the legislation Scottish Ministers may provide </w:t>
            </w:r>
            <w:r w:rsidRPr="00D26131">
              <w:rPr>
                <w:rStyle w:val="searchword"/>
                <w:sz w:val="22"/>
                <w:szCs w:val="22"/>
              </w:rPr>
              <w:t>consent</w:t>
            </w:r>
            <w:r w:rsidRPr="00D26131">
              <w:rPr>
                <w:sz w:val="22"/>
                <w:szCs w:val="22"/>
              </w:rPr>
              <w:t xml:space="preserve"> for local authorities to </w:t>
            </w:r>
            <w:r w:rsidRPr="00D26131">
              <w:rPr>
                <w:rStyle w:val="searchword"/>
                <w:sz w:val="22"/>
                <w:szCs w:val="22"/>
              </w:rPr>
              <w:t>borrow</w:t>
            </w:r>
            <w:r w:rsidRPr="00D26131">
              <w:rPr>
                <w:sz w:val="22"/>
                <w:szCs w:val="22"/>
              </w:rPr>
              <w:t xml:space="preserve"> for expenditure not covered by this paragraph, where they are satisfied that the expenditure should be met by </w:t>
            </w:r>
            <w:r w:rsidRPr="00D26131">
              <w:rPr>
                <w:rStyle w:val="searchword"/>
                <w:sz w:val="22"/>
                <w:szCs w:val="22"/>
              </w:rPr>
              <w:t>borrow</w:t>
            </w:r>
            <w:r w:rsidRPr="00D26131">
              <w:rPr>
                <w:sz w:val="22"/>
                <w:szCs w:val="22"/>
              </w:rPr>
              <w:t>ing.</w:t>
            </w:r>
          </w:p>
        </w:tc>
      </w:tr>
      <w:tr w:rsidR="00062BC5" w:rsidRPr="00D26131" w14:paraId="312B82E0" w14:textId="77777777" w:rsidTr="00475D55">
        <w:tc>
          <w:tcPr>
            <w:tcW w:w="2061" w:type="dxa"/>
          </w:tcPr>
          <w:p w14:paraId="22C595E0" w14:textId="77777777" w:rsidR="00062BC5" w:rsidRPr="00D26131" w:rsidRDefault="00062BC5" w:rsidP="0053030E">
            <w:pPr>
              <w:rPr>
                <w:rFonts w:cs="Arial"/>
                <w:b/>
                <w:sz w:val="22"/>
                <w:szCs w:val="22"/>
              </w:rPr>
            </w:pPr>
            <w:r w:rsidRPr="00D26131">
              <w:rPr>
                <w:rFonts w:cs="Arial"/>
                <w:b/>
                <w:sz w:val="22"/>
                <w:szCs w:val="22"/>
              </w:rPr>
              <w:t>Gilts</w:t>
            </w:r>
          </w:p>
        </w:tc>
        <w:tc>
          <w:tcPr>
            <w:tcW w:w="7534" w:type="dxa"/>
          </w:tcPr>
          <w:p w14:paraId="11136C39" w14:textId="6193A308" w:rsidR="00062BC5" w:rsidRPr="00D26131" w:rsidRDefault="00062BC5" w:rsidP="0053030E">
            <w:pPr>
              <w:rPr>
                <w:rFonts w:cs="Arial"/>
                <w:sz w:val="22"/>
                <w:szCs w:val="22"/>
              </w:rPr>
            </w:pPr>
            <w:r w:rsidRPr="00D26131">
              <w:rPr>
                <w:rFonts w:cs="Arial"/>
                <w:sz w:val="22"/>
                <w:szCs w:val="22"/>
              </w:rPr>
              <w:t xml:space="preserve">A gilt is a UK Government liability in sterling, issued by HM Treasury and listed on the London Stock Exchange. The term “gilt” or “gilt-edged security” is a reference to the primary characteristic of gilts as an investment: their security. This </w:t>
            </w:r>
            <w:r w:rsidR="00F4519B" w:rsidRPr="00D26131">
              <w:rPr>
                <w:rFonts w:cs="Arial"/>
                <w:sz w:val="22"/>
                <w:szCs w:val="22"/>
              </w:rPr>
              <w:t>reflects</w:t>
            </w:r>
            <w:r w:rsidRPr="00D26131">
              <w:rPr>
                <w:rFonts w:cs="Arial"/>
                <w:sz w:val="22"/>
                <w:szCs w:val="22"/>
              </w:rPr>
              <w:t xml:space="preserve"> the fact that the British Government has never failed to make interest or principal payments on gilts as they fall due.</w:t>
            </w:r>
          </w:p>
        </w:tc>
      </w:tr>
      <w:tr w:rsidR="00062BC5" w:rsidRPr="00D26131" w14:paraId="2ACCAE1E" w14:textId="77777777" w:rsidTr="00475D55">
        <w:tc>
          <w:tcPr>
            <w:tcW w:w="2061" w:type="dxa"/>
          </w:tcPr>
          <w:p w14:paraId="6D489FBE" w14:textId="77777777" w:rsidR="00062BC5" w:rsidRPr="00D26131" w:rsidRDefault="00062BC5" w:rsidP="0053030E">
            <w:pPr>
              <w:rPr>
                <w:rFonts w:cs="Arial"/>
                <w:b/>
                <w:sz w:val="22"/>
                <w:szCs w:val="22"/>
              </w:rPr>
            </w:pPr>
            <w:r w:rsidRPr="00D26131">
              <w:rPr>
                <w:rFonts w:cs="Arial"/>
                <w:b/>
                <w:bCs/>
                <w:sz w:val="22"/>
                <w:szCs w:val="22"/>
              </w:rPr>
              <w:t>MPC</w:t>
            </w:r>
          </w:p>
        </w:tc>
        <w:tc>
          <w:tcPr>
            <w:tcW w:w="7534" w:type="dxa"/>
          </w:tcPr>
          <w:p w14:paraId="16252A19" w14:textId="77777777" w:rsidR="00062BC5" w:rsidRPr="00D26131" w:rsidRDefault="00062BC5" w:rsidP="0053030E">
            <w:pPr>
              <w:rPr>
                <w:rFonts w:cs="Arial"/>
                <w:bCs/>
                <w:sz w:val="22"/>
                <w:szCs w:val="22"/>
              </w:rPr>
            </w:pPr>
            <w:r w:rsidRPr="00D26131">
              <w:rPr>
                <w:rFonts w:cs="Arial"/>
                <w:bCs/>
                <w:sz w:val="22"/>
                <w:szCs w:val="22"/>
              </w:rPr>
              <w:t>Monetary Policy Committee</w:t>
            </w:r>
          </w:p>
        </w:tc>
      </w:tr>
      <w:tr w:rsidR="000F21A0" w:rsidRPr="00D26131" w14:paraId="037688F6" w14:textId="77777777" w:rsidTr="00475D55">
        <w:tc>
          <w:tcPr>
            <w:tcW w:w="2061" w:type="dxa"/>
          </w:tcPr>
          <w:p w14:paraId="09406EBF" w14:textId="77777777" w:rsidR="000F21A0" w:rsidRPr="00D26131" w:rsidRDefault="000F21A0" w:rsidP="0053030E">
            <w:pPr>
              <w:rPr>
                <w:rFonts w:cs="Arial"/>
                <w:b/>
                <w:sz w:val="22"/>
                <w:szCs w:val="22"/>
              </w:rPr>
            </w:pPr>
            <w:r w:rsidRPr="00D26131">
              <w:rPr>
                <w:rFonts w:cs="Arial"/>
                <w:b/>
                <w:sz w:val="22"/>
                <w:szCs w:val="22"/>
              </w:rPr>
              <w:t>NHT</w:t>
            </w:r>
          </w:p>
        </w:tc>
        <w:tc>
          <w:tcPr>
            <w:tcW w:w="7534" w:type="dxa"/>
          </w:tcPr>
          <w:p w14:paraId="07E5518F" w14:textId="77777777" w:rsidR="000F21A0" w:rsidRPr="00D26131" w:rsidRDefault="000F21A0" w:rsidP="0053030E">
            <w:pPr>
              <w:rPr>
                <w:rFonts w:cs="Arial"/>
                <w:sz w:val="22"/>
                <w:szCs w:val="22"/>
              </w:rPr>
            </w:pPr>
            <w:r w:rsidRPr="00D26131">
              <w:rPr>
                <w:rFonts w:cs="Arial"/>
                <w:sz w:val="22"/>
                <w:szCs w:val="22"/>
              </w:rPr>
              <w:t>National Housing Trust initiative undertaken in partnership with the Scottish Futures Trust.</w:t>
            </w:r>
          </w:p>
        </w:tc>
      </w:tr>
      <w:tr w:rsidR="00062BC5" w:rsidRPr="00D26131" w14:paraId="15D74CEE" w14:textId="77777777" w:rsidTr="00475D55">
        <w:tc>
          <w:tcPr>
            <w:tcW w:w="2061" w:type="dxa"/>
          </w:tcPr>
          <w:p w14:paraId="7570E6B5" w14:textId="6485F765" w:rsidR="00062BC5" w:rsidRPr="00D26131" w:rsidRDefault="00062BC5" w:rsidP="0053030E">
            <w:pPr>
              <w:rPr>
                <w:rFonts w:cs="Arial"/>
                <w:b/>
                <w:sz w:val="22"/>
                <w:szCs w:val="22"/>
              </w:rPr>
            </w:pPr>
            <w:r w:rsidRPr="00D26131">
              <w:rPr>
                <w:rFonts w:cs="Arial"/>
                <w:b/>
                <w:sz w:val="22"/>
                <w:szCs w:val="22"/>
              </w:rPr>
              <w:t xml:space="preserve">Other </w:t>
            </w:r>
            <w:r w:rsidR="00F4519B" w:rsidRPr="00D26131">
              <w:rPr>
                <w:rFonts w:cs="Arial"/>
                <w:b/>
                <w:sz w:val="22"/>
                <w:szCs w:val="22"/>
              </w:rPr>
              <w:t>Long-Term</w:t>
            </w:r>
            <w:r w:rsidRPr="00D26131">
              <w:rPr>
                <w:rFonts w:cs="Arial"/>
                <w:b/>
                <w:sz w:val="22"/>
                <w:szCs w:val="22"/>
              </w:rPr>
              <w:t xml:space="preserve"> Liabilities</w:t>
            </w:r>
          </w:p>
        </w:tc>
        <w:tc>
          <w:tcPr>
            <w:tcW w:w="7534" w:type="dxa"/>
          </w:tcPr>
          <w:p w14:paraId="074FA771" w14:textId="77777777" w:rsidR="00062BC5" w:rsidRPr="00D26131" w:rsidRDefault="00062BC5" w:rsidP="0053030E">
            <w:pPr>
              <w:rPr>
                <w:rFonts w:cs="Arial"/>
                <w:sz w:val="22"/>
                <w:szCs w:val="22"/>
              </w:rPr>
            </w:pPr>
            <w:r w:rsidRPr="00D26131">
              <w:rPr>
                <w:rFonts w:cs="Arial"/>
                <w:sz w:val="22"/>
                <w:szCs w:val="22"/>
              </w:rPr>
              <w:t xml:space="preserve">Balance sheet items such as Public Private Partnership (PPP), and leasing arrangements which already include borrowing instruments.  </w:t>
            </w:r>
          </w:p>
        </w:tc>
      </w:tr>
      <w:tr w:rsidR="00062BC5" w:rsidRPr="00D26131" w14:paraId="17D5B5B1" w14:textId="77777777" w:rsidTr="00475D55">
        <w:tc>
          <w:tcPr>
            <w:tcW w:w="2061" w:type="dxa"/>
          </w:tcPr>
          <w:p w14:paraId="7FAF06BF" w14:textId="77777777" w:rsidR="00062BC5" w:rsidRPr="00D26131" w:rsidRDefault="00062BC5" w:rsidP="0053030E">
            <w:pPr>
              <w:rPr>
                <w:rFonts w:cs="Arial"/>
                <w:b/>
                <w:sz w:val="22"/>
                <w:szCs w:val="22"/>
              </w:rPr>
            </w:pPr>
            <w:r w:rsidRPr="00D26131">
              <w:rPr>
                <w:rFonts w:cs="Arial"/>
                <w:b/>
                <w:sz w:val="22"/>
                <w:szCs w:val="22"/>
              </w:rPr>
              <w:t>PPP</w:t>
            </w:r>
          </w:p>
        </w:tc>
        <w:tc>
          <w:tcPr>
            <w:tcW w:w="7534" w:type="dxa"/>
          </w:tcPr>
          <w:p w14:paraId="78A2C7BE" w14:textId="77777777" w:rsidR="00062BC5" w:rsidRPr="00D26131" w:rsidRDefault="00062BC5" w:rsidP="0053030E">
            <w:pPr>
              <w:rPr>
                <w:rFonts w:cs="Arial"/>
                <w:sz w:val="22"/>
                <w:szCs w:val="22"/>
              </w:rPr>
            </w:pPr>
            <w:r w:rsidRPr="00D26131">
              <w:rPr>
                <w:rFonts w:cs="Arial"/>
                <w:sz w:val="22"/>
                <w:szCs w:val="22"/>
              </w:rPr>
              <w:t>Public-Private Partnership.</w:t>
            </w:r>
          </w:p>
        </w:tc>
      </w:tr>
      <w:tr w:rsidR="00062BC5" w:rsidRPr="00D26131" w14:paraId="30E7034A" w14:textId="77777777" w:rsidTr="00475D55">
        <w:tc>
          <w:tcPr>
            <w:tcW w:w="2061" w:type="dxa"/>
          </w:tcPr>
          <w:p w14:paraId="7CA80FE7" w14:textId="77777777" w:rsidR="00062BC5" w:rsidRPr="00D26131" w:rsidRDefault="00062BC5" w:rsidP="008934A1">
            <w:pPr>
              <w:rPr>
                <w:rFonts w:cs="Arial"/>
                <w:b/>
                <w:sz w:val="22"/>
                <w:szCs w:val="22"/>
              </w:rPr>
            </w:pPr>
            <w:r w:rsidRPr="00D26131">
              <w:rPr>
                <w:rFonts w:cs="Arial"/>
                <w:b/>
                <w:sz w:val="22"/>
                <w:szCs w:val="22"/>
              </w:rPr>
              <w:t>Prudential Indicators</w:t>
            </w:r>
          </w:p>
        </w:tc>
        <w:tc>
          <w:tcPr>
            <w:tcW w:w="7534" w:type="dxa"/>
          </w:tcPr>
          <w:p w14:paraId="5677117E" w14:textId="53149FB0" w:rsidR="00062BC5" w:rsidRPr="00D26131" w:rsidRDefault="00062BC5" w:rsidP="008934A1">
            <w:pPr>
              <w:rPr>
                <w:rFonts w:cs="Arial"/>
                <w:sz w:val="22"/>
                <w:szCs w:val="22"/>
              </w:rPr>
            </w:pPr>
            <w:r w:rsidRPr="00D26131">
              <w:rPr>
                <w:rFonts w:cs="Arial"/>
                <w:sz w:val="22"/>
                <w:szCs w:val="22"/>
              </w:rPr>
              <w:t xml:space="preserve">The Prudential Code sets out a basket of indicators (the Prudential Indicators) that must be prepared and used </w:t>
            </w:r>
            <w:r w:rsidR="00F4519B">
              <w:rPr>
                <w:rFonts w:cs="Arial"/>
                <w:sz w:val="22"/>
                <w:szCs w:val="22"/>
              </w:rPr>
              <w:t>t</w:t>
            </w:r>
            <w:r w:rsidRPr="00D26131">
              <w:rPr>
                <w:rFonts w:cs="Arial"/>
                <w:sz w:val="22"/>
                <w:szCs w:val="22"/>
              </w:rPr>
              <w:t>o demonstrate that local authorities have fulfilled the objectives of the Prudential Code.</w:t>
            </w:r>
          </w:p>
        </w:tc>
      </w:tr>
      <w:tr w:rsidR="00062BC5" w:rsidRPr="00D26131" w14:paraId="5BF0F6DA" w14:textId="77777777" w:rsidTr="00475D55">
        <w:tc>
          <w:tcPr>
            <w:tcW w:w="2061" w:type="dxa"/>
          </w:tcPr>
          <w:p w14:paraId="2975F2AB" w14:textId="77777777" w:rsidR="00062BC5" w:rsidRPr="00D26131" w:rsidRDefault="00062BC5" w:rsidP="0053030E">
            <w:pPr>
              <w:rPr>
                <w:rFonts w:cs="Arial"/>
                <w:b/>
                <w:sz w:val="22"/>
                <w:szCs w:val="22"/>
              </w:rPr>
            </w:pPr>
            <w:r w:rsidRPr="00D26131">
              <w:rPr>
                <w:rFonts w:cs="Arial"/>
                <w:b/>
                <w:sz w:val="22"/>
                <w:szCs w:val="22"/>
              </w:rPr>
              <w:t>QE</w:t>
            </w:r>
          </w:p>
        </w:tc>
        <w:tc>
          <w:tcPr>
            <w:tcW w:w="7534" w:type="dxa"/>
          </w:tcPr>
          <w:p w14:paraId="2CEB5A39" w14:textId="77777777" w:rsidR="00062BC5" w:rsidRPr="00D26131" w:rsidRDefault="00062BC5" w:rsidP="0053030E">
            <w:pPr>
              <w:rPr>
                <w:rFonts w:cs="Arial"/>
                <w:sz w:val="22"/>
                <w:szCs w:val="22"/>
              </w:rPr>
            </w:pPr>
            <w:r w:rsidRPr="00D26131">
              <w:rPr>
                <w:rFonts w:cs="Arial"/>
                <w:sz w:val="22"/>
                <w:szCs w:val="22"/>
              </w:rPr>
              <w:t>Quantitative Easing</w:t>
            </w:r>
          </w:p>
        </w:tc>
      </w:tr>
      <w:tr w:rsidR="00475D55" w:rsidRPr="00D26131" w14:paraId="2DCB8691" w14:textId="77777777" w:rsidTr="00475D55">
        <w:tc>
          <w:tcPr>
            <w:tcW w:w="2061" w:type="dxa"/>
          </w:tcPr>
          <w:p w14:paraId="463AE13C" w14:textId="77777777" w:rsidR="00475D55" w:rsidRPr="00D26131" w:rsidRDefault="00475D55" w:rsidP="008934A1">
            <w:pPr>
              <w:rPr>
                <w:rFonts w:cs="Arial"/>
                <w:b/>
                <w:sz w:val="22"/>
                <w:szCs w:val="22"/>
              </w:rPr>
            </w:pPr>
            <w:r>
              <w:rPr>
                <w:rFonts w:cs="Arial"/>
                <w:b/>
                <w:sz w:val="22"/>
                <w:szCs w:val="22"/>
              </w:rPr>
              <w:t>SONIA</w:t>
            </w:r>
          </w:p>
        </w:tc>
        <w:tc>
          <w:tcPr>
            <w:tcW w:w="7534" w:type="dxa"/>
          </w:tcPr>
          <w:p w14:paraId="5BDFA50B" w14:textId="534410D8" w:rsidR="00475D55" w:rsidRPr="00D26131" w:rsidRDefault="0037142E" w:rsidP="008934A1">
            <w:pPr>
              <w:rPr>
                <w:rFonts w:cs="Arial"/>
                <w:sz w:val="22"/>
                <w:szCs w:val="22"/>
              </w:rPr>
            </w:pPr>
            <w:r w:rsidRPr="00D07ABD">
              <w:rPr>
                <w:rFonts w:cs="Arial"/>
                <w:color w:val="0D0D0D"/>
                <w:sz w:val="22"/>
                <w:szCs w:val="22"/>
              </w:rPr>
              <w:t>SONIA (Sterling</w:t>
            </w:r>
            <w:r>
              <w:rPr>
                <w:rFonts w:cs="Arial"/>
                <w:color w:val="0D0D0D"/>
                <w:sz w:val="22"/>
                <w:szCs w:val="22"/>
              </w:rPr>
              <w:t xml:space="preserve"> Overnight Index Average),</w:t>
            </w:r>
            <w:r w:rsidRPr="00D07ABD">
              <w:rPr>
                <w:rFonts w:cs="Arial"/>
                <w:color w:val="0D0D0D"/>
                <w:sz w:val="22"/>
                <w:szCs w:val="22"/>
              </w:rPr>
              <w:t xml:space="preserve"> is the risk-free rate for sterling markets administered by the Bank of England</w:t>
            </w:r>
            <w:r>
              <w:rPr>
                <w:rFonts w:cs="Arial"/>
                <w:color w:val="0D0D0D"/>
                <w:sz w:val="22"/>
                <w:szCs w:val="22"/>
              </w:rPr>
              <w:t>.</w:t>
            </w:r>
          </w:p>
        </w:tc>
      </w:tr>
      <w:tr w:rsidR="00062BC5" w:rsidRPr="00D26131" w14:paraId="70227AA8" w14:textId="77777777" w:rsidTr="00475D55">
        <w:tc>
          <w:tcPr>
            <w:tcW w:w="2061" w:type="dxa"/>
          </w:tcPr>
          <w:p w14:paraId="73F62DE8" w14:textId="77777777" w:rsidR="00062BC5" w:rsidRPr="00D26131" w:rsidRDefault="00062BC5" w:rsidP="008934A1">
            <w:pPr>
              <w:rPr>
                <w:rFonts w:cs="Arial"/>
                <w:b/>
                <w:sz w:val="22"/>
                <w:szCs w:val="22"/>
              </w:rPr>
            </w:pPr>
            <w:r w:rsidRPr="00D26131">
              <w:rPr>
                <w:rFonts w:cs="Arial"/>
                <w:b/>
                <w:sz w:val="22"/>
                <w:szCs w:val="22"/>
              </w:rPr>
              <w:t>Treasury Indicators</w:t>
            </w:r>
          </w:p>
        </w:tc>
        <w:tc>
          <w:tcPr>
            <w:tcW w:w="7534" w:type="dxa"/>
          </w:tcPr>
          <w:p w14:paraId="464C1731" w14:textId="77777777" w:rsidR="00062BC5" w:rsidRPr="00D26131" w:rsidRDefault="00062BC5" w:rsidP="008934A1">
            <w:pPr>
              <w:rPr>
                <w:rFonts w:cs="Arial"/>
                <w:sz w:val="22"/>
                <w:szCs w:val="22"/>
              </w:rPr>
            </w:pPr>
            <w:r w:rsidRPr="00D26131">
              <w:rPr>
                <w:rFonts w:cs="Arial"/>
                <w:sz w:val="22"/>
                <w:szCs w:val="22"/>
              </w:rPr>
              <w:t>These consist of a number of Treasury Management Indicators that local authorities are expected to ‘have regard’ to, to demonstrate compliance with the Treasury Management Code of Practice.</w:t>
            </w:r>
          </w:p>
        </w:tc>
      </w:tr>
    </w:tbl>
    <w:p w14:paraId="75C86049" w14:textId="77777777" w:rsidR="00062BC5" w:rsidRPr="00D26131" w:rsidRDefault="00062BC5" w:rsidP="00F3192C">
      <w:pPr>
        <w:rPr>
          <w:rFonts w:cs="Arial"/>
          <w:b/>
          <w:color w:val="993366"/>
          <w:sz w:val="32"/>
          <w:szCs w:val="32"/>
        </w:rPr>
      </w:pPr>
    </w:p>
    <w:p w14:paraId="2322C808" w14:textId="77777777" w:rsidR="00062BC5" w:rsidRPr="00D26131" w:rsidRDefault="00062BC5" w:rsidP="00733C18">
      <w:pPr>
        <w:rPr>
          <w:rFonts w:cs="Arial"/>
          <w:b/>
          <w:color w:val="993366"/>
          <w:sz w:val="32"/>
          <w:szCs w:val="32"/>
        </w:rPr>
      </w:pPr>
    </w:p>
    <w:p w14:paraId="0860A9F6" w14:textId="77777777" w:rsidR="00062BC5" w:rsidRPr="00D26131" w:rsidRDefault="00062BC5" w:rsidP="00733C18">
      <w:pPr>
        <w:rPr>
          <w:rFonts w:cs="Arial"/>
          <w:b/>
          <w:color w:val="993366"/>
          <w:sz w:val="32"/>
          <w:szCs w:val="32"/>
        </w:rPr>
      </w:pPr>
    </w:p>
    <w:p w14:paraId="7F64E7AE" w14:textId="77777777" w:rsidR="00062BC5" w:rsidRPr="00D26131" w:rsidRDefault="00062BC5" w:rsidP="00733C18">
      <w:pPr>
        <w:pBdr>
          <w:top w:val="single" w:sz="4" w:space="0" w:color="auto" w:shadow="1"/>
          <w:left w:val="single" w:sz="4" w:space="4" w:color="auto" w:shadow="1"/>
          <w:bottom w:val="single" w:sz="4" w:space="1" w:color="auto" w:shadow="1"/>
          <w:right w:val="single" w:sz="4" w:space="4" w:color="auto" w:shadow="1"/>
        </w:pBdr>
        <w:tabs>
          <w:tab w:val="left" w:pos="567"/>
          <w:tab w:val="left" w:pos="1134"/>
          <w:tab w:val="left" w:pos="1701"/>
        </w:tabs>
        <w:spacing w:line="360" w:lineRule="auto"/>
      </w:pPr>
    </w:p>
    <w:p w14:paraId="5D18E995" w14:textId="77777777" w:rsidR="00062BC5" w:rsidRPr="00D26131" w:rsidRDefault="00062BC5" w:rsidP="00733C18">
      <w:pPr>
        <w:pBdr>
          <w:top w:val="single" w:sz="4" w:space="0" w:color="auto" w:shadow="1"/>
          <w:left w:val="single" w:sz="4" w:space="4" w:color="auto" w:shadow="1"/>
          <w:bottom w:val="single" w:sz="4" w:space="1" w:color="auto" w:shadow="1"/>
          <w:right w:val="single" w:sz="4" w:space="4" w:color="auto" w:shadow="1"/>
        </w:pBdr>
        <w:tabs>
          <w:tab w:val="left" w:pos="567"/>
          <w:tab w:val="left" w:pos="1134"/>
          <w:tab w:val="left" w:pos="1701"/>
        </w:tabs>
        <w:spacing w:line="360" w:lineRule="auto"/>
      </w:pPr>
      <w:r w:rsidRPr="00D26131">
        <w:t xml:space="preserve">You can get this document on tape, in Braille, large print and various computer formats by contacting the address below.  </w:t>
      </w:r>
    </w:p>
    <w:p w14:paraId="1FC5DE36" w14:textId="2DDBCF73" w:rsidR="00062BC5" w:rsidRDefault="00916EA1" w:rsidP="00733C18">
      <w:pPr>
        <w:pBdr>
          <w:top w:val="single" w:sz="4" w:space="0" w:color="auto" w:shadow="1"/>
          <w:left w:val="single" w:sz="4" w:space="4" w:color="auto" w:shadow="1"/>
          <w:bottom w:val="single" w:sz="4" w:space="1" w:color="auto" w:shadow="1"/>
          <w:right w:val="single" w:sz="4" w:space="4" w:color="auto" w:shadow="1"/>
        </w:pBdr>
        <w:tabs>
          <w:tab w:val="left" w:pos="567"/>
          <w:tab w:val="left" w:pos="1134"/>
          <w:tab w:val="left" w:pos="1701"/>
        </w:tabs>
        <w:spacing w:line="360" w:lineRule="auto"/>
      </w:pPr>
      <w:r>
        <w:t>Statutory Reporting and Treasury team</w:t>
      </w:r>
      <w:r w:rsidR="00062BC5" w:rsidRPr="00D26131">
        <w:t>, Finance,</w:t>
      </w:r>
      <w:r w:rsidR="000B596C" w:rsidRPr="00D26131">
        <w:t xml:space="preserve"> Scottish Borders Council,</w:t>
      </w:r>
      <w:r w:rsidR="00062BC5" w:rsidRPr="00D26131">
        <w:t xml:space="preserve"> Council HQ, Newtown St Boswells</w:t>
      </w:r>
      <w:r w:rsidR="00062BC5" w:rsidRPr="00D26131">
        <w:br/>
        <w:t xml:space="preserve">01835 824000, </w:t>
      </w:r>
      <w:hyperlink r:id="rId27" w:history="1">
        <w:r w:rsidR="00C4026D" w:rsidRPr="00D26131">
          <w:rPr>
            <w:rStyle w:val="Hyperlink"/>
          </w:rPr>
          <w:t>t&amp;cteam@scotborders.gov.uk</w:t>
        </w:r>
      </w:hyperlink>
    </w:p>
    <w:p w14:paraId="04EA725F" w14:textId="77777777" w:rsidR="00062BC5" w:rsidRDefault="00062BC5" w:rsidP="00733C18">
      <w:pPr>
        <w:pBdr>
          <w:top w:val="single" w:sz="4" w:space="0" w:color="auto" w:shadow="1"/>
          <w:left w:val="single" w:sz="4" w:space="4" w:color="auto" w:shadow="1"/>
          <w:bottom w:val="single" w:sz="4" w:space="1" w:color="auto" w:shadow="1"/>
          <w:right w:val="single" w:sz="4" w:space="4" w:color="auto" w:shadow="1"/>
        </w:pBdr>
        <w:tabs>
          <w:tab w:val="left" w:pos="567"/>
          <w:tab w:val="left" w:pos="1134"/>
          <w:tab w:val="left" w:pos="1701"/>
        </w:tabs>
        <w:spacing w:line="360" w:lineRule="auto"/>
      </w:pPr>
    </w:p>
    <w:p w14:paraId="31325531" w14:textId="77777777" w:rsidR="00062BC5" w:rsidRPr="00302446" w:rsidRDefault="00062BC5" w:rsidP="00733C18">
      <w:pPr>
        <w:rPr>
          <w:rFonts w:cs="Arial"/>
          <w:b/>
          <w:color w:val="993366"/>
          <w:sz w:val="32"/>
          <w:szCs w:val="32"/>
        </w:rPr>
      </w:pPr>
    </w:p>
    <w:p w14:paraId="72FB18DB" w14:textId="77777777" w:rsidR="00062BC5" w:rsidRDefault="00062BC5" w:rsidP="00DE46F1">
      <w:pPr>
        <w:keepLines/>
        <w:rPr>
          <w:b/>
        </w:rPr>
      </w:pPr>
    </w:p>
    <w:sectPr w:rsidR="00062BC5" w:rsidSect="001E029F">
      <w:headerReference w:type="even" r:id="rId28"/>
      <w:headerReference w:type="default" r:id="rId29"/>
      <w:headerReference w:type="first" r:id="rId30"/>
      <w:pgSz w:w="11907" w:h="16840" w:code="9"/>
      <w:pgMar w:top="1259" w:right="1151" w:bottom="720" w:left="115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14CF0" w14:textId="77777777" w:rsidR="001E029F" w:rsidRDefault="001E029F">
      <w:r>
        <w:separator/>
      </w:r>
    </w:p>
  </w:endnote>
  <w:endnote w:type="continuationSeparator" w:id="0">
    <w:p w14:paraId="57696371" w14:textId="77777777" w:rsidR="001E029F" w:rsidRDefault="001E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LT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liss 2 Regular">
    <w:altName w:val="Calibri"/>
    <w:panose1 w:val="00000000000000000000"/>
    <w:charset w:val="00"/>
    <w:family w:val="modern"/>
    <w:notTrueType/>
    <w:pitch w:val="variable"/>
    <w:sig w:usb0="A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983B1" w14:textId="77777777" w:rsidR="001E029F" w:rsidRDefault="001E029F">
      <w:r>
        <w:separator/>
      </w:r>
    </w:p>
  </w:footnote>
  <w:footnote w:type="continuationSeparator" w:id="0">
    <w:p w14:paraId="466D3232" w14:textId="77777777" w:rsidR="001E029F" w:rsidRDefault="001E0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4A77" w14:textId="77777777" w:rsidR="006453A1" w:rsidRDefault="006453A1" w:rsidP="008D56A2">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7C206BD4" w14:textId="36C9B235" w:rsidR="006453A1" w:rsidRPr="008D56A2" w:rsidRDefault="006453A1" w:rsidP="00A503C8">
    <w:pPr>
      <w:pStyle w:val="Header"/>
      <w:pBdr>
        <w:bottom w:val="single" w:sz="4" w:space="1" w:color="auto"/>
      </w:pBdr>
      <w:tabs>
        <w:tab w:val="clear" w:pos="4153"/>
        <w:tab w:val="clear" w:pos="8306"/>
        <w:tab w:val="right" w:pos="9781"/>
      </w:tabs>
      <w:rPr>
        <w:rFonts w:cs="Arial"/>
      </w:rPr>
    </w:pPr>
    <w:r w:rsidRPr="00C115EC">
      <w:rPr>
        <w:rFonts w:cs="Arial"/>
      </w:rPr>
      <w:t xml:space="preserve">Treasury </w:t>
    </w:r>
    <w:r>
      <w:rPr>
        <w:rFonts w:cs="Arial"/>
      </w:rPr>
      <w:t>Management</w:t>
    </w:r>
    <w:r w:rsidRPr="00C115EC">
      <w:rPr>
        <w:rFonts w:cs="Arial"/>
      </w:rPr>
      <w:t xml:space="preserve"> Strategy</w:t>
    </w:r>
    <w:r>
      <w:rPr>
        <w:rFonts w:cs="Arial"/>
      </w:rPr>
      <w:t xml:space="preserve"> 202</w:t>
    </w:r>
    <w:r w:rsidR="001C0827">
      <w:rPr>
        <w:rFonts w:cs="Arial"/>
      </w:rPr>
      <w:t>4</w:t>
    </w:r>
    <w:r>
      <w:rPr>
        <w:rFonts w:cs="Arial"/>
      </w:rPr>
      <w:t>/2</w:t>
    </w:r>
    <w:r w:rsidR="001C0827">
      <w:rPr>
        <w:rFonts w:cs="Arial"/>
      </w:rPr>
      <w:t>5</w:t>
    </w:r>
    <w:r>
      <w:rPr>
        <w:rFonts w:cs="Arial"/>
      </w:rPr>
      <w:tab/>
    </w:r>
    <w:r w:rsidRPr="00F22C89">
      <w:rPr>
        <w:rFonts w:cs="Arial"/>
      </w:rPr>
      <w:t xml:space="preserve">Page </w:t>
    </w:r>
    <w:r>
      <w:rPr>
        <w:rFonts w:cs="Arial"/>
      </w:rPr>
      <w:fldChar w:fldCharType="begin"/>
    </w:r>
    <w:r>
      <w:rPr>
        <w:rFonts w:cs="Arial"/>
      </w:rPr>
      <w:instrText xml:space="preserve"> PAGE </w:instrText>
    </w:r>
    <w:r>
      <w:rPr>
        <w:rFonts w:cs="Arial"/>
      </w:rPr>
      <w:fldChar w:fldCharType="separate"/>
    </w:r>
    <w:r w:rsidR="003D1F0C">
      <w:rPr>
        <w:rFonts w:cs="Arial"/>
        <w:noProof/>
      </w:rPr>
      <w:t>22</w:t>
    </w:r>
    <w:r>
      <w:rPr>
        <w:rFonts w:cs="Arial"/>
      </w:rPr>
      <w:fldChar w:fldCharType="end"/>
    </w:r>
    <w:r w:rsidRPr="00F22C89">
      <w:rPr>
        <w:rFonts w:cs="Arial"/>
      </w:rPr>
      <w:t xml:space="preserve"> of </w:t>
    </w:r>
    <w:r w:rsidRPr="00F22C89">
      <w:rPr>
        <w:rFonts w:cs="Arial"/>
      </w:rPr>
      <w:fldChar w:fldCharType="begin"/>
    </w:r>
    <w:r w:rsidRPr="00F22C89">
      <w:rPr>
        <w:rFonts w:cs="Arial"/>
      </w:rPr>
      <w:instrText xml:space="preserve"> NUMPAGES </w:instrText>
    </w:r>
    <w:r w:rsidRPr="00F22C89">
      <w:rPr>
        <w:rFonts w:cs="Arial"/>
      </w:rPr>
      <w:fldChar w:fldCharType="separate"/>
    </w:r>
    <w:r w:rsidR="003D1F0C">
      <w:rPr>
        <w:rFonts w:cs="Arial"/>
        <w:noProof/>
      </w:rPr>
      <w:t>48</w:t>
    </w:r>
    <w:r w:rsidRPr="00F22C89">
      <w:rPr>
        <w:rFonts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9A1E" w14:textId="77777777" w:rsidR="006453A1" w:rsidRDefault="006453A1" w:rsidP="00FD2EA3">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03DF3C21" w14:textId="67BD29C7" w:rsidR="006453A1" w:rsidRPr="00CF4634" w:rsidRDefault="006453A1" w:rsidP="00CF4634">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Pr>
        <w:rFonts w:cs="Arial"/>
      </w:rPr>
      <w:t xml:space="preserve">Management </w:t>
    </w:r>
    <w:r w:rsidRPr="00C115EC">
      <w:rPr>
        <w:rFonts w:cs="Arial"/>
      </w:rPr>
      <w:t>Strategy</w:t>
    </w:r>
    <w:r>
      <w:rPr>
        <w:rFonts w:cs="Arial"/>
      </w:rPr>
      <w:t xml:space="preserve">                                                                                           </w:t>
    </w:r>
    <w:r>
      <w:rPr>
        <w:rFonts w:cs="Arial"/>
      </w:rPr>
      <w:tab/>
    </w:r>
    <w:r w:rsidRPr="00F22C89">
      <w:rPr>
        <w:rFonts w:cs="Arial"/>
      </w:rPr>
      <w:t xml:space="preserve">Page </w:t>
    </w:r>
    <w:r>
      <w:rPr>
        <w:rFonts w:cs="Arial"/>
      </w:rPr>
      <w:fldChar w:fldCharType="begin"/>
    </w:r>
    <w:r>
      <w:rPr>
        <w:rFonts w:cs="Arial"/>
      </w:rPr>
      <w:instrText xml:space="preserve"> PAGE </w:instrText>
    </w:r>
    <w:r>
      <w:rPr>
        <w:rFonts w:cs="Arial"/>
      </w:rPr>
      <w:fldChar w:fldCharType="separate"/>
    </w:r>
    <w:r w:rsidR="00F21175">
      <w:rPr>
        <w:rFonts w:cs="Arial"/>
        <w:noProof/>
      </w:rPr>
      <w:t>1</w:t>
    </w:r>
    <w:r>
      <w:rPr>
        <w:rFonts w:cs="Arial"/>
      </w:rPr>
      <w:fldChar w:fldCharType="end"/>
    </w:r>
    <w:r w:rsidRPr="00F22C89">
      <w:rPr>
        <w:rFonts w:cs="Arial"/>
      </w:rPr>
      <w:t xml:space="preserve"> of </w:t>
    </w:r>
    <w:r w:rsidRPr="00F22C89">
      <w:rPr>
        <w:rFonts w:cs="Arial"/>
      </w:rPr>
      <w:fldChar w:fldCharType="begin"/>
    </w:r>
    <w:r w:rsidRPr="00F22C89">
      <w:rPr>
        <w:rFonts w:cs="Arial"/>
      </w:rPr>
      <w:instrText xml:space="preserve"> NUMPAGES </w:instrText>
    </w:r>
    <w:r w:rsidRPr="00F22C89">
      <w:rPr>
        <w:rFonts w:cs="Arial"/>
      </w:rPr>
      <w:fldChar w:fldCharType="separate"/>
    </w:r>
    <w:r w:rsidR="00F21175">
      <w:rPr>
        <w:rFonts w:cs="Arial"/>
        <w:noProof/>
      </w:rPr>
      <w:t>1</w:t>
    </w:r>
    <w:r w:rsidRPr="00F22C89">
      <w:rP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510C" w14:textId="77777777" w:rsidR="006453A1" w:rsidRDefault="006453A1" w:rsidP="00FD2EA3">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1187FB39" w14:textId="05B82C63" w:rsidR="006453A1" w:rsidRPr="00CF4634" w:rsidRDefault="006453A1" w:rsidP="00CF4634">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sidR="00862C9A">
      <w:rPr>
        <w:rFonts w:cs="Arial"/>
      </w:rPr>
      <w:t>Management</w:t>
    </w:r>
    <w:r w:rsidRPr="00C115EC">
      <w:rPr>
        <w:rFonts w:cs="Arial"/>
      </w:rPr>
      <w:t xml:space="preserve"> Strategy</w:t>
    </w:r>
    <w:r>
      <w:rPr>
        <w:rFonts w:cs="Arial"/>
      </w:rPr>
      <w:t xml:space="preserve">                                                                                      </w:t>
    </w:r>
    <w:r w:rsidR="00EF12E1">
      <w:rPr>
        <w:rFonts w:cs="Arial"/>
      </w:rPr>
      <w:tab/>
    </w:r>
    <w:r w:rsidRPr="00F22C89">
      <w:rPr>
        <w:rFonts w:cs="Arial"/>
      </w:rPr>
      <w:t xml:space="preserve">Page </w:t>
    </w:r>
    <w:r>
      <w:rPr>
        <w:rFonts w:cs="Arial"/>
      </w:rPr>
      <w:fldChar w:fldCharType="begin"/>
    </w:r>
    <w:r>
      <w:rPr>
        <w:rFonts w:cs="Arial"/>
      </w:rPr>
      <w:instrText xml:space="preserve"> PAGE </w:instrText>
    </w:r>
    <w:r>
      <w:rPr>
        <w:rFonts w:cs="Arial"/>
      </w:rPr>
      <w:fldChar w:fldCharType="separate"/>
    </w:r>
    <w:r w:rsidR="003D1F0C">
      <w:rPr>
        <w:rFonts w:cs="Arial"/>
        <w:noProof/>
      </w:rPr>
      <w:t>31</w:t>
    </w:r>
    <w:r>
      <w:rPr>
        <w:rFonts w:cs="Arial"/>
      </w:rPr>
      <w:fldChar w:fldCharType="end"/>
    </w:r>
    <w:r w:rsidRPr="00F22C89">
      <w:rPr>
        <w:rFonts w:cs="Arial"/>
      </w:rPr>
      <w:t xml:space="preserve"> of </w:t>
    </w:r>
    <w:r w:rsidRPr="00F22C89">
      <w:rPr>
        <w:rFonts w:cs="Arial"/>
      </w:rPr>
      <w:fldChar w:fldCharType="begin"/>
    </w:r>
    <w:r w:rsidRPr="00F22C89">
      <w:rPr>
        <w:rFonts w:cs="Arial"/>
      </w:rPr>
      <w:instrText xml:space="preserve"> NUMPAGES </w:instrText>
    </w:r>
    <w:r w:rsidRPr="00F22C89">
      <w:rPr>
        <w:rFonts w:cs="Arial"/>
      </w:rPr>
      <w:fldChar w:fldCharType="separate"/>
    </w:r>
    <w:r w:rsidR="003D1F0C">
      <w:rPr>
        <w:rFonts w:cs="Arial"/>
        <w:noProof/>
      </w:rPr>
      <w:t>48</w:t>
    </w:r>
    <w:r w:rsidRPr="00F22C89">
      <w:rPr>
        <w:rFonts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00E9" w14:textId="77777777" w:rsidR="006453A1" w:rsidRDefault="0064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46B0" w14:textId="77777777" w:rsidR="006453A1" w:rsidRDefault="006453A1" w:rsidP="00C02CC8">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7AC9BB68" w14:textId="7458D339" w:rsidR="006453A1" w:rsidRDefault="006453A1" w:rsidP="00956A7D">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sidR="00862C9A">
      <w:rPr>
        <w:rFonts w:cs="Arial"/>
      </w:rPr>
      <w:t>Management</w:t>
    </w:r>
    <w:r w:rsidRPr="00C115EC">
      <w:rPr>
        <w:rFonts w:cs="Arial"/>
      </w:rPr>
      <w:t xml:space="preserve"> Strategy</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F22C89">
      <w:rPr>
        <w:rFonts w:cs="Arial"/>
      </w:rPr>
      <w:t xml:space="preserve">Page </w:t>
    </w:r>
    <w:r>
      <w:rPr>
        <w:rFonts w:cs="Arial"/>
      </w:rPr>
      <w:fldChar w:fldCharType="begin"/>
    </w:r>
    <w:r>
      <w:rPr>
        <w:rFonts w:cs="Arial"/>
      </w:rPr>
      <w:instrText>PAGE</w:instrText>
    </w:r>
    <w:r>
      <w:rPr>
        <w:rFonts w:cs="Arial"/>
      </w:rPr>
      <w:fldChar w:fldCharType="separate"/>
    </w:r>
    <w:r w:rsidR="001A6846">
      <w:rPr>
        <w:rFonts w:cs="Arial"/>
        <w:noProof/>
      </w:rPr>
      <w:t>41</w:t>
    </w:r>
    <w:r>
      <w:rPr>
        <w:rFonts w:cs="Arial"/>
      </w:rPr>
      <w:fldChar w:fldCharType="end"/>
    </w:r>
    <w:r>
      <w:rPr>
        <w:rFonts w:cs="Arial"/>
      </w:rPr>
      <w:t xml:space="preserve"> </w:t>
    </w:r>
    <w:r w:rsidRPr="00F22C89">
      <w:rPr>
        <w:rFonts w:cs="Arial"/>
      </w:rPr>
      <w:t xml:space="preserve">of </w:t>
    </w:r>
    <w:r w:rsidRPr="00F22C89">
      <w:rPr>
        <w:rFonts w:cs="Arial"/>
      </w:rPr>
      <w:fldChar w:fldCharType="begin"/>
    </w:r>
    <w:r w:rsidRPr="00F22C89">
      <w:rPr>
        <w:rFonts w:cs="Arial"/>
      </w:rPr>
      <w:instrText xml:space="preserve"> NUMPAGES </w:instrText>
    </w:r>
    <w:r w:rsidRPr="00F22C89">
      <w:rPr>
        <w:rFonts w:cs="Arial"/>
      </w:rPr>
      <w:fldChar w:fldCharType="separate"/>
    </w:r>
    <w:r w:rsidR="001A6846">
      <w:rPr>
        <w:rFonts w:cs="Arial"/>
        <w:noProof/>
      </w:rPr>
      <w:t>41</w:t>
    </w:r>
    <w:r w:rsidRPr="00F22C89">
      <w:rPr>
        <w:rFonts w:cs="Arial"/>
      </w:rPr>
      <w:fldChar w:fldCharType="end"/>
    </w:r>
  </w:p>
  <w:p w14:paraId="28276D28" w14:textId="77777777" w:rsidR="006453A1" w:rsidRDefault="00645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5960" w14:textId="77777777" w:rsidR="006453A1" w:rsidRDefault="006453A1" w:rsidP="00FD2EA3">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40067DEF" w14:textId="5EBD35AC" w:rsidR="006453A1" w:rsidRPr="00CF4634" w:rsidRDefault="006453A1" w:rsidP="00CF4634">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sidR="00862C9A">
      <w:rPr>
        <w:rFonts w:cs="Arial"/>
      </w:rPr>
      <w:t xml:space="preserve">Management </w:t>
    </w:r>
    <w:r w:rsidRPr="00C115EC">
      <w:rPr>
        <w:rFonts w:cs="Arial"/>
      </w:rPr>
      <w:t>Strategy</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F22C89">
      <w:rPr>
        <w:rFonts w:cs="Arial"/>
      </w:rPr>
      <w:t xml:space="preserve">Page </w:t>
    </w:r>
    <w:r>
      <w:rPr>
        <w:rFonts w:cs="Arial"/>
      </w:rPr>
      <w:fldChar w:fldCharType="begin"/>
    </w:r>
    <w:r>
      <w:rPr>
        <w:rFonts w:cs="Arial"/>
      </w:rPr>
      <w:instrText xml:space="preserve"> PAGE </w:instrText>
    </w:r>
    <w:r>
      <w:rPr>
        <w:rFonts w:cs="Arial"/>
      </w:rPr>
      <w:fldChar w:fldCharType="separate"/>
    </w:r>
    <w:r w:rsidR="003D1F0C">
      <w:rPr>
        <w:rFonts w:cs="Arial"/>
        <w:noProof/>
      </w:rPr>
      <w:t>37</w:t>
    </w:r>
    <w:r>
      <w:rPr>
        <w:rFonts w:cs="Arial"/>
      </w:rPr>
      <w:fldChar w:fldCharType="end"/>
    </w:r>
    <w:r w:rsidRPr="00F22C89">
      <w:rPr>
        <w:rFonts w:cs="Arial"/>
      </w:rPr>
      <w:t xml:space="preserve"> of </w:t>
    </w:r>
    <w:r w:rsidRPr="00F22C89">
      <w:rPr>
        <w:rFonts w:cs="Arial"/>
      </w:rPr>
      <w:fldChar w:fldCharType="begin"/>
    </w:r>
    <w:r w:rsidRPr="00F22C89">
      <w:rPr>
        <w:rFonts w:cs="Arial"/>
      </w:rPr>
      <w:instrText xml:space="preserve"> NUMPAGES </w:instrText>
    </w:r>
    <w:r w:rsidRPr="00F22C89">
      <w:rPr>
        <w:rFonts w:cs="Arial"/>
      </w:rPr>
      <w:fldChar w:fldCharType="separate"/>
    </w:r>
    <w:r w:rsidR="003D1F0C">
      <w:rPr>
        <w:rFonts w:cs="Arial"/>
        <w:noProof/>
      </w:rPr>
      <w:t>48</w:t>
    </w:r>
    <w:r w:rsidRPr="00F22C89">
      <w:rPr>
        <w:rFonts w:cs="Aria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DD6D" w14:textId="77777777" w:rsidR="006453A1" w:rsidRDefault="0064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CCAF" w14:textId="77777777" w:rsidR="006453A1" w:rsidRDefault="006453A1" w:rsidP="00C02CC8">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4E604032" w14:textId="5369710E" w:rsidR="006453A1" w:rsidRDefault="006453A1" w:rsidP="00956A7D">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sidR="00862C9A">
      <w:rPr>
        <w:rFonts w:cs="Arial"/>
      </w:rPr>
      <w:t>Management</w:t>
    </w:r>
    <w:r w:rsidRPr="00C115EC">
      <w:rPr>
        <w:rFonts w:cs="Arial"/>
      </w:rPr>
      <w:t xml:space="preserve"> Strategy</w:t>
    </w:r>
    <w:r>
      <w:rPr>
        <w:rFonts w:cs="Arial"/>
      </w:rPr>
      <w:t xml:space="preserve">                                                                                                  </w:t>
    </w:r>
    <w:r>
      <w:rPr>
        <w:rFonts w:cs="Arial"/>
      </w:rPr>
      <w:tab/>
    </w:r>
    <w:r w:rsidRPr="00F22C89">
      <w:rPr>
        <w:rFonts w:cs="Arial"/>
      </w:rPr>
      <w:t xml:space="preserve">Page </w:t>
    </w:r>
    <w:r>
      <w:rPr>
        <w:rFonts w:cs="Arial"/>
      </w:rPr>
      <w:fldChar w:fldCharType="begin"/>
    </w:r>
    <w:r>
      <w:rPr>
        <w:rFonts w:cs="Arial"/>
      </w:rPr>
      <w:instrText>PAGE</w:instrText>
    </w:r>
    <w:r>
      <w:rPr>
        <w:rFonts w:cs="Arial"/>
      </w:rPr>
      <w:fldChar w:fldCharType="separate"/>
    </w:r>
    <w:r w:rsidR="001A6846">
      <w:rPr>
        <w:rFonts w:cs="Arial"/>
        <w:noProof/>
      </w:rPr>
      <w:t>48</w:t>
    </w:r>
    <w:r>
      <w:rPr>
        <w:rFonts w:cs="Arial"/>
      </w:rPr>
      <w:fldChar w:fldCharType="end"/>
    </w:r>
    <w:r>
      <w:rPr>
        <w:rFonts w:cs="Arial"/>
      </w:rPr>
      <w:t xml:space="preserve"> </w:t>
    </w:r>
    <w:r w:rsidRPr="00F22C89">
      <w:rPr>
        <w:rFonts w:cs="Arial"/>
      </w:rPr>
      <w:t xml:space="preserve">of </w:t>
    </w:r>
    <w:r w:rsidRPr="00F22C89">
      <w:rPr>
        <w:rFonts w:cs="Arial"/>
      </w:rPr>
      <w:fldChar w:fldCharType="begin"/>
    </w:r>
    <w:r w:rsidRPr="00F22C89">
      <w:rPr>
        <w:rFonts w:cs="Arial"/>
      </w:rPr>
      <w:instrText xml:space="preserve"> NUMPAGES </w:instrText>
    </w:r>
    <w:r w:rsidRPr="00F22C89">
      <w:rPr>
        <w:rFonts w:cs="Arial"/>
      </w:rPr>
      <w:fldChar w:fldCharType="separate"/>
    </w:r>
    <w:r w:rsidR="001A6846">
      <w:rPr>
        <w:rFonts w:cs="Arial"/>
        <w:noProof/>
      </w:rPr>
      <w:t>48</w:t>
    </w:r>
    <w:r w:rsidRPr="00F22C89">
      <w:rPr>
        <w:rFonts w:cs="Arial"/>
      </w:rPr>
      <w:fldChar w:fldCharType="end"/>
    </w:r>
  </w:p>
  <w:p w14:paraId="5D8BAA49" w14:textId="77777777" w:rsidR="006453A1" w:rsidRDefault="00645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8FFB" w14:textId="77777777" w:rsidR="006453A1" w:rsidRDefault="006453A1" w:rsidP="00FD2EA3">
    <w:pPr>
      <w:pStyle w:val="Header"/>
      <w:pBdr>
        <w:bottom w:val="single" w:sz="4" w:space="1" w:color="auto"/>
      </w:pBdr>
      <w:tabs>
        <w:tab w:val="clear" w:pos="4153"/>
        <w:tab w:val="clear" w:pos="8306"/>
        <w:tab w:val="right" w:pos="9360"/>
      </w:tabs>
      <w:rPr>
        <w:rFonts w:cs="Arial"/>
      </w:rPr>
    </w:pPr>
    <w:r w:rsidRPr="00C115EC">
      <w:rPr>
        <w:rFonts w:cs="Arial"/>
      </w:rPr>
      <w:t>Scottish Borders Council</w:t>
    </w:r>
    <w:r>
      <w:rPr>
        <w:rFonts w:cs="Arial"/>
      </w:rPr>
      <w:tab/>
    </w:r>
  </w:p>
  <w:p w14:paraId="32376D19" w14:textId="684B236B" w:rsidR="006453A1" w:rsidRPr="00CF4634" w:rsidRDefault="006453A1" w:rsidP="00CF4634">
    <w:pPr>
      <w:pStyle w:val="Header"/>
      <w:pBdr>
        <w:bottom w:val="single" w:sz="4" w:space="1" w:color="auto"/>
      </w:pBdr>
      <w:tabs>
        <w:tab w:val="clear" w:pos="4153"/>
        <w:tab w:val="clear" w:pos="8306"/>
        <w:tab w:val="right" w:pos="9360"/>
      </w:tabs>
      <w:rPr>
        <w:rFonts w:cs="Arial"/>
      </w:rPr>
    </w:pPr>
    <w:r w:rsidRPr="00C115EC">
      <w:rPr>
        <w:rFonts w:cs="Arial"/>
      </w:rPr>
      <w:t xml:space="preserve">Treasury </w:t>
    </w:r>
    <w:r w:rsidR="00862C9A">
      <w:rPr>
        <w:rFonts w:cs="Arial"/>
      </w:rPr>
      <w:t xml:space="preserve">Management </w:t>
    </w:r>
    <w:r w:rsidRPr="00C115EC">
      <w:rPr>
        <w:rFonts w:cs="Arial"/>
      </w:rPr>
      <w:t>Strategy</w:t>
    </w:r>
    <w:r>
      <w:rPr>
        <w:rFonts w:cs="Arial"/>
      </w:rPr>
      <w:t xml:space="preserve">                                                                                                      </w:t>
    </w:r>
    <w:r>
      <w:rPr>
        <w:rFonts w:cs="Arial"/>
      </w:rPr>
      <w:tab/>
      <w:t>P</w:t>
    </w:r>
    <w:r w:rsidRPr="00F22C89">
      <w:rPr>
        <w:rFonts w:cs="Arial"/>
      </w:rPr>
      <w:t xml:space="preserve">age </w:t>
    </w:r>
    <w:r>
      <w:rPr>
        <w:rFonts w:cs="Arial"/>
      </w:rPr>
      <w:fldChar w:fldCharType="begin"/>
    </w:r>
    <w:r>
      <w:rPr>
        <w:rFonts w:cs="Arial"/>
      </w:rPr>
      <w:instrText xml:space="preserve"> PAGE </w:instrText>
    </w:r>
    <w:r>
      <w:rPr>
        <w:rFonts w:cs="Arial"/>
      </w:rPr>
      <w:fldChar w:fldCharType="separate"/>
    </w:r>
    <w:r w:rsidR="001A6846">
      <w:rPr>
        <w:rFonts w:cs="Arial"/>
        <w:noProof/>
      </w:rPr>
      <w:t>42</w:t>
    </w:r>
    <w:r>
      <w:rPr>
        <w:rFonts w:cs="Arial"/>
      </w:rPr>
      <w:fldChar w:fldCharType="end"/>
    </w:r>
    <w:r w:rsidRPr="00F22C89">
      <w:rPr>
        <w:rFonts w:cs="Arial"/>
      </w:rPr>
      <w:t xml:space="preserve"> of </w:t>
    </w:r>
    <w:r w:rsidRPr="00F22C89">
      <w:rPr>
        <w:rFonts w:cs="Arial"/>
      </w:rPr>
      <w:fldChar w:fldCharType="begin"/>
    </w:r>
    <w:r w:rsidRPr="00F22C89">
      <w:rPr>
        <w:rFonts w:cs="Arial"/>
      </w:rPr>
      <w:instrText xml:space="preserve"> NUMPAGES </w:instrText>
    </w:r>
    <w:r w:rsidRPr="00F22C89">
      <w:rPr>
        <w:rFonts w:cs="Arial"/>
      </w:rPr>
      <w:fldChar w:fldCharType="separate"/>
    </w:r>
    <w:r w:rsidR="001A6846">
      <w:rPr>
        <w:rFonts w:cs="Arial"/>
        <w:noProof/>
      </w:rPr>
      <w:t>42</w:t>
    </w:r>
    <w:r w:rsidRPr="00F22C89">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C0BAC8"/>
    <w:lvl w:ilvl="0">
      <w:start w:val="1"/>
      <w:numFmt w:val="decimal"/>
      <w:pStyle w:val="ListNumber"/>
      <w:lvlText w:val="%1."/>
      <w:lvlJc w:val="left"/>
      <w:pPr>
        <w:tabs>
          <w:tab w:val="num" w:pos="360"/>
        </w:tabs>
        <w:ind w:left="360" w:hanging="360"/>
      </w:pPr>
    </w:lvl>
  </w:abstractNum>
  <w:abstractNum w:abstractNumId="1" w15:restartNumberingAfterBreak="0">
    <w:nsid w:val="03DB08F6"/>
    <w:multiLevelType w:val="hybridMultilevel"/>
    <w:tmpl w:val="E8DE46FC"/>
    <w:lvl w:ilvl="0" w:tplc="2E6EB672">
      <w:start w:val="1"/>
      <w:numFmt w:val="lowerLetter"/>
      <w:lvlText w:val="%1)"/>
      <w:lvlJc w:val="left"/>
      <w:pPr>
        <w:tabs>
          <w:tab w:val="num" w:pos="567"/>
        </w:tabs>
        <w:ind w:left="567" w:hanging="567"/>
      </w:pPr>
      <w:rPr>
        <w:rFonts w:cs="Times New Roman" w:hint="default"/>
        <w:b/>
        <w:color w:val="993366"/>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16584D"/>
    <w:multiLevelType w:val="multilevel"/>
    <w:tmpl w:val="10E0AB1C"/>
    <w:lvl w:ilvl="0">
      <w:start w:val="5"/>
      <w:numFmt w:val="decimal"/>
      <w:lvlText w:val="%1"/>
      <w:lvlJc w:val="left"/>
      <w:pPr>
        <w:tabs>
          <w:tab w:val="num" w:pos="570"/>
        </w:tabs>
        <w:ind w:left="570" w:hanging="570"/>
      </w:pPr>
      <w:rPr>
        <w:rFonts w:cs="Times New Roman" w:hint="default"/>
        <w:b/>
        <w:color w:val="993366"/>
        <w:sz w:val="28"/>
        <w:szCs w:val="28"/>
      </w:rPr>
    </w:lvl>
    <w:lvl w:ilvl="1">
      <w:start w:val="2"/>
      <w:numFmt w:val="decimal"/>
      <w:lvlText w:val="%1.%2"/>
      <w:lvlJc w:val="left"/>
      <w:pPr>
        <w:tabs>
          <w:tab w:val="num" w:pos="567"/>
        </w:tabs>
        <w:ind w:left="567" w:hanging="567"/>
      </w:pPr>
      <w:rPr>
        <w:rFonts w:ascii="Arial" w:hAnsi="Arial" w:cs="Arial" w:hint="default"/>
        <w:b/>
        <w:i w:val="0"/>
        <w:strike w:val="0"/>
        <w:color w:val="993366"/>
        <w:sz w:val="24"/>
        <w:szCs w:val="24"/>
      </w:rPr>
    </w:lvl>
    <w:lvl w:ilvl="2">
      <w:start w:val="4"/>
      <w:numFmt w:val="lowerLetter"/>
      <w:lvlText w:val="%3)"/>
      <w:lvlJc w:val="left"/>
      <w:pPr>
        <w:tabs>
          <w:tab w:val="num" w:pos="1854"/>
        </w:tabs>
        <w:ind w:left="1854" w:hanging="720"/>
      </w:pPr>
      <w:rPr>
        <w:rFonts w:cs="Times New Roman" w:hint="default"/>
        <w:b/>
        <w:i w:val="0"/>
        <w:strike w:val="0"/>
        <w:color w:val="993366"/>
        <w:sz w:val="22"/>
        <w:szCs w:val="22"/>
      </w:rPr>
    </w:lvl>
    <w:lvl w:ilvl="3">
      <w:start w:val="1"/>
      <w:numFmt w:val="bullet"/>
      <w:lvlText w:val=""/>
      <w:lvlJc w:val="left"/>
      <w:pPr>
        <w:tabs>
          <w:tab w:val="num" w:pos="2421"/>
        </w:tabs>
        <w:ind w:left="2421" w:hanging="720"/>
      </w:pPr>
      <w:rPr>
        <w:rFonts w:ascii="Symbol" w:hAnsi="Symbol" w:hint="default"/>
        <w:b w:val="0"/>
        <w:strike w:val="0"/>
        <w:color w:val="auto"/>
        <w:sz w:val="22"/>
        <w:szCs w:val="22"/>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3" w15:restartNumberingAfterBreak="0">
    <w:nsid w:val="0E422567"/>
    <w:multiLevelType w:val="multilevel"/>
    <w:tmpl w:val="A0B26C92"/>
    <w:lvl w:ilvl="0">
      <w:start w:val="6"/>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67"/>
        </w:tabs>
        <w:ind w:left="567" w:hanging="567"/>
      </w:pPr>
      <w:rPr>
        <w:rFonts w:cs="Times New Roman" w:hint="default"/>
        <w:b/>
        <w:i w:val="0"/>
        <w:color w:val="993366"/>
        <w:sz w:val="24"/>
        <w:szCs w:val="24"/>
      </w:rPr>
    </w:lvl>
    <w:lvl w:ilvl="2">
      <w:start w:val="1"/>
      <w:numFmt w:val="lowerLetter"/>
      <w:lvlText w:val="%3)"/>
      <w:lvlJc w:val="left"/>
      <w:pPr>
        <w:tabs>
          <w:tab w:val="num" w:pos="567"/>
        </w:tabs>
        <w:ind w:left="567" w:hanging="567"/>
      </w:pPr>
      <w:rPr>
        <w:rFonts w:cs="Times New Roman" w:hint="default"/>
        <w:b/>
        <w:i w:val="0"/>
        <w:color w:val="993366"/>
        <w:sz w:val="22"/>
      </w:rPr>
    </w:lvl>
    <w:lvl w:ilvl="3">
      <w:start w:val="1"/>
      <w:numFmt w:val="lowerRoman"/>
      <w:lvlText w:val="(%4)"/>
      <w:lvlJc w:val="left"/>
      <w:pPr>
        <w:tabs>
          <w:tab w:val="num" w:pos="1134"/>
        </w:tabs>
        <w:ind w:left="1134" w:hanging="567"/>
      </w:pPr>
      <w:rPr>
        <w:rFonts w:cs="Times New Roman" w:hint="default"/>
        <w:b w:val="0"/>
        <w:sz w:val="22"/>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4" w15:restartNumberingAfterBreak="0">
    <w:nsid w:val="0ED22DF7"/>
    <w:multiLevelType w:val="multilevel"/>
    <w:tmpl w:val="5274A05C"/>
    <w:lvl w:ilvl="0">
      <w:start w:val="1"/>
      <w:numFmt w:val="decimal"/>
      <w:pStyle w:val="ListBullet"/>
      <w:lvlText w:val="%1"/>
      <w:lvlJc w:val="left"/>
      <w:pPr>
        <w:tabs>
          <w:tab w:val="num" w:pos="570"/>
        </w:tabs>
        <w:ind w:left="570" w:hanging="570"/>
      </w:pPr>
      <w:rPr>
        <w:rFonts w:cs="Times New Roman" w:hint="default"/>
      </w:rPr>
    </w:lvl>
    <w:lvl w:ilvl="1">
      <w:start w:val="1"/>
      <w:numFmt w:val="bullet"/>
      <w:lvlText w:val=""/>
      <w:lvlJc w:val="left"/>
      <w:pPr>
        <w:tabs>
          <w:tab w:val="num" w:pos="927"/>
        </w:tabs>
        <w:ind w:left="927" w:hanging="360"/>
      </w:pPr>
      <w:rPr>
        <w:rFonts w:ascii="Symbol" w:hAnsi="Symbol" w:hint="default"/>
        <w:color w:val="auto"/>
      </w:rPr>
    </w:lvl>
    <w:lvl w:ilvl="2">
      <w:start w:val="1"/>
      <w:numFmt w:val="bullet"/>
      <w:lvlText w:val=""/>
      <w:lvlJc w:val="left"/>
      <w:pPr>
        <w:tabs>
          <w:tab w:val="num" w:pos="1494"/>
        </w:tabs>
        <w:ind w:left="1494" w:hanging="360"/>
      </w:pPr>
      <w:rPr>
        <w:rFonts w:ascii="Symbol" w:hAnsi="Symbol" w:hint="default"/>
        <w:color w:val="auto"/>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5" w15:restartNumberingAfterBreak="0">
    <w:nsid w:val="122E1F0E"/>
    <w:multiLevelType w:val="hybridMultilevel"/>
    <w:tmpl w:val="A26A3678"/>
    <w:lvl w:ilvl="0" w:tplc="E95E70B2">
      <w:start w:val="1"/>
      <w:numFmt w:val="lowerLetter"/>
      <w:lvlText w:val="%1."/>
      <w:lvlJc w:val="left"/>
      <w:pPr>
        <w:tabs>
          <w:tab w:val="num" w:pos="284"/>
        </w:tabs>
        <w:ind w:left="227"/>
      </w:pPr>
      <w:rPr>
        <w:rFonts w:cs="Times New Roman" w:hint="default"/>
        <w:color w:val="auto"/>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F4036B"/>
    <w:multiLevelType w:val="multilevel"/>
    <w:tmpl w:val="F65AA24E"/>
    <w:lvl w:ilvl="0">
      <w:start w:val="5"/>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color w:val="993366"/>
        <w:sz w:val="24"/>
        <w:szCs w:val="24"/>
      </w:rPr>
    </w:lvl>
    <w:lvl w:ilvl="2">
      <w:start w:val="2"/>
      <w:numFmt w:val="lowerLetter"/>
      <w:lvlText w:val="%3)"/>
      <w:lvlJc w:val="left"/>
      <w:pPr>
        <w:tabs>
          <w:tab w:val="num" w:pos="567"/>
        </w:tabs>
        <w:ind w:left="567" w:hanging="567"/>
      </w:pPr>
      <w:rPr>
        <w:rFonts w:ascii="Arial" w:eastAsia="Times New Roman" w:hAnsi="Arial" w:cs="Arial" w:hint="default"/>
        <w:b/>
        <w:i w:val="0"/>
        <w:color w:val="993366"/>
        <w:sz w:val="22"/>
        <w:szCs w:val="22"/>
      </w:rPr>
    </w:lvl>
    <w:lvl w:ilvl="3">
      <w:start w:val="1"/>
      <w:numFmt w:val="lowerLetter"/>
      <w:lvlText w:val="%4)"/>
      <w:lvlJc w:val="left"/>
      <w:pPr>
        <w:tabs>
          <w:tab w:val="num" w:pos="567"/>
        </w:tabs>
        <w:ind w:left="56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7" w15:restartNumberingAfterBreak="0">
    <w:nsid w:val="15480FC7"/>
    <w:multiLevelType w:val="multilevel"/>
    <w:tmpl w:val="FD3CB182"/>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1573034E"/>
    <w:multiLevelType w:val="hybridMultilevel"/>
    <w:tmpl w:val="E12E38D8"/>
    <w:lvl w:ilvl="0" w:tplc="1F0202BE">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E923B6"/>
    <w:multiLevelType w:val="hybridMultilevel"/>
    <w:tmpl w:val="2AC2BAA0"/>
    <w:lvl w:ilvl="0" w:tplc="0F14F60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891ACC"/>
    <w:multiLevelType w:val="hybridMultilevel"/>
    <w:tmpl w:val="8F8C6558"/>
    <w:lvl w:ilvl="0" w:tplc="08090003">
      <w:start w:val="1"/>
      <w:numFmt w:val="lowerLetter"/>
      <w:lvlText w:val="%1."/>
      <w:lvlJc w:val="left"/>
      <w:pPr>
        <w:tabs>
          <w:tab w:val="num" w:pos="1440"/>
        </w:tabs>
        <w:ind w:left="1440" w:hanging="360"/>
      </w:pPr>
      <w:rPr>
        <w:rFonts w:cs="Times New Roman"/>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D2776"/>
    <w:multiLevelType w:val="multilevel"/>
    <w:tmpl w:val="0790976A"/>
    <w:lvl w:ilvl="0">
      <w:start w:val="1"/>
      <w:numFmt w:val="bullet"/>
      <w:lvlText w:val=""/>
      <w:lvlJc w:val="left"/>
      <w:pPr>
        <w:tabs>
          <w:tab w:val="num" w:pos="927"/>
        </w:tabs>
        <w:ind w:left="927" w:hanging="360"/>
      </w:pPr>
      <w:rPr>
        <w:rFonts w:ascii="Symbol" w:hAnsi="Symbol" w:hint="default"/>
        <w:b/>
      </w:rPr>
    </w:lvl>
    <w:lvl w:ilvl="1">
      <w:start w:val="3"/>
      <w:numFmt w:val="decimal"/>
      <w:lvlText w:val="%1.%2"/>
      <w:lvlJc w:val="left"/>
      <w:pPr>
        <w:tabs>
          <w:tab w:val="num" w:pos="1647"/>
        </w:tabs>
        <w:ind w:left="1647" w:hanging="360"/>
      </w:pPr>
      <w:rPr>
        <w:rFonts w:cs="Times New Roman" w:hint="default"/>
        <w:b/>
        <w:color w:val="993366"/>
        <w:sz w:val="24"/>
        <w:szCs w:val="24"/>
      </w:rPr>
    </w:lvl>
    <w:lvl w:ilvl="2">
      <w:start w:val="1"/>
      <w:numFmt w:val="lowerLetter"/>
      <w:lvlText w:val="%3)"/>
      <w:lvlJc w:val="left"/>
      <w:pPr>
        <w:tabs>
          <w:tab w:val="num" w:pos="1134"/>
        </w:tabs>
        <w:ind w:left="1134" w:hanging="567"/>
      </w:pPr>
      <w:rPr>
        <w:rFonts w:ascii="Arial" w:eastAsia="Times New Roman" w:hAnsi="Arial" w:cs="Arial" w:hint="default"/>
        <w:b/>
        <w:i w:val="0"/>
        <w:color w:val="993366"/>
        <w:sz w:val="22"/>
        <w:szCs w:val="22"/>
      </w:rPr>
    </w:lvl>
    <w:lvl w:ilvl="3">
      <w:start w:val="1"/>
      <w:numFmt w:val="lowerLetter"/>
      <w:lvlText w:val="%4)"/>
      <w:lvlJc w:val="left"/>
      <w:pPr>
        <w:tabs>
          <w:tab w:val="num" w:pos="1134"/>
        </w:tabs>
        <w:ind w:left="1134" w:hanging="567"/>
      </w:pPr>
      <w:rPr>
        <w:rFonts w:cs="Times New Roman" w:hint="default"/>
        <w:b/>
        <w:color w:val="993366"/>
        <w:sz w:val="22"/>
        <w:szCs w:val="22"/>
      </w:rPr>
    </w:lvl>
    <w:lvl w:ilvl="4">
      <w:start w:val="1"/>
      <w:numFmt w:val="decimal"/>
      <w:lvlText w:val="%1.%2.%3.%4.%5"/>
      <w:lvlJc w:val="left"/>
      <w:pPr>
        <w:tabs>
          <w:tab w:val="num" w:pos="3807"/>
        </w:tabs>
        <w:ind w:left="3807" w:hanging="1080"/>
      </w:pPr>
      <w:rPr>
        <w:rFonts w:cs="Times New Roman" w:hint="default"/>
      </w:rPr>
    </w:lvl>
    <w:lvl w:ilvl="5">
      <w:start w:val="1"/>
      <w:numFmt w:val="decimal"/>
      <w:lvlText w:val="%1.%2.%3.%4.%5.%6"/>
      <w:lvlJc w:val="left"/>
      <w:pPr>
        <w:tabs>
          <w:tab w:val="num" w:pos="4347"/>
        </w:tabs>
        <w:ind w:left="4347" w:hanging="1080"/>
      </w:pPr>
      <w:rPr>
        <w:rFonts w:cs="Times New Roman" w:hint="default"/>
      </w:rPr>
    </w:lvl>
    <w:lvl w:ilvl="6">
      <w:start w:val="1"/>
      <w:numFmt w:val="decimal"/>
      <w:lvlText w:val="%1.%2.%3.%4.%5.%6.%7"/>
      <w:lvlJc w:val="left"/>
      <w:pPr>
        <w:tabs>
          <w:tab w:val="num" w:pos="5247"/>
        </w:tabs>
        <w:ind w:left="5247" w:hanging="1440"/>
      </w:pPr>
      <w:rPr>
        <w:rFonts w:cs="Times New Roman" w:hint="default"/>
      </w:rPr>
    </w:lvl>
    <w:lvl w:ilvl="7">
      <w:start w:val="1"/>
      <w:numFmt w:val="decimal"/>
      <w:lvlText w:val="%1.%2.%3.%4.%5.%6.%7.%8"/>
      <w:lvlJc w:val="left"/>
      <w:pPr>
        <w:tabs>
          <w:tab w:val="num" w:pos="5787"/>
        </w:tabs>
        <w:ind w:left="5787" w:hanging="1440"/>
      </w:pPr>
      <w:rPr>
        <w:rFonts w:cs="Times New Roman" w:hint="default"/>
      </w:rPr>
    </w:lvl>
    <w:lvl w:ilvl="8">
      <w:start w:val="1"/>
      <w:numFmt w:val="decimal"/>
      <w:lvlText w:val="%1.%2.%3.%4.%5.%6.%7.%8.%9"/>
      <w:lvlJc w:val="left"/>
      <w:pPr>
        <w:tabs>
          <w:tab w:val="num" w:pos="6687"/>
        </w:tabs>
        <w:ind w:left="6687" w:hanging="1800"/>
      </w:pPr>
      <w:rPr>
        <w:rFonts w:cs="Times New Roman" w:hint="default"/>
      </w:rPr>
    </w:lvl>
  </w:abstractNum>
  <w:abstractNum w:abstractNumId="12" w15:restartNumberingAfterBreak="0">
    <w:nsid w:val="1ECE0C5C"/>
    <w:multiLevelType w:val="hybridMultilevel"/>
    <w:tmpl w:val="B9AED24A"/>
    <w:lvl w:ilvl="0" w:tplc="41E203C0">
      <w:start w:val="3"/>
      <w:numFmt w:val="lowerLetter"/>
      <w:lvlText w:val="%1)"/>
      <w:lvlJc w:val="left"/>
      <w:pPr>
        <w:tabs>
          <w:tab w:val="num" w:pos="567"/>
        </w:tabs>
        <w:ind w:left="567" w:hanging="567"/>
      </w:pPr>
      <w:rPr>
        <w:rFonts w:cs="Times New Roman" w:hint="default"/>
        <w:b/>
        <w:color w:val="993366"/>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452D1"/>
    <w:multiLevelType w:val="hybridMultilevel"/>
    <w:tmpl w:val="3CF86BF0"/>
    <w:lvl w:ilvl="0" w:tplc="72C80508">
      <w:start w:val="1"/>
      <w:numFmt w:val="decimal"/>
      <w:lvlText w:val="%1."/>
      <w:lvlJc w:val="left"/>
      <w:pPr>
        <w:tabs>
          <w:tab w:val="num" w:pos="390"/>
        </w:tabs>
        <w:ind w:left="390" w:hanging="390"/>
      </w:pPr>
      <w:rPr>
        <w:rFonts w:hint="default"/>
        <w:b/>
      </w:rPr>
    </w:lvl>
    <w:lvl w:ilvl="1" w:tplc="00D43932">
      <w:start w:val="2"/>
      <w:numFmt w:val="lowerLetter"/>
      <w:lvlText w:val="%2."/>
      <w:lvlJc w:val="left"/>
      <w:pPr>
        <w:tabs>
          <w:tab w:val="num" w:pos="1080"/>
        </w:tabs>
        <w:ind w:left="1080" w:hanging="360"/>
      </w:pPr>
      <w:rPr>
        <w:rFonts w:hint="default"/>
      </w:rPr>
    </w:lvl>
    <w:lvl w:ilvl="2" w:tplc="4B6CFE38">
      <w:start w:val="1"/>
      <w:numFmt w:val="lowerLetter"/>
      <w:lvlText w:val="%3."/>
      <w:lvlJc w:val="left"/>
      <w:pPr>
        <w:tabs>
          <w:tab w:val="num" w:pos="1980"/>
        </w:tabs>
        <w:ind w:left="1980" w:hanging="360"/>
      </w:pPr>
      <w:rPr>
        <w:rFonts w:hint="default"/>
      </w:rPr>
    </w:lvl>
    <w:lvl w:ilvl="3" w:tplc="4DB469A8">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5F143C6"/>
    <w:multiLevelType w:val="multilevel"/>
    <w:tmpl w:val="AAA63E6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b/>
        <w:color w:val="993366"/>
        <w:sz w:val="24"/>
        <w:szCs w:val="24"/>
      </w:rPr>
    </w:lvl>
    <w:lvl w:ilvl="2">
      <w:start w:val="1"/>
      <w:numFmt w:val="decimal"/>
      <w:lvlText w:val="%1.%2.%3"/>
      <w:lvlJc w:val="left"/>
      <w:pPr>
        <w:tabs>
          <w:tab w:val="num" w:pos="720"/>
        </w:tabs>
        <w:ind w:left="720" w:hanging="720"/>
      </w:pPr>
      <w:rPr>
        <w:rFonts w:cs="Times New Roman" w:hint="default"/>
        <w:b/>
        <w:color w:val="993366"/>
        <w:sz w:val="22"/>
        <w:szCs w:val="22"/>
      </w:rPr>
    </w:lvl>
    <w:lvl w:ilvl="3">
      <w:start w:val="1"/>
      <w:numFmt w:val="bullet"/>
      <w:lvlText w:val=""/>
      <w:lvlJc w:val="left"/>
      <w:pPr>
        <w:tabs>
          <w:tab w:val="num" w:pos="540"/>
        </w:tabs>
        <w:ind w:left="540" w:hanging="360"/>
      </w:pPr>
      <w:rPr>
        <w:rFonts w:ascii="Symbol" w:hAnsi="Symbol"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27826017"/>
    <w:multiLevelType w:val="multilevel"/>
    <w:tmpl w:val="711EF73A"/>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67"/>
        </w:tabs>
        <w:ind w:left="567" w:hanging="567"/>
      </w:pPr>
      <w:rPr>
        <w:rFonts w:cs="Times New Roman" w:hint="default"/>
        <w:b/>
        <w:i w:val="0"/>
        <w:color w:val="993366"/>
        <w:sz w:val="22"/>
        <w:szCs w:val="22"/>
      </w:rPr>
    </w:lvl>
    <w:lvl w:ilvl="2">
      <w:start w:val="1"/>
      <w:numFmt w:val="lowerLetter"/>
      <w:lvlText w:val="%3)"/>
      <w:lvlJc w:val="left"/>
      <w:pPr>
        <w:tabs>
          <w:tab w:val="num" w:pos="567"/>
        </w:tabs>
        <w:ind w:left="567" w:hanging="567"/>
      </w:pPr>
      <w:rPr>
        <w:rFonts w:cs="Times New Roman" w:hint="default"/>
        <w:b/>
        <w:i w:val="0"/>
        <w:color w:val="993366"/>
        <w:sz w:val="22"/>
      </w:rPr>
    </w:lvl>
    <w:lvl w:ilvl="3">
      <w:start w:val="1"/>
      <w:numFmt w:val="lowerLetter"/>
      <w:lvlText w:val="%4)"/>
      <w:lvlJc w:val="left"/>
      <w:pPr>
        <w:ind w:left="927" w:hanging="360"/>
      </w:pPr>
      <w:rPr>
        <w:b/>
        <w:bCs/>
        <w:color w:val="943634" w:themeColor="accent2" w:themeShade="BF"/>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16" w15:restartNumberingAfterBreak="0">
    <w:nsid w:val="27B03604"/>
    <w:multiLevelType w:val="hybridMultilevel"/>
    <w:tmpl w:val="22AC8BBE"/>
    <w:lvl w:ilvl="0" w:tplc="8DB25BB2">
      <w:numFmt w:val="bullet"/>
      <w:lvlText w:val="-"/>
      <w:lvlJc w:val="left"/>
      <w:pPr>
        <w:ind w:left="785" w:hanging="360"/>
      </w:pPr>
      <w:rPr>
        <w:rFonts w:ascii="Optima LT Std" w:eastAsiaTheme="minorHAnsi" w:hAnsi="Optima LT Std" w:cstheme="minorBid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15:restartNumberingAfterBreak="0">
    <w:nsid w:val="2A830DA1"/>
    <w:multiLevelType w:val="multilevel"/>
    <w:tmpl w:val="F226635A"/>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567"/>
        </w:tabs>
        <w:ind w:left="567" w:hanging="567"/>
      </w:pPr>
      <w:rPr>
        <w:rFonts w:ascii="Arial" w:hAnsi="Arial" w:cs="Arial" w:hint="default"/>
        <w:b/>
        <w:color w:val="993366"/>
        <w:sz w:val="22"/>
        <w:szCs w:val="22"/>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sz w:val="22"/>
        <w:szCs w:val="22"/>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8" w15:restartNumberingAfterBreak="0">
    <w:nsid w:val="2B312939"/>
    <w:multiLevelType w:val="hybridMultilevel"/>
    <w:tmpl w:val="A2DA110C"/>
    <w:lvl w:ilvl="0" w:tplc="0809000F">
      <w:start w:val="1"/>
      <w:numFmt w:val="decimal"/>
      <w:lvlText w:val="%1."/>
      <w:lvlJc w:val="left"/>
      <w:pPr>
        <w:tabs>
          <w:tab w:val="num" w:pos="720"/>
        </w:tabs>
        <w:ind w:left="720" w:hanging="360"/>
      </w:pPr>
      <w:rPr>
        <w:rFonts w:hint="default"/>
      </w:rPr>
    </w:lvl>
    <w:lvl w:ilvl="1" w:tplc="59AED8E0">
      <w:start w:val="1"/>
      <w:numFmt w:val="lowerLetter"/>
      <w:lvlText w:val="(%2)"/>
      <w:lvlJc w:val="left"/>
      <w:pPr>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BE8296C"/>
    <w:multiLevelType w:val="multilevel"/>
    <w:tmpl w:val="49B28296"/>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0" w15:restartNumberingAfterBreak="0">
    <w:nsid w:val="2C9C1EC0"/>
    <w:multiLevelType w:val="hybridMultilevel"/>
    <w:tmpl w:val="DAEC431E"/>
    <w:lvl w:ilvl="0" w:tplc="08090003">
      <w:start w:val="1"/>
      <w:numFmt w:val="bullet"/>
      <w:lvlText w:val="o"/>
      <w:lvlJc w:val="left"/>
      <w:pPr>
        <w:tabs>
          <w:tab w:val="num" w:pos="720"/>
        </w:tabs>
        <w:ind w:left="720" w:hanging="360"/>
      </w:pPr>
      <w:rPr>
        <w:rFonts w:ascii="Courier New" w:hAnsi="Courier New" w:cs="Courier New"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CE1ECF"/>
    <w:multiLevelType w:val="hybridMultilevel"/>
    <w:tmpl w:val="B2085F44"/>
    <w:lvl w:ilvl="0" w:tplc="4EF69B1A">
      <w:start w:val="1"/>
      <w:numFmt w:val="bullet"/>
      <w:lvlText w:val=""/>
      <w:lvlJc w:val="left"/>
      <w:pPr>
        <w:tabs>
          <w:tab w:val="num" w:pos="1080"/>
        </w:tabs>
        <w:ind w:left="1080" w:hanging="360"/>
      </w:pPr>
      <w:rPr>
        <w:rFonts w:ascii="Symbol" w:hAnsi="Symbol" w:hint="default"/>
        <w:b w:val="0"/>
        <w:i w:val="0"/>
        <w:strike w:val="0"/>
        <w:color w:val="auto"/>
        <w:sz w:val="20"/>
      </w:rPr>
    </w:lvl>
    <w:lvl w:ilvl="1" w:tplc="08090019">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2DC0607D"/>
    <w:multiLevelType w:val="hybridMultilevel"/>
    <w:tmpl w:val="DF0C4B9C"/>
    <w:lvl w:ilvl="0" w:tplc="A5D099DA">
      <w:start w:val="1"/>
      <w:numFmt w:val="bullet"/>
      <w:lvlText w:val=""/>
      <w:lvlJc w:val="left"/>
      <w:pPr>
        <w:tabs>
          <w:tab w:val="num" w:pos="2700"/>
        </w:tabs>
        <w:ind w:left="2700" w:hanging="360"/>
      </w:pPr>
      <w:rPr>
        <w:rFonts w:ascii="Symbol" w:hAnsi="Symbol" w:hint="default"/>
        <w:sz w:val="22"/>
      </w:rPr>
    </w:lvl>
    <w:lvl w:ilvl="1" w:tplc="0809000F">
      <w:start w:val="1"/>
      <w:numFmt w:val="decimal"/>
      <w:lvlText w:val="%2."/>
      <w:lvlJc w:val="left"/>
      <w:pPr>
        <w:tabs>
          <w:tab w:val="num" w:pos="2160"/>
        </w:tabs>
        <w:ind w:left="2160" w:hanging="360"/>
      </w:pPr>
      <w:rPr>
        <w:rFonts w:cs="Times New Roman" w:hint="default"/>
        <w:sz w:val="22"/>
      </w:rPr>
    </w:lvl>
    <w:lvl w:ilvl="2" w:tplc="A9EC34E8">
      <w:start w:val="2"/>
      <w:numFmt w:val="lowerLetter"/>
      <w:lvlText w:val="%3)"/>
      <w:lvlJc w:val="left"/>
      <w:pPr>
        <w:tabs>
          <w:tab w:val="num" w:pos="2880"/>
        </w:tabs>
        <w:ind w:left="2880" w:hanging="360"/>
      </w:pPr>
      <w:rPr>
        <w:rFonts w:cs="Times New Roman" w:hint="default"/>
      </w:rPr>
    </w:lvl>
    <w:lvl w:ilvl="3" w:tplc="503A37AC">
      <w:start w:val="1"/>
      <w:numFmt w:val="lowerLetter"/>
      <w:lvlText w:val="%4)"/>
      <w:lvlJc w:val="left"/>
      <w:pPr>
        <w:tabs>
          <w:tab w:val="num" w:pos="3600"/>
        </w:tabs>
        <w:ind w:left="3600" w:hanging="360"/>
      </w:pPr>
      <w:rPr>
        <w:rFonts w:cs="Times New Roman" w:hint="default"/>
        <w:b/>
        <w:color w:val="993366"/>
      </w:rPr>
    </w:lvl>
    <w:lvl w:ilvl="4" w:tplc="08090003">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EAA7BB9"/>
    <w:multiLevelType w:val="hybridMultilevel"/>
    <w:tmpl w:val="6C824F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25303A"/>
    <w:multiLevelType w:val="multilevel"/>
    <w:tmpl w:val="263C551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137"/>
        </w:tabs>
        <w:ind w:left="1137" w:hanging="570"/>
      </w:pPr>
      <w:rPr>
        <w:rFonts w:cs="Times New Roman" w:hint="default"/>
        <w:b w:val="0"/>
      </w:rPr>
    </w:lvl>
    <w:lvl w:ilvl="2">
      <w:start w:val="1"/>
      <w:numFmt w:val="lowerLetter"/>
      <w:lvlText w:val="%3)"/>
      <w:lvlJc w:val="left"/>
      <w:pPr>
        <w:tabs>
          <w:tab w:val="num" w:pos="1854"/>
        </w:tabs>
        <w:ind w:left="1854" w:hanging="720"/>
      </w:pPr>
      <w:rPr>
        <w:rFonts w:cs="Times New Roman" w:hint="default"/>
        <w:b/>
        <w:color w:val="993366"/>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5" w15:restartNumberingAfterBreak="0">
    <w:nsid w:val="31B94401"/>
    <w:multiLevelType w:val="multilevel"/>
    <w:tmpl w:val="E528BA22"/>
    <w:lvl w:ilvl="0">
      <w:start w:val="1"/>
      <w:numFmt w:val="decimal"/>
      <w:lvlText w:val="%1"/>
      <w:lvlJc w:val="left"/>
      <w:pPr>
        <w:tabs>
          <w:tab w:val="num" w:pos="570"/>
        </w:tabs>
        <w:ind w:left="570" w:hanging="570"/>
      </w:pPr>
      <w:rPr>
        <w:rFonts w:ascii="Arial" w:eastAsia="Times New Roman" w:hAnsi="Arial" w:cs="Times New Roman"/>
        <w:b/>
        <w:color w:val="993366"/>
        <w:sz w:val="28"/>
        <w:szCs w:val="28"/>
      </w:rPr>
    </w:lvl>
    <w:lvl w:ilvl="1">
      <w:start w:val="1"/>
      <w:numFmt w:val="decimal"/>
      <w:lvlText w:val="%1.%2"/>
      <w:lvlJc w:val="left"/>
      <w:pPr>
        <w:tabs>
          <w:tab w:val="num" w:pos="567"/>
        </w:tabs>
        <w:ind w:left="567" w:hanging="567"/>
      </w:pPr>
      <w:rPr>
        <w:rFonts w:ascii="Arial" w:hAnsi="Arial" w:cs="Arial" w:hint="default"/>
        <w:b/>
        <w:i w:val="0"/>
        <w:strike w:val="0"/>
        <w:color w:val="993366"/>
        <w:sz w:val="22"/>
        <w:szCs w:val="22"/>
      </w:rPr>
    </w:lvl>
    <w:lvl w:ilvl="2">
      <w:start w:val="1"/>
      <w:numFmt w:val="lowerLetter"/>
      <w:lvlText w:val="%3)"/>
      <w:lvlJc w:val="left"/>
      <w:pPr>
        <w:tabs>
          <w:tab w:val="num" w:pos="1854"/>
        </w:tabs>
        <w:ind w:left="1854" w:hanging="720"/>
      </w:pPr>
      <w:rPr>
        <w:rFonts w:cs="Times New Roman" w:hint="default"/>
        <w:b/>
        <w:i w:val="0"/>
        <w:strike w:val="0"/>
        <w:color w:val="993366"/>
        <w:sz w:val="22"/>
        <w:szCs w:val="22"/>
      </w:rPr>
    </w:lvl>
    <w:lvl w:ilvl="3">
      <w:start w:val="1"/>
      <w:numFmt w:val="lowerRoman"/>
      <w:lvlText w:val="(%4)"/>
      <w:lvlJc w:val="left"/>
      <w:pPr>
        <w:tabs>
          <w:tab w:val="num" w:pos="2421"/>
        </w:tabs>
        <w:ind w:left="2421" w:hanging="720"/>
      </w:pPr>
      <w:rPr>
        <w:rFonts w:ascii="Arial" w:hAnsi="Arial" w:cs="Arial" w:hint="default"/>
        <w:b w:val="0"/>
        <w:strike w:val="0"/>
        <w:color w:val="auto"/>
        <w:sz w:val="22"/>
        <w:szCs w:val="22"/>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6" w15:restartNumberingAfterBreak="0">
    <w:nsid w:val="325766F6"/>
    <w:multiLevelType w:val="multilevel"/>
    <w:tmpl w:val="4A12EFDE"/>
    <w:lvl w:ilvl="0">
      <w:start w:val="5"/>
      <w:numFmt w:val="decimal"/>
      <w:lvlText w:val="%1"/>
      <w:lvlJc w:val="left"/>
      <w:pPr>
        <w:tabs>
          <w:tab w:val="num" w:pos="360"/>
        </w:tabs>
        <w:ind w:left="360" w:hanging="360"/>
      </w:pPr>
      <w:rPr>
        <w:rFonts w:cs="Times New Roman" w:hint="default"/>
        <w:b/>
      </w:rPr>
    </w:lvl>
    <w:lvl w:ilvl="1">
      <w:start w:val="5"/>
      <w:numFmt w:val="decimal"/>
      <w:lvlText w:val="%1.%2"/>
      <w:lvlJc w:val="left"/>
      <w:pPr>
        <w:tabs>
          <w:tab w:val="num" w:pos="567"/>
        </w:tabs>
        <w:ind w:left="567" w:hanging="567"/>
      </w:pPr>
      <w:rPr>
        <w:rFonts w:cs="Times New Roman" w:hint="default"/>
        <w:b/>
        <w:i w:val="0"/>
        <w:color w:val="993366"/>
        <w:sz w:val="24"/>
        <w:szCs w:val="24"/>
      </w:rPr>
    </w:lvl>
    <w:lvl w:ilvl="2">
      <w:start w:val="1"/>
      <w:numFmt w:val="lowerLetter"/>
      <w:lvlText w:val="%3)"/>
      <w:lvlJc w:val="left"/>
      <w:pPr>
        <w:tabs>
          <w:tab w:val="num" w:pos="567"/>
        </w:tabs>
        <w:ind w:left="567" w:hanging="567"/>
      </w:pPr>
      <w:rPr>
        <w:rFonts w:cs="Times New Roman" w:hint="default"/>
        <w:b/>
        <w:i w:val="0"/>
        <w:color w:val="993366"/>
        <w:sz w:val="22"/>
      </w:rPr>
    </w:lvl>
    <w:lvl w:ilvl="3">
      <w:start w:val="1"/>
      <w:numFmt w:val="lowerRoman"/>
      <w:lvlText w:val="(%4)"/>
      <w:lvlJc w:val="left"/>
      <w:pPr>
        <w:tabs>
          <w:tab w:val="num" w:pos="1134"/>
        </w:tabs>
        <w:ind w:left="1134" w:hanging="567"/>
      </w:pPr>
      <w:rPr>
        <w:rFonts w:cs="Times New Roman" w:hint="default"/>
        <w:b/>
        <w:color w:val="auto"/>
        <w:sz w:val="22"/>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27" w15:restartNumberingAfterBreak="0">
    <w:nsid w:val="34EF7100"/>
    <w:multiLevelType w:val="hybridMultilevel"/>
    <w:tmpl w:val="2FF2BE64"/>
    <w:lvl w:ilvl="0" w:tplc="08090017">
      <w:start w:val="1"/>
      <w:numFmt w:val="lowerLetter"/>
      <w:lvlText w:val="%1)"/>
      <w:lvlJc w:val="left"/>
      <w:pPr>
        <w:tabs>
          <w:tab w:val="num" w:pos="720"/>
        </w:tabs>
        <w:ind w:left="720" w:hanging="360"/>
      </w:pPr>
      <w:rPr>
        <w:rFonts w:hint="default"/>
        <w:b w:val="0"/>
        <w:i w:val="0"/>
        <w:strike w:val="0"/>
        <w:color w:val="auto"/>
      </w:rPr>
    </w:lvl>
    <w:lvl w:ilvl="1" w:tplc="08090003">
      <w:start w:val="1"/>
      <w:numFmt w:val="lowerLetter"/>
      <w:lvlText w:val="%2."/>
      <w:lvlJc w:val="left"/>
      <w:pPr>
        <w:tabs>
          <w:tab w:val="num" w:pos="1440"/>
        </w:tabs>
        <w:ind w:left="1440" w:hanging="360"/>
      </w:pPr>
      <w:rPr>
        <w:rFonts w:cs="Times New Roman"/>
        <w:color w:val="auto"/>
      </w:rPr>
    </w:lvl>
    <w:lvl w:ilvl="2" w:tplc="08090005">
      <w:start w:val="1"/>
      <w:numFmt w:val="decimal"/>
      <w:lvlText w:val="%3)"/>
      <w:lvlJc w:val="left"/>
      <w:pPr>
        <w:tabs>
          <w:tab w:val="num" w:pos="2415"/>
        </w:tabs>
        <w:ind w:left="2415" w:hanging="435"/>
      </w:pPr>
      <w:rPr>
        <w:rFonts w:cs="Times New Roman" w:hint="default"/>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8" w15:restartNumberingAfterBreak="0">
    <w:nsid w:val="3720065A"/>
    <w:multiLevelType w:val="hybridMultilevel"/>
    <w:tmpl w:val="F76C78AC"/>
    <w:lvl w:ilvl="0" w:tplc="32C283C4">
      <w:start w:val="1"/>
      <w:numFmt w:val="bullet"/>
      <w:lvlText w:val=""/>
      <w:lvlJc w:val="left"/>
      <w:pPr>
        <w:tabs>
          <w:tab w:val="num" w:pos="2520"/>
        </w:tabs>
        <w:ind w:left="2520" w:hanging="360"/>
      </w:pPr>
      <w:rPr>
        <w:rFonts w:ascii="Symbol" w:hAnsi="Symbol" w:hint="default"/>
        <w:sz w:val="20"/>
      </w:rPr>
    </w:lvl>
    <w:lvl w:ilvl="1" w:tplc="9D1CB31E">
      <w:start w:val="1"/>
      <w:numFmt w:val="lowerLetter"/>
      <w:lvlText w:val="%2)"/>
      <w:lvlJc w:val="left"/>
      <w:pPr>
        <w:tabs>
          <w:tab w:val="num" w:pos="567"/>
        </w:tabs>
        <w:ind w:left="567" w:hanging="567"/>
      </w:pPr>
      <w:rPr>
        <w:rFonts w:ascii="Arial Bold" w:hAnsi="Arial Bold" w:cs="Times New Roman" w:hint="default"/>
        <w:b/>
        <w:strike w:val="0"/>
        <w:color w:val="993366"/>
        <w:sz w:val="22"/>
        <w:szCs w:val="22"/>
      </w:rPr>
    </w:lvl>
    <w:lvl w:ilvl="2" w:tplc="6EE0F238">
      <w:start w:val="3"/>
      <w:numFmt w:val="lowerLetter"/>
      <w:lvlText w:val="%3)"/>
      <w:lvlJc w:val="left"/>
      <w:pPr>
        <w:tabs>
          <w:tab w:val="num" w:pos="567"/>
        </w:tabs>
        <w:ind w:left="567" w:hanging="567"/>
      </w:pPr>
      <w:rPr>
        <w:rFonts w:cs="Times New Roman" w:hint="default"/>
        <w:b/>
        <w:color w:val="993366"/>
        <w:sz w:val="22"/>
        <w:szCs w:val="22"/>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9" w15:restartNumberingAfterBreak="0">
    <w:nsid w:val="37AA443F"/>
    <w:multiLevelType w:val="multilevel"/>
    <w:tmpl w:val="FD3CB182"/>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0" w15:restartNumberingAfterBreak="0">
    <w:nsid w:val="386D70E5"/>
    <w:multiLevelType w:val="hybridMultilevel"/>
    <w:tmpl w:val="9A7C11CE"/>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3A906602"/>
    <w:multiLevelType w:val="hybridMultilevel"/>
    <w:tmpl w:val="49AA5622"/>
    <w:lvl w:ilvl="0" w:tplc="08090017">
      <w:start w:val="1"/>
      <w:numFmt w:val="lowerLetter"/>
      <w:lvlText w:val="%1)"/>
      <w:lvlJc w:val="left"/>
      <w:pPr>
        <w:ind w:left="1080" w:hanging="360"/>
      </w:pPr>
      <w:rPr>
        <w:rFonts w:hint="default"/>
        <w:b w:val="0"/>
        <w:i w:val="0"/>
        <w:color w:val="0D0D0D" w:themeColor="text1" w:themeTint="F2"/>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47920E32">
      <w:start w:val="1"/>
      <w:numFmt w:val="lowerLetter"/>
      <w:lvlText w:val="%4."/>
      <w:lvlJc w:val="left"/>
      <w:pPr>
        <w:ind w:left="3240" w:hanging="360"/>
      </w:pPr>
      <w:rPr>
        <w:rFonts w:hint="default"/>
        <w:b/>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C5E1B60"/>
    <w:multiLevelType w:val="hybridMultilevel"/>
    <w:tmpl w:val="723A8C6C"/>
    <w:lvl w:ilvl="0" w:tplc="FFFFFFFF">
      <w:start w:val="1"/>
      <w:numFmt w:val="lowerLetter"/>
      <w:lvlText w:val="%1."/>
      <w:lvlJc w:val="left"/>
      <w:pPr>
        <w:tabs>
          <w:tab w:val="num" w:pos="720"/>
        </w:tabs>
        <w:ind w:left="720" w:hanging="360"/>
      </w:pPr>
      <w:rPr>
        <w:rFonts w:hint="default"/>
        <w:b w:val="0"/>
        <w:i w:val="0"/>
        <w:strike w:val="0"/>
        <w:color w:val="auto"/>
      </w:rPr>
    </w:lvl>
    <w:lvl w:ilvl="1" w:tplc="FFFFFFFF">
      <w:start w:val="1"/>
      <w:numFmt w:val="lowerLetter"/>
      <w:lvlText w:val="%2."/>
      <w:lvlJc w:val="left"/>
      <w:pPr>
        <w:tabs>
          <w:tab w:val="num" w:pos="1440"/>
        </w:tabs>
        <w:ind w:left="1440" w:hanging="360"/>
      </w:pPr>
      <w:rPr>
        <w:rFonts w:cs="Times New Roman"/>
        <w:color w:val="auto"/>
      </w:rPr>
    </w:lvl>
    <w:lvl w:ilvl="2" w:tplc="FFFFFFFF">
      <w:start w:val="1"/>
      <w:numFmt w:val="decimal"/>
      <w:lvlText w:val="%3)"/>
      <w:lvlJc w:val="left"/>
      <w:pPr>
        <w:tabs>
          <w:tab w:val="num" w:pos="2415"/>
        </w:tabs>
        <w:ind w:left="2415" w:hanging="435"/>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3CC63444"/>
    <w:multiLevelType w:val="multilevel"/>
    <w:tmpl w:val="C838931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3C7043"/>
    <w:multiLevelType w:val="hybridMultilevel"/>
    <w:tmpl w:val="AFA279D6"/>
    <w:lvl w:ilvl="0" w:tplc="E73EF868">
      <w:start w:val="2"/>
      <w:numFmt w:val="lowerRoman"/>
      <w:lvlText w:val="(%1)"/>
      <w:lvlJc w:val="left"/>
      <w:pPr>
        <w:tabs>
          <w:tab w:val="num" w:pos="2160"/>
        </w:tabs>
        <w:ind w:left="2160" w:hanging="720"/>
      </w:pPr>
      <w:rPr>
        <w:rFonts w:cs="Times New Roman" w:hint="default"/>
        <w:b w:val="0"/>
        <w:color w:val="auto"/>
        <w:sz w:val="22"/>
        <w:szCs w:val="22"/>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99283C72">
      <w:start w:val="2"/>
      <w:numFmt w:val="lowerLetter"/>
      <w:lvlText w:val="%4)"/>
      <w:lvlJc w:val="left"/>
      <w:pPr>
        <w:tabs>
          <w:tab w:val="num" w:pos="3960"/>
        </w:tabs>
        <w:ind w:left="3960" w:hanging="360"/>
      </w:pPr>
      <w:rPr>
        <w:rFonts w:cs="Times New Roman" w:hint="default"/>
        <w:b/>
        <w:color w:val="993366"/>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35" w15:restartNumberingAfterBreak="0">
    <w:nsid w:val="416622D9"/>
    <w:multiLevelType w:val="hybridMultilevel"/>
    <w:tmpl w:val="1074B37C"/>
    <w:lvl w:ilvl="0" w:tplc="50B47F2A">
      <w:start w:val="1"/>
      <w:numFmt w:val="lowerLetter"/>
      <w:lvlText w:val="%1)"/>
      <w:lvlJc w:val="left"/>
      <w:pPr>
        <w:tabs>
          <w:tab w:val="num" w:pos="680"/>
        </w:tabs>
        <w:ind w:left="680" w:hanging="680"/>
      </w:pPr>
      <w:rPr>
        <w:rFonts w:cs="Times New Roman" w:hint="default"/>
        <w:b/>
        <w:color w:val="993366"/>
        <w:sz w:val="22"/>
        <w:szCs w:val="22"/>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21320BC"/>
    <w:multiLevelType w:val="multilevel"/>
    <w:tmpl w:val="64AECB02"/>
    <w:lvl w:ilvl="0">
      <w:start w:val="1"/>
      <w:numFmt w:val="decimal"/>
      <w:lvlText w:val="%1"/>
      <w:lvlJc w:val="left"/>
      <w:pPr>
        <w:tabs>
          <w:tab w:val="num" w:pos="465"/>
        </w:tabs>
        <w:ind w:left="465" w:hanging="465"/>
      </w:pPr>
      <w:rPr>
        <w:rFonts w:cs="Times New Roman" w:hint="default"/>
        <w:b/>
        <w:color w:val="993366"/>
      </w:rPr>
    </w:lvl>
    <w:lvl w:ilvl="1">
      <w:start w:val="2"/>
      <w:numFmt w:val="decimal"/>
      <w:lvlText w:val="%1.%2"/>
      <w:lvlJc w:val="left"/>
      <w:pPr>
        <w:tabs>
          <w:tab w:val="num" w:pos="748"/>
        </w:tabs>
        <w:ind w:left="748" w:hanging="465"/>
      </w:pPr>
      <w:rPr>
        <w:rFonts w:cs="Times New Roman" w:hint="default"/>
        <w:b/>
        <w:color w:val="993366"/>
      </w:rPr>
    </w:lvl>
    <w:lvl w:ilvl="2">
      <w:start w:val="1"/>
      <w:numFmt w:val="lowerLetter"/>
      <w:lvlText w:val="%3)"/>
      <w:lvlJc w:val="left"/>
      <w:pPr>
        <w:tabs>
          <w:tab w:val="num" w:pos="567"/>
        </w:tabs>
        <w:ind w:left="567" w:hanging="567"/>
      </w:pPr>
      <w:rPr>
        <w:rFonts w:cs="Times New Roman" w:hint="default"/>
        <w:b/>
        <w:color w:val="993366"/>
      </w:rPr>
    </w:lvl>
    <w:lvl w:ilvl="3">
      <w:start w:val="1"/>
      <w:numFmt w:val="decimal"/>
      <w:lvlText w:val="%1.%2.%3.%4"/>
      <w:lvlJc w:val="left"/>
      <w:pPr>
        <w:tabs>
          <w:tab w:val="num" w:pos="1569"/>
        </w:tabs>
        <w:ind w:left="1569" w:hanging="720"/>
      </w:pPr>
      <w:rPr>
        <w:rFonts w:cs="Times New Roman" w:hint="default"/>
        <w:b/>
        <w:color w:val="993366"/>
      </w:rPr>
    </w:lvl>
    <w:lvl w:ilvl="4">
      <w:start w:val="1"/>
      <w:numFmt w:val="decimal"/>
      <w:lvlText w:val="%1.%2.%3.%4.%5"/>
      <w:lvlJc w:val="left"/>
      <w:pPr>
        <w:tabs>
          <w:tab w:val="num" w:pos="2212"/>
        </w:tabs>
        <w:ind w:left="2212" w:hanging="1080"/>
      </w:pPr>
      <w:rPr>
        <w:rFonts w:cs="Times New Roman" w:hint="default"/>
        <w:b/>
        <w:color w:val="993366"/>
      </w:rPr>
    </w:lvl>
    <w:lvl w:ilvl="5">
      <w:start w:val="1"/>
      <w:numFmt w:val="decimal"/>
      <w:lvlText w:val="%1.%2.%3.%4.%5.%6"/>
      <w:lvlJc w:val="left"/>
      <w:pPr>
        <w:tabs>
          <w:tab w:val="num" w:pos="2495"/>
        </w:tabs>
        <w:ind w:left="2495" w:hanging="1080"/>
      </w:pPr>
      <w:rPr>
        <w:rFonts w:cs="Times New Roman" w:hint="default"/>
        <w:b/>
        <w:color w:val="993366"/>
      </w:rPr>
    </w:lvl>
    <w:lvl w:ilvl="6">
      <w:start w:val="1"/>
      <w:numFmt w:val="decimal"/>
      <w:lvlText w:val="%1.%2.%3.%4.%5.%6.%7"/>
      <w:lvlJc w:val="left"/>
      <w:pPr>
        <w:tabs>
          <w:tab w:val="num" w:pos="3138"/>
        </w:tabs>
        <w:ind w:left="3138" w:hanging="1440"/>
      </w:pPr>
      <w:rPr>
        <w:rFonts w:cs="Times New Roman" w:hint="default"/>
        <w:b/>
        <w:color w:val="993366"/>
      </w:rPr>
    </w:lvl>
    <w:lvl w:ilvl="7">
      <w:start w:val="1"/>
      <w:numFmt w:val="decimal"/>
      <w:lvlText w:val="%1.%2.%3.%4.%5.%6.%7.%8"/>
      <w:lvlJc w:val="left"/>
      <w:pPr>
        <w:tabs>
          <w:tab w:val="num" w:pos="3421"/>
        </w:tabs>
        <w:ind w:left="3421" w:hanging="1440"/>
      </w:pPr>
      <w:rPr>
        <w:rFonts w:cs="Times New Roman" w:hint="default"/>
        <w:b/>
        <w:color w:val="993366"/>
      </w:rPr>
    </w:lvl>
    <w:lvl w:ilvl="8">
      <w:start w:val="1"/>
      <w:numFmt w:val="decimal"/>
      <w:lvlText w:val="%1.%2.%3.%4.%5.%6.%7.%8.%9"/>
      <w:lvlJc w:val="left"/>
      <w:pPr>
        <w:tabs>
          <w:tab w:val="num" w:pos="4064"/>
        </w:tabs>
        <w:ind w:left="4064" w:hanging="1800"/>
      </w:pPr>
      <w:rPr>
        <w:rFonts w:cs="Times New Roman" w:hint="default"/>
        <w:b/>
        <w:color w:val="993366"/>
      </w:rPr>
    </w:lvl>
  </w:abstractNum>
  <w:abstractNum w:abstractNumId="37" w15:restartNumberingAfterBreak="0">
    <w:nsid w:val="45A04196"/>
    <w:multiLevelType w:val="multilevel"/>
    <w:tmpl w:val="A358FE96"/>
    <w:lvl w:ilvl="0">
      <w:start w:val="1"/>
      <w:numFmt w:val="decimal"/>
      <w:pStyle w:val="ChapterHeading"/>
      <w:lvlText w:val="%1"/>
      <w:lvlJc w:val="left"/>
      <w:pPr>
        <w:ind w:left="360" w:hanging="360"/>
      </w:pPr>
      <w:rPr>
        <w:rFonts w:cs="Times New Roman" w:hint="default"/>
        <w:b/>
        <w:color w:val="auto"/>
      </w:rPr>
    </w:lvl>
    <w:lvl w:ilvl="1">
      <w:start w:val="1"/>
      <w:numFmt w:val="decimal"/>
      <w:pStyle w:val="Subheading"/>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8" w15:restartNumberingAfterBreak="0">
    <w:nsid w:val="468233E7"/>
    <w:multiLevelType w:val="hybridMultilevel"/>
    <w:tmpl w:val="C53C2C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7566CB9"/>
    <w:multiLevelType w:val="multilevel"/>
    <w:tmpl w:val="56B8430E"/>
    <w:lvl w:ilvl="0">
      <w:start w:val="4"/>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color w:val="993366"/>
        <w:sz w:val="22"/>
        <w:szCs w:val="22"/>
      </w:rPr>
    </w:lvl>
    <w:lvl w:ilvl="2">
      <w:start w:val="11"/>
      <w:numFmt w:val="lowerLetter"/>
      <w:lvlText w:val="%3)"/>
      <w:lvlJc w:val="left"/>
      <w:pPr>
        <w:tabs>
          <w:tab w:val="num" w:pos="567"/>
        </w:tabs>
        <w:ind w:left="567" w:hanging="567"/>
      </w:pPr>
      <w:rPr>
        <w:rFonts w:ascii="Arial" w:eastAsia="Times New Roman" w:hAnsi="Arial" w:cs="Arial" w:hint="default"/>
        <w:b/>
        <w:i w:val="0"/>
        <w:color w:val="993366"/>
        <w:sz w:val="22"/>
        <w:szCs w:val="22"/>
      </w:rPr>
    </w:lvl>
    <w:lvl w:ilvl="3">
      <w:start w:val="1"/>
      <w:numFmt w:val="lowerLetter"/>
      <w:lvlText w:val="%4)"/>
      <w:lvlJc w:val="left"/>
      <w:pPr>
        <w:tabs>
          <w:tab w:val="num" w:pos="567"/>
        </w:tabs>
        <w:ind w:left="56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0" w15:restartNumberingAfterBreak="0">
    <w:nsid w:val="492A0ECB"/>
    <w:multiLevelType w:val="hybridMultilevel"/>
    <w:tmpl w:val="723A8C6C"/>
    <w:lvl w:ilvl="0" w:tplc="08090019">
      <w:start w:val="1"/>
      <w:numFmt w:val="lowerLetter"/>
      <w:lvlText w:val="%1."/>
      <w:lvlJc w:val="left"/>
      <w:pPr>
        <w:tabs>
          <w:tab w:val="num" w:pos="720"/>
        </w:tabs>
        <w:ind w:left="720" w:hanging="360"/>
      </w:pPr>
      <w:rPr>
        <w:rFonts w:hint="default"/>
        <w:b w:val="0"/>
        <w:i w:val="0"/>
        <w:strike w:val="0"/>
        <w:color w:val="auto"/>
      </w:rPr>
    </w:lvl>
    <w:lvl w:ilvl="1" w:tplc="08090003">
      <w:start w:val="1"/>
      <w:numFmt w:val="lowerLetter"/>
      <w:lvlText w:val="%2."/>
      <w:lvlJc w:val="left"/>
      <w:pPr>
        <w:tabs>
          <w:tab w:val="num" w:pos="1440"/>
        </w:tabs>
        <w:ind w:left="1440" w:hanging="360"/>
      </w:pPr>
      <w:rPr>
        <w:rFonts w:cs="Times New Roman"/>
        <w:color w:val="auto"/>
      </w:rPr>
    </w:lvl>
    <w:lvl w:ilvl="2" w:tplc="08090005">
      <w:start w:val="1"/>
      <w:numFmt w:val="decimal"/>
      <w:lvlText w:val="%3)"/>
      <w:lvlJc w:val="left"/>
      <w:pPr>
        <w:tabs>
          <w:tab w:val="num" w:pos="2415"/>
        </w:tabs>
        <w:ind w:left="2415" w:hanging="435"/>
      </w:pPr>
      <w:rPr>
        <w:rFonts w:cs="Times New Roman" w:hint="default"/>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4A806111"/>
    <w:multiLevelType w:val="hybridMultilevel"/>
    <w:tmpl w:val="3CF01F38"/>
    <w:lvl w:ilvl="0" w:tplc="86BC701C">
      <w:start w:val="1"/>
      <w:numFmt w:val="lowerLetter"/>
      <w:lvlText w:val="%1)"/>
      <w:lvlJc w:val="left"/>
      <w:pPr>
        <w:ind w:left="360" w:hanging="360"/>
      </w:pPr>
      <w:rPr>
        <w:rFonts w:cs="Times New Roman" w:hint="default"/>
        <w:b/>
        <w:color w:val="99336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CD26C62"/>
    <w:multiLevelType w:val="multilevel"/>
    <w:tmpl w:val="D89EB148"/>
    <w:lvl w:ilvl="0">
      <w:start w:val="4"/>
      <w:numFmt w:val="decimal"/>
      <w:lvlText w:val="%1"/>
      <w:lvlJc w:val="left"/>
      <w:pPr>
        <w:tabs>
          <w:tab w:val="num" w:pos="360"/>
        </w:tabs>
        <w:ind w:left="360" w:hanging="360"/>
      </w:pPr>
      <w:rPr>
        <w:rFonts w:cs="Times New Roman" w:hint="default"/>
        <w:b/>
        <w:sz w:val="24"/>
        <w:szCs w:val="24"/>
      </w:rPr>
    </w:lvl>
    <w:lvl w:ilvl="1">
      <w:start w:val="4"/>
      <w:numFmt w:val="decimal"/>
      <w:lvlText w:val="%1.%2"/>
      <w:lvlJc w:val="left"/>
      <w:pPr>
        <w:tabs>
          <w:tab w:val="num" w:pos="567"/>
        </w:tabs>
        <w:ind w:left="567" w:hanging="567"/>
      </w:pPr>
      <w:rPr>
        <w:rFonts w:cs="Times New Roman" w:hint="default"/>
        <w:b/>
        <w:color w:val="993366"/>
        <w:sz w:val="22"/>
        <w:szCs w:val="22"/>
      </w:rPr>
    </w:lvl>
    <w:lvl w:ilvl="2">
      <w:start w:val="1"/>
      <w:numFmt w:val="lowerLetter"/>
      <w:lvlText w:val="%3)"/>
      <w:lvlJc w:val="left"/>
      <w:pPr>
        <w:tabs>
          <w:tab w:val="num" w:pos="720"/>
        </w:tabs>
        <w:ind w:left="720" w:hanging="720"/>
      </w:pPr>
      <w:rPr>
        <w:rFonts w:ascii="Arial" w:eastAsia="Times New Roman" w:hAnsi="Arial" w:cs="Arial" w:hint="default"/>
        <w:b/>
        <w:color w:val="993366"/>
        <w:sz w:val="22"/>
        <w:szCs w:val="22"/>
      </w:rPr>
    </w:lvl>
    <w:lvl w:ilvl="3">
      <w:start w:val="1"/>
      <w:numFmt w:val="lowerLetter"/>
      <w:lvlText w:val="%4)"/>
      <w:lvlJc w:val="left"/>
      <w:pPr>
        <w:tabs>
          <w:tab w:val="num" w:pos="747"/>
        </w:tabs>
        <w:ind w:left="74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3" w15:restartNumberingAfterBreak="0">
    <w:nsid w:val="4FA23A04"/>
    <w:multiLevelType w:val="multilevel"/>
    <w:tmpl w:val="849AA23E"/>
    <w:lvl w:ilvl="0">
      <w:start w:val="4"/>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1080"/>
        </w:tabs>
        <w:ind w:left="1080" w:hanging="360"/>
      </w:pPr>
      <w:rPr>
        <w:rFonts w:cs="Times New Roman" w:hint="default"/>
        <w:b/>
        <w:color w:val="993366"/>
        <w:sz w:val="24"/>
        <w:szCs w:val="24"/>
      </w:rPr>
    </w:lvl>
    <w:lvl w:ilvl="2">
      <w:start w:val="1"/>
      <w:numFmt w:val="lowerLetter"/>
      <w:lvlText w:val="%3)"/>
      <w:lvlJc w:val="left"/>
      <w:pPr>
        <w:tabs>
          <w:tab w:val="num" w:pos="567"/>
        </w:tabs>
        <w:ind w:left="567" w:hanging="567"/>
      </w:pPr>
      <w:rPr>
        <w:rFonts w:ascii="Arial" w:eastAsia="Times New Roman" w:hAnsi="Arial" w:cs="Arial" w:hint="default"/>
        <w:b/>
        <w:color w:val="993366"/>
        <w:sz w:val="22"/>
        <w:szCs w:val="22"/>
      </w:rPr>
    </w:lvl>
    <w:lvl w:ilvl="3">
      <w:start w:val="2"/>
      <w:numFmt w:val="lowerLetter"/>
      <w:lvlText w:val="%4)"/>
      <w:lvlJc w:val="left"/>
      <w:pPr>
        <w:tabs>
          <w:tab w:val="num" w:pos="567"/>
        </w:tabs>
        <w:ind w:left="567" w:hanging="38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4" w15:restartNumberingAfterBreak="0">
    <w:nsid w:val="4FAB0FF4"/>
    <w:multiLevelType w:val="hybridMultilevel"/>
    <w:tmpl w:val="6F9C14CC"/>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5" w15:restartNumberingAfterBreak="0">
    <w:nsid w:val="54201638"/>
    <w:multiLevelType w:val="multilevel"/>
    <w:tmpl w:val="98EAEE16"/>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1080" w:hanging="360"/>
      </w:pPr>
      <w:rPr>
        <w:rFonts w:cs="Times New Roman" w:hint="default"/>
        <w:b/>
        <w:color w:val="993366"/>
        <w:sz w:val="24"/>
        <w:szCs w:val="24"/>
      </w:rPr>
    </w:lvl>
    <w:lvl w:ilvl="2">
      <w:start w:val="1"/>
      <w:numFmt w:val="lowerLetter"/>
      <w:lvlText w:val="%3)"/>
      <w:lvlJc w:val="left"/>
      <w:pPr>
        <w:tabs>
          <w:tab w:val="num" w:pos="567"/>
        </w:tabs>
        <w:ind w:left="567" w:hanging="567"/>
      </w:pPr>
      <w:rPr>
        <w:rFonts w:ascii="Arial" w:eastAsia="Times New Roman" w:hAnsi="Arial" w:cs="Arial" w:hint="default"/>
        <w:b/>
        <w:color w:val="993366"/>
        <w:sz w:val="22"/>
        <w:szCs w:val="22"/>
      </w:rPr>
    </w:lvl>
    <w:lvl w:ilvl="3">
      <w:start w:val="2"/>
      <w:numFmt w:val="lowerLetter"/>
      <w:lvlText w:val="%4)"/>
      <w:lvlJc w:val="left"/>
      <w:pPr>
        <w:tabs>
          <w:tab w:val="num" w:pos="567"/>
        </w:tabs>
        <w:ind w:left="567" w:hanging="38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6" w15:restartNumberingAfterBreak="0">
    <w:nsid w:val="54A16A59"/>
    <w:multiLevelType w:val="multilevel"/>
    <w:tmpl w:val="2EBEBE9A"/>
    <w:lvl w:ilvl="0">
      <w:start w:val="2"/>
      <w:numFmt w:val="decimal"/>
      <w:lvlText w:val="%1"/>
      <w:lvlJc w:val="left"/>
      <w:pPr>
        <w:tabs>
          <w:tab w:val="num" w:pos="360"/>
        </w:tabs>
        <w:ind w:left="360" w:hanging="360"/>
      </w:pPr>
      <w:rPr>
        <w:rFonts w:cs="Times New Roman" w:hint="default"/>
        <w:b/>
        <w:sz w:val="28"/>
        <w:szCs w:val="28"/>
      </w:rPr>
    </w:lvl>
    <w:lvl w:ilvl="1">
      <w:start w:val="1"/>
      <w:numFmt w:val="decimal"/>
      <w:lvlText w:val="%1.%2"/>
      <w:lvlJc w:val="left"/>
      <w:pPr>
        <w:tabs>
          <w:tab w:val="num" w:pos="1843"/>
        </w:tabs>
        <w:ind w:left="1843" w:hanging="567"/>
      </w:pPr>
      <w:rPr>
        <w:rFonts w:cs="Times New Roman" w:hint="default"/>
        <w:b/>
        <w:color w:val="993366"/>
        <w:sz w:val="24"/>
        <w:szCs w:val="24"/>
      </w:rPr>
    </w:lvl>
    <w:lvl w:ilvl="2">
      <w:start w:val="1"/>
      <w:numFmt w:val="lowerLetter"/>
      <w:lvlText w:val="%3)"/>
      <w:lvlJc w:val="left"/>
      <w:pPr>
        <w:tabs>
          <w:tab w:val="num" w:pos="720"/>
        </w:tabs>
        <w:ind w:left="720" w:hanging="720"/>
      </w:pPr>
      <w:rPr>
        <w:rFonts w:ascii="Arial" w:eastAsia="Times New Roman" w:hAnsi="Arial" w:cs="Arial" w:hint="default"/>
        <w:b/>
        <w:color w:val="993366"/>
        <w:sz w:val="22"/>
        <w:szCs w:val="22"/>
      </w:rPr>
    </w:lvl>
    <w:lvl w:ilvl="3">
      <w:start w:val="1"/>
      <w:numFmt w:val="lowerLetter"/>
      <w:lvlText w:val="%4)"/>
      <w:lvlJc w:val="left"/>
      <w:pPr>
        <w:tabs>
          <w:tab w:val="num" w:pos="747"/>
        </w:tabs>
        <w:ind w:left="74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7" w15:restartNumberingAfterBreak="0">
    <w:nsid w:val="54F165AF"/>
    <w:multiLevelType w:val="hybridMultilevel"/>
    <w:tmpl w:val="86ACFF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629348A"/>
    <w:multiLevelType w:val="hybridMultilevel"/>
    <w:tmpl w:val="F6A60626"/>
    <w:lvl w:ilvl="0" w:tplc="570253FC">
      <w:start w:val="1"/>
      <w:numFmt w:val="bullet"/>
      <w:lvlText w:val=""/>
      <w:lvlJc w:val="left"/>
      <w:pPr>
        <w:tabs>
          <w:tab w:val="num" w:pos="1080"/>
        </w:tabs>
        <w:ind w:left="1080" w:hanging="360"/>
      </w:pPr>
      <w:rPr>
        <w:rFonts w:ascii="Symbol" w:hAnsi="Symbol" w:hint="default"/>
        <w:color w:val="auto"/>
        <w:sz w:val="20"/>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6DB5A39"/>
    <w:multiLevelType w:val="multilevel"/>
    <w:tmpl w:val="453EDD7A"/>
    <w:lvl w:ilvl="0">
      <w:start w:val="5"/>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color w:val="993366"/>
        <w:sz w:val="24"/>
        <w:szCs w:val="24"/>
      </w:rPr>
    </w:lvl>
    <w:lvl w:ilvl="2">
      <w:start w:val="1"/>
      <w:numFmt w:val="lowerLetter"/>
      <w:lvlText w:val="%3)"/>
      <w:lvlJc w:val="left"/>
      <w:pPr>
        <w:tabs>
          <w:tab w:val="num" w:pos="567"/>
        </w:tabs>
        <w:ind w:left="567" w:hanging="567"/>
      </w:pPr>
      <w:rPr>
        <w:rFonts w:ascii="Arial" w:eastAsia="Times New Roman" w:hAnsi="Arial" w:cs="Arial" w:hint="default"/>
        <w:b/>
        <w:i w:val="0"/>
        <w:color w:val="993366"/>
        <w:sz w:val="22"/>
        <w:szCs w:val="22"/>
      </w:rPr>
    </w:lvl>
    <w:lvl w:ilvl="3">
      <w:start w:val="1"/>
      <w:numFmt w:val="lowerLetter"/>
      <w:lvlText w:val="%4)"/>
      <w:lvlJc w:val="left"/>
      <w:pPr>
        <w:tabs>
          <w:tab w:val="num" w:pos="567"/>
        </w:tabs>
        <w:ind w:left="56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50" w15:restartNumberingAfterBreak="0">
    <w:nsid w:val="57E06B50"/>
    <w:multiLevelType w:val="hybridMultilevel"/>
    <w:tmpl w:val="384C2542"/>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start w:val="1"/>
      <w:numFmt w:val="bullet"/>
      <w:lvlText w:val=""/>
      <w:lvlJc w:val="left"/>
      <w:pPr>
        <w:ind w:left="4674" w:hanging="360"/>
      </w:pPr>
      <w:rPr>
        <w:rFonts w:ascii="Wingdings" w:hAnsi="Wingdings" w:hint="default"/>
      </w:rPr>
    </w:lvl>
    <w:lvl w:ilvl="6" w:tplc="08090001">
      <w:start w:val="1"/>
      <w:numFmt w:val="bullet"/>
      <w:lvlText w:val=""/>
      <w:lvlJc w:val="left"/>
      <w:pPr>
        <w:ind w:left="5394" w:hanging="360"/>
      </w:pPr>
      <w:rPr>
        <w:rFonts w:ascii="Symbol" w:hAnsi="Symbol" w:hint="default"/>
      </w:rPr>
    </w:lvl>
    <w:lvl w:ilvl="7" w:tplc="08090003">
      <w:start w:val="1"/>
      <w:numFmt w:val="bullet"/>
      <w:lvlText w:val="o"/>
      <w:lvlJc w:val="left"/>
      <w:pPr>
        <w:ind w:left="6114" w:hanging="360"/>
      </w:pPr>
      <w:rPr>
        <w:rFonts w:ascii="Courier New" w:hAnsi="Courier New" w:cs="Courier New" w:hint="default"/>
      </w:rPr>
    </w:lvl>
    <w:lvl w:ilvl="8" w:tplc="08090005">
      <w:start w:val="1"/>
      <w:numFmt w:val="bullet"/>
      <w:lvlText w:val=""/>
      <w:lvlJc w:val="left"/>
      <w:pPr>
        <w:ind w:left="6834" w:hanging="360"/>
      </w:pPr>
      <w:rPr>
        <w:rFonts w:ascii="Wingdings" w:hAnsi="Wingdings" w:hint="default"/>
      </w:rPr>
    </w:lvl>
  </w:abstractNum>
  <w:abstractNum w:abstractNumId="51" w15:restartNumberingAfterBreak="0">
    <w:nsid w:val="58811B83"/>
    <w:multiLevelType w:val="multilevel"/>
    <w:tmpl w:val="ED406028"/>
    <w:lvl w:ilvl="0">
      <w:start w:val="4"/>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color w:val="993366"/>
        <w:sz w:val="22"/>
        <w:szCs w:val="22"/>
      </w:rPr>
    </w:lvl>
    <w:lvl w:ilvl="2">
      <w:start w:val="7"/>
      <w:numFmt w:val="lowerLetter"/>
      <w:lvlText w:val="%3)"/>
      <w:lvlJc w:val="left"/>
      <w:pPr>
        <w:tabs>
          <w:tab w:val="num" w:pos="567"/>
        </w:tabs>
        <w:ind w:left="567" w:hanging="567"/>
      </w:pPr>
      <w:rPr>
        <w:rFonts w:ascii="Arial" w:eastAsia="Times New Roman" w:hAnsi="Arial" w:cs="Arial" w:hint="default"/>
        <w:b/>
        <w:i w:val="0"/>
        <w:color w:val="993366"/>
        <w:sz w:val="22"/>
        <w:szCs w:val="22"/>
      </w:rPr>
    </w:lvl>
    <w:lvl w:ilvl="3">
      <w:start w:val="1"/>
      <w:numFmt w:val="lowerLetter"/>
      <w:lvlText w:val="%4)"/>
      <w:lvlJc w:val="left"/>
      <w:pPr>
        <w:tabs>
          <w:tab w:val="num" w:pos="567"/>
        </w:tabs>
        <w:ind w:left="56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52" w15:restartNumberingAfterBreak="0">
    <w:nsid w:val="5E2A4468"/>
    <w:multiLevelType w:val="hybridMultilevel"/>
    <w:tmpl w:val="B5E47C1A"/>
    <w:lvl w:ilvl="0" w:tplc="41C8F68A">
      <w:start w:val="1"/>
      <w:numFmt w:val="bullet"/>
      <w:lvlText w:val=""/>
      <w:lvlJc w:val="left"/>
      <w:pPr>
        <w:tabs>
          <w:tab w:val="num" w:pos="720"/>
        </w:tabs>
        <w:ind w:left="720" w:hanging="360"/>
      </w:pPr>
      <w:rPr>
        <w:rFonts w:ascii="Symbol" w:hAnsi="Symbol" w:hint="default"/>
        <w:sz w:val="18"/>
      </w:rPr>
    </w:lvl>
    <w:lvl w:ilvl="1" w:tplc="A8069916" w:tentative="1">
      <w:start w:val="1"/>
      <w:numFmt w:val="bullet"/>
      <w:lvlText w:val="o"/>
      <w:lvlJc w:val="left"/>
      <w:pPr>
        <w:tabs>
          <w:tab w:val="num" w:pos="1440"/>
        </w:tabs>
        <w:ind w:left="1440" w:hanging="360"/>
      </w:pPr>
      <w:rPr>
        <w:rFonts w:ascii="Courier New" w:hAnsi="Courier New" w:hint="default"/>
      </w:rPr>
    </w:lvl>
    <w:lvl w:ilvl="2" w:tplc="7FFA3B20" w:tentative="1">
      <w:start w:val="1"/>
      <w:numFmt w:val="bullet"/>
      <w:lvlText w:val=""/>
      <w:lvlJc w:val="left"/>
      <w:pPr>
        <w:tabs>
          <w:tab w:val="num" w:pos="2160"/>
        </w:tabs>
        <w:ind w:left="2160" w:hanging="360"/>
      </w:pPr>
      <w:rPr>
        <w:rFonts w:ascii="Wingdings" w:hAnsi="Wingdings" w:hint="default"/>
      </w:rPr>
    </w:lvl>
    <w:lvl w:ilvl="3" w:tplc="B1188018" w:tentative="1">
      <w:start w:val="1"/>
      <w:numFmt w:val="bullet"/>
      <w:lvlText w:val=""/>
      <w:lvlJc w:val="left"/>
      <w:pPr>
        <w:tabs>
          <w:tab w:val="num" w:pos="2880"/>
        </w:tabs>
        <w:ind w:left="2880" w:hanging="360"/>
      </w:pPr>
      <w:rPr>
        <w:rFonts w:ascii="Symbol" w:hAnsi="Symbol" w:hint="default"/>
      </w:rPr>
    </w:lvl>
    <w:lvl w:ilvl="4" w:tplc="88DE3B84" w:tentative="1">
      <w:start w:val="1"/>
      <w:numFmt w:val="bullet"/>
      <w:lvlText w:val="o"/>
      <w:lvlJc w:val="left"/>
      <w:pPr>
        <w:tabs>
          <w:tab w:val="num" w:pos="3600"/>
        </w:tabs>
        <w:ind w:left="3600" w:hanging="360"/>
      </w:pPr>
      <w:rPr>
        <w:rFonts w:ascii="Courier New" w:hAnsi="Courier New" w:hint="default"/>
      </w:rPr>
    </w:lvl>
    <w:lvl w:ilvl="5" w:tplc="C11C08B4" w:tentative="1">
      <w:start w:val="1"/>
      <w:numFmt w:val="bullet"/>
      <w:lvlText w:val=""/>
      <w:lvlJc w:val="left"/>
      <w:pPr>
        <w:tabs>
          <w:tab w:val="num" w:pos="4320"/>
        </w:tabs>
        <w:ind w:left="4320" w:hanging="360"/>
      </w:pPr>
      <w:rPr>
        <w:rFonts w:ascii="Wingdings" w:hAnsi="Wingdings" w:hint="default"/>
      </w:rPr>
    </w:lvl>
    <w:lvl w:ilvl="6" w:tplc="1B26E5CE" w:tentative="1">
      <w:start w:val="1"/>
      <w:numFmt w:val="bullet"/>
      <w:lvlText w:val=""/>
      <w:lvlJc w:val="left"/>
      <w:pPr>
        <w:tabs>
          <w:tab w:val="num" w:pos="5040"/>
        </w:tabs>
        <w:ind w:left="5040" w:hanging="360"/>
      </w:pPr>
      <w:rPr>
        <w:rFonts w:ascii="Symbol" w:hAnsi="Symbol" w:hint="default"/>
      </w:rPr>
    </w:lvl>
    <w:lvl w:ilvl="7" w:tplc="8C4832FC" w:tentative="1">
      <w:start w:val="1"/>
      <w:numFmt w:val="bullet"/>
      <w:lvlText w:val="o"/>
      <w:lvlJc w:val="left"/>
      <w:pPr>
        <w:tabs>
          <w:tab w:val="num" w:pos="5760"/>
        </w:tabs>
        <w:ind w:left="5760" w:hanging="360"/>
      </w:pPr>
      <w:rPr>
        <w:rFonts w:ascii="Courier New" w:hAnsi="Courier New" w:hint="default"/>
      </w:rPr>
    </w:lvl>
    <w:lvl w:ilvl="8" w:tplc="576EA71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70367C"/>
    <w:multiLevelType w:val="hybridMultilevel"/>
    <w:tmpl w:val="AD8C42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895B20"/>
    <w:multiLevelType w:val="multilevel"/>
    <w:tmpl w:val="259E70B8"/>
    <w:lvl w:ilvl="0">
      <w:start w:val="1"/>
      <w:numFmt w:val="decimal"/>
      <w:lvlText w:val="%1"/>
      <w:lvlJc w:val="left"/>
      <w:pPr>
        <w:tabs>
          <w:tab w:val="num" w:pos="570"/>
        </w:tabs>
        <w:ind w:left="570" w:hanging="570"/>
      </w:pPr>
      <w:rPr>
        <w:rFonts w:cs="Times New Roman" w:hint="default"/>
        <w:b/>
        <w:color w:val="993366"/>
        <w:sz w:val="28"/>
        <w:szCs w:val="28"/>
      </w:rPr>
    </w:lvl>
    <w:lvl w:ilvl="1">
      <w:start w:val="1"/>
      <w:numFmt w:val="decimal"/>
      <w:lvlText w:val="%1.%2"/>
      <w:lvlJc w:val="left"/>
      <w:pPr>
        <w:tabs>
          <w:tab w:val="num" w:pos="567"/>
        </w:tabs>
        <w:ind w:left="567" w:hanging="567"/>
      </w:pPr>
      <w:rPr>
        <w:rFonts w:ascii="Arial" w:hAnsi="Arial" w:cs="Arial" w:hint="default"/>
        <w:b/>
        <w:i w:val="0"/>
        <w:strike w:val="0"/>
        <w:color w:val="993366"/>
        <w:sz w:val="24"/>
        <w:szCs w:val="24"/>
      </w:rPr>
    </w:lvl>
    <w:lvl w:ilvl="2">
      <w:start w:val="1"/>
      <w:numFmt w:val="lowerLetter"/>
      <w:lvlText w:val="%3)"/>
      <w:lvlJc w:val="left"/>
      <w:pPr>
        <w:tabs>
          <w:tab w:val="num" w:pos="1854"/>
        </w:tabs>
        <w:ind w:left="1854" w:hanging="720"/>
      </w:pPr>
      <w:rPr>
        <w:rFonts w:cs="Times New Roman" w:hint="default"/>
        <w:b/>
        <w:i w:val="0"/>
        <w:strike w:val="0"/>
        <w:color w:val="993366"/>
        <w:sz w:val="22"/>
        <w:szCs w:val="22"/>
      </w:rPr>
    </w:lvl>
    <w:lvl w:ilvl="3">
      <w:start w:val="1"/>
      <w:numFmt w:val="lowerRoman"/>
      <w:lvlText w:val="(%4)"/>
      <w:lvlJc w:val="left"/>
      <w:pPr>
        <w:tabs>
          <w:tab w:val="num" w:pos="2421"/>
        </w:tabs>
        <w:ind w:left="2421" w:hanging="720"/>
      </w:pPr>
      <w:rPr>
        <w:rFonts w:ascii="Arial" w:hAnsi="Arial" w:cs="Arial" w:hint="default"/>
        <w:b w:val="0"/>
        <w:strike w:val="0"/>
        <w:color w:val="auto"/>
        <w:sz w:val="22"/>
        <w:szCs w:val="22"/>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55" w15:restartNumberingAfterBreak="0">
    <w:nsid w:val="65677076"/>
    <w:multiLevelType w:val="multilevel"/>
    <w:tmpl w:val="CB727C26"/>
    <w:lvl w:ilvl="0">
      <w:start w:val="5"/>
      <w:numFmt w:val="decimal"/>
      <w:lvlText w:val="%1"/>
      <w:lvlJc w:val="left"/>
      <w:pPr>
        <w:tabs>
          <w:tab w:val="num" w:pos="360"/>
        </w:tabs>
        <w:ind w:left="360" w:hanging="360"/>
      </w:pPr>
      <w:rPr>
        <w:rFonts w:cs="Times New Roman" w:hint="default"/>
        <w:b/>
      </w:rPr>
    </w:lvl>
    <w:lvl w:ilvl="1">
      <w:start w:val="5"/>
      <w:numFmt w:val="decimal"/>
      <w:lvlText w:val="%1.%2"/>
      <w:lvlJc w:val="left"/>
      <w:pPr>
        <w:tabs>
          <w:tab w:val="num" w:pos="567"/>
        </w:tabs>
        <w:ind w:left="567" w:hanging="567"/>
      </w:pPr>
      <w:rPr>
        <w:rFonts w:cs="Times New Roman" w:hint="default"/>
        <w:b/>
        <w:i w:val="0"/>
        <w:color w:val="993366"/>
        <w:sz w:val="28"/>
        <w:szCs w:val="28"/>
      </w:rPr>
    </w:lvl>
    <w:lvl w:ilvl="2">
      <w:start w:val="1"/>
      <w:numFmt w:val="lowerLetter"/>
      <w:lvlText w:val="%3)"/>
      <w:lvlJc w:val="left"/>
      <w:pPr>
        <w:tabs>
          <w:tab w:val="num" w:pos="567"/>
        </w:tabs>
        <w:ind w:left="567" w:hanging="567"/>
      </w:pPr>
      <w:rPr>
        <w:rFonts w:cs="Times New Roman" w:hint="default"/>
        <w:b/>
        <w:i w:val="0"/>
        <w:color w:val="993366"/>
        <w:sz w:val="22"/>
      </w:rPr>
    </w:lvl>
    <w:lvl w:ilvl="3">
      <w:start w:val="1"/>
      <w:numFmt w:val="lowerLetter"/>
      <w:lvlText w:val="%4)"/>
      <w:lvlJc w:val="left"/>
      <w:pPr>
        <w:ind w:left="927" w:hanging="360"/>
      </w:pPr>
      <w:rPr>
        <w:b/>
        <w:bCs/>
        <w:color w:val="943634" w:themeColor="accent2" w:themeShade="BF"/>
      </w:rPr>
    </w:lvl>
    <w:lvl w:ilvl="4">
      <w:start w:val="1"/>
      <w:numFmt w:val="bullet"/>
      <w:lvlText w:val=""/>
      <w:lvlJc w:val="left"/>
      <w:pPr>
        <w:tabs>
          <w:tab w:val="num" w:pos="3240"/>
        </w:tabs>
        <w:ind w:left="3240" w:hanging="360"/>
      </w:pPr>
      <w:rPr>
        <w:rFonts w:ascii="Symbol" w:hAnsi="Symbol"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56" w15:restartNumberingAfterBreak="0">
    <w:nsid w:val="69193F81"/>
    <w:multiLevelType w:val="hybridMultilevel"/>
    <w:tmpl w:val="3F48359C"/>
    <w:lvl w:ilvl="0" w:tplc="08090001">
      <w:start w:val="1"/>
      <w:numFmt w:val="bullet"/>
      <w:lvlText w:val=""/>
      <w:lvlJc w:val="left"/>
      <w:pPr>
        <w:tabs>
          <w:tab w:val="num" w:pos="720"/>
        </w:tabs>
        <w:ind w:left="720" w:hanging="360"/>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EE22FC"/>
    <w:multiLevelType w:val="multilevel"/>
    <w:tmpl w:val="FD3CB18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8" w15:restartNumberingAfterBreak="0">
    <w:nsid w:val="6A477310"/>
    <w:multiLevelType w:val="multilevel"/>
    <w:tmpl w:val="0B505D3A"/>
    <w:lvl w:ilvl="0">
      <w:start w:val="3"/>
      <w:numFmt w:val="decimal"/>
      <w:lvlText w:val="%1"/>
      <w:lvlJc w:val="left"/>
      <w:pPr>
        <w:tabs>
          <w:tab w:val="num" w:pos="502"/>
        </w:tabs>
        <w:ind w:left="502" w:hanging="360"/>
      </w:pPr>
      <w:rPr>
        <w:rFonts w:cs="Times New Roman" w:hint="default"/>
        <w:b/>
        <w:sz w:val="28"/>
        <w:szCs w:val="28"/>
      </w:rPr>
    </w:lvl>
    <w:lvl w:ilvl="1">
      <w:start w:val="4"/>
      <w:numFmt w:val="decimal"/>
      <w:lvlText w:val="%1.%2"/>
      <w:lvlJc w:val="left"/>
      <w:pPr>
        <w:tabs>
          <w:tab w:val="num" w:pos="567"/>
        </w:tabs>
        <w:ind w:left="567" w:hanging="567"/>
      </w:pPr>
      <w:rPr>
        <w:rFonts w:cs="Times New Roman" w:hint="default"/>
        <w:b/>
        <w:color w:val="993366"/>
        <w:sz w:val="22"/>
        <w:szCs w:val="22"/>
      </w:rPr>
    </w:lvl>
    <w:lvl w:ilvl="2">
      <w:start w:val="3"/>
      <w:numFmt w:val="lowerLetter"/>
      <w:lvlText w:val="%3)"/>
      <w:lvlJc w:val="left"/>
      <w:pPr>
        <w:tabs>
          <w:tab w:val="num" w:pos="720"/>
        </w:tabs>
        <w:ind w:left="720" w:hanging="720"/>
      </w:pPr>
      <w:rPr>
        <w:rFonts w:ascii="Arial" w:eastAsia="Times New Roman" w:hAnsi="Arial" w:cs="Arial" w:hint="default"/>
        <w:b/>
        <w:color w:val="993366"/>
        <w:sz w:val="22"/>
        <w:szCs w:val="22"/>
      </w:rPr>
    </w:lvl>
    <w:lvl w:ilvl="3">
      <w:start w:val="1"/>
      <w:numFmt w:val="lowerLetter"/>
      <w:lvlText w:val="%4)"/>
      <w:lvlJc w:val="left"/>
      <w:pPr>
        <w:tabs>
          <w:tab w:val="num" w:pos="747"/>
        </w:tabs>
        <w:ind w:left="747" w:hanging="56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59" w15:restartNumberingAfterBreak="0">
    <w:nsid w:val="6C5848AB"/>
    <w:multiLevelType w:val="multilevel"/>
    <w:tmpl w:val="313E614A"/>
    <w:lvl w:ilvl="0">
      <w:start w:val="1"/>
      <w:numFmt w:val="decimal"/>
      <w:lvlText w:val="%1"/>
      <w:lvlJc w:val="left"/>
      <w:pPr>
        <w:tabs>
          <w:tab w:val="num" w:pos="570"/>
        </w:tabs>
        <w:ind w:left="570" w:hanging="570"/>
      </w:pPr>
      <w:rPr>
        <w:rFonts w:cs="Times New Roman" w:hint="default"/>
        <w:b/>
        <w:color w:val="993366"/>
        <w:sz w:val="28"/>
        <w:szCs w:val="28"/>
      </w:rPr>
    </w:lvl>
    <w:lvl w:ilvl="1">
      <w:start w:val="1"/>
      <w:numFmt w:val="decimal"/>
      <w:lvlText w:val="%1.%2"/>
      <w:lvlJc w:val="left"/>
      <w:pPr>
        <w:tabs>
          <w:tab w:val="num" w:pos="567"/>
        </w:tabs>
        <w:ind w:left="567" w:hanging="567"/>
      </w:pPr>
      <w:rPr>
        <w:rFonts w:ascii="Arial" w:hAnsi="Arial" w:cs="Arial" w:hint="default"/>
        <w:b/>
        <w:i w:val="0"/>
        <w:strike w:val="0"/>
        <w:color w:val="993366"/>
        <w:sz w:val="24"/>
        <w:szCs w:val="24"/>
      </w:rPr>
    </w:lvl>
    <w:lvl w:ilvl="2">
      <w:start w:val="1"/>
      <w:numFmt w:val="lowerLetter"/>
      <w:lvlText w:val="%3)"/>
      <w:lvlJc w:val="left"/>
      <w:pPr>
        <w:tabs>
          <w:tab w:val="num" w:pos="1854"/>
        </w:tabs>
        <w:ind w:left="1854" w:hanging="720"/>
      </w:pPr>
      <w:rPr>
        <w:rFonts w:cs="Times New Roman" w:hint="default"/>
        <w:b/>
        <w:i w:val="0"/>
        <w:strike w:val="0"/>
        <w:color w:val="993366"/>
        <w:sz w:val="22"/>
        <w:szCs w:val="22"/>
      </w:rPr>
    </w:lvl>
    <w:lvl w:ilvl="3">
      <w:start w:val="1"/>
      <w:numFmt w:val="bullet"/>
      <w:lvlText w:val=""/>
      <w:lvlJc w:val="left"/>
      <w:pPr>
        <w:tabs>
          <w:tab w:val="num" w:pos="2421"/>
        </w:tabs>
        <w:ind w:left="2421" w:hanging="720"/>
      </w:pPr>
      <w:rPr>
        <w:rFonts w:ascii="Symbol" w:hAnsi="Symbol" w:hint="default"/>
        <w:b w:val="0"/>
        <w:strike w:val="0"/>
        <w:color w:val="auto"/>
        <w:sz w:val="22"/>
        <w:szCs w:val="22"/>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60" w15:restartNumberingAfterBreak="0">
    <w:nsid w:val="76BF54B7"/>
    <w:multiLevelType w:val="hybridMultilevel"/>
    <w:tmpl w:val="926CE61E"/>
    <w:lvl w:ilvl="0" w:tplc="7994ACF6">
      <w:start w:val="1"/>
      <w:numFmt w:val="lowerLetter"/>
      <w:lvlText w:val="%1)"/>
      <w:lvlJc w:val="left"/>
      <w:pPr>
        <w:ind w:left="720" w:hanging="360"/>
      </w:pPr>
      <w:rPr>
        <w:rFonts w:ascii="Arial Bold" w:hAnsi="Arial Bold" w:cs="Times New Roman" w:hint="default"/>
        <w:b/>
        <w:strike w:val="0"/>
        <w:color w:val="993366"/>
        <w:sz w:val="22"/>
        <w:szCs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94E0396"/>
    <w:multiLevelType w:val="hybridMultilevel"/>
    <w:tmpl w:val="997C990C"/>
    <w:lvl w:ilvl="0" w:tplc="08090003">
      <w:start w:val="1"/>
      <w:numFmt w:val="lowerLetter"/>
      <w:lvlText w:val="%1."/>
      <w:lvlJc w:val="left"/>
      <w:pPr>
        <w:tabs>
          <w:tab w:val="num" w:pos="1440"/>
        </w:tabs>
        <w:ind w:left="1440" w:hanging="360"/>
      </w:pPr>
      <w:rPr>
        <w:rFonts w:cs="Times New Roman"/>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780745"/>
    <w:multiLevelType w:val="multilevel"/>
    <w:tmpl w:val="177C719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b/>
        <w:color w:val="993366"/>
        <w:sz w:val="24"/>
        <w:szCs w:val="24"/>
      </w:rPr>
    </w:lvl>
    <w:lvl w:ilvl="2">
      <w:start w:val="1"/>
      <w:numFmt w:val="decimal"/>
      <w:lvlText w:val="%1.%2.%3"/>
      <w:lvlJc w:val="left"/>
      <w:pPr>
        <w:tabs>
          <w:tab w:val="num" w:pos="720"/>
        </w:tabs>
        <w:ind w:left="720" w:hanging="720"/>
      </w:pPr>
      <w:rPr>
        <w:rFonts w:cs="Times New Roman" w:hint="default"/>
        <w:b/>
        <w:color w:val="993366"/>
        <w:sz w:val="22"/>
        <w:szCs w:val="22"/>
      </w:rPr>
    </w:lvl>
    <w:lvl w:ilvl="3">
      <w:start w:val="1"/>
      <w:numFmt w:val="bullet"/>
      <w:lvlText w:val=""/>
      <w:lvlJc w:val="left"/>
      <w:pPr>
        <w:tabs>
          <w:tab w:val="num" w:pos="540"/>
        </w:tabs>
        <w:ind w:left="540" w:hanging="360"/>
      </w:pPr>
      <w:rPr>
        <w:rFonts w:ascii="Symbol" w:hAnsi="Symbol"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63" w15:restartNumberingAfterBreak="0">
    <w:nsid w:val="7EEC6B58"/>
    <w:multiLevelType w:val="multilevel"/>
    <w:tmpl w:val="0B32C706"/>
    <w:lvl w:ilvl="0">
      <w:start w:val="5"/>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1080"/>
        </w:tabs>
        <w:ind w:left="1080" w:hanging="360"/>
      </w:pPr>
      <w:rPr>
        <w:rFonts w:cs="Times New Roman" w:hint="default"/>
        <w:b/>
        <w:color w:val="993366"/>
        <w:sz w:val="24"/>
        <w:szCs w:val="24"/>
      </w:rPr>
    </w:lvl>
    <w:lvl w:ilvl="2">
      <w:start w:val="1"/>
      <w:numFmt w:val="lowerLetter"/>
      <w:lvlText w:val="%3)"/>
      <w:lvlJc w:val="left"/>
      <w:pPr>
        <w:tabs>
          <w:tab w:val="num" w:pos="567"/>
        </w:tabs>
        <w:ind w:left="567" w:hanging="567"/>
      </w:pPr>
      <w:rPr>
        <w:rFonts w:ascii="Arial" w:eastAsia="Times New Roman" w:hAnsi="Arial" w:cs="Arial" w:hint="default"/>
        <w:b/>
        <w:color w:val="993366"/>
        <w:sz w:val="22"/>
        <w:szCs w:val="22"/>
      </w:rPr>
    </w:lvl>
    <w:lvl w:ilvl="3">
      <w:start w:val="2"/>
      <w:numFmt w:val="lowerLetter"/>
      <w:lvlText w:val="%4)"/>
      <w:lvlJc w:val="left"/>
      <w:pPr>
        <w:tabs>
          <w:tab w:val="num" w:pos="567"/>
        </w:tabs>
        <w:ind w:left="567" w:hanging="387"/>
      </w:pPr>
      <w:rPr>
        <w:rFonts w:cs="Times New Roman" w:hint="default"/>
        <w:b/>
        <w:color w:val="993366"/>
        <w:sz w:val="22"/>
        <w:szCs w:val="22"/>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num w:numId="1" w16cid:durableId="1028947132">
    <w:abstractNumId w:val="22"/>
  </w:num>
  <w:num w:numId="2" w16cid:durableId="452360361">
    <w:abstractNumId w:val="48"/>
  </w:num>
  <w:num w:numId="3" w16cid:durableId="433481917">
    <w:abstractNumId w:val="21"/>
  </w:num>
  <w:num w:numId="4" w16cid:durableId="1289162477">
    <w:abstractNumId w:val="25"/>
  </w:num>
  <w:num w:numId="5" w16cid:durableId="157616660">
    <w:abstractNumId w:val="24"/>
  </w:num>
  <w:num w:numId="6" w16cid:durableId="1083533160">
    <w:abstractNumId w:val="4"/>
  </w:num>
  <w:num w:numId="7" w16cid:durableId="358238149">
    <w:abstractNumId w:val="34"/>
  </w:num>
  <w:num w:numId="8" w16cid:durableId="715667621">
    <w:abstractNumId w:val="5"/>
  </w:num>
  <w:num w:numId="9" w16cid:durableId="2099715150">
    <w:abstractNumId w:val="17"/>
  </w:num>
  <w:num w:numId="10" w16cid:durableId="971833927">
    <w:abstractNumId w:val="28"/>
  </w:num>
  <w:num w:numId="11" w16cid:durableId="2098936002">
    <w:abstractNumId w:val="36"/>
  </w:num>
  <w:num w:numId="12" w16cid:durableId="1844932453">
    <w:abstractNumId w:val="46"/>
  </w:num>
  <w:num w:numId="13" w16cid:durableId="1810173861">
    <w:abstractNumId w:val="62"/>
  </w:num>
  <w:num w:numId="14" w16cid:durableId="2079092638">
    <w:abstractNumId w:val="14"/>
  </w:num>
  <w:num w:numId="15" w16cid:durableId="566962587">
    <w:abstractNumId w:val="30"/>
  </w:num>
  <w:num w:numId="16" w16cid:durableId="442455315">
    <w:abstractNumId w:val="26"/>
  </w:num>
  <w:num w:numId="17" w16cid:durableId="227501834">
    <w:abstractNumId w:val="23"/>
  </w:num>
  <w:num w:numId="18" w16cid:durableId="1503158241">
    <w:abstractNumId w:val="35"/>
  </w:num>
  <w:num w:numId="19" w16cid:durableId="393743072">
    <w:abstractNumId w:val="1"/>
  </w:num>
  <w:num w:numId="20" w16cid:durableId="877206761">
    <w:abstractNumId w:val="43"/>
  </w:num>
  <w:num w:numId="21" w16cid:durableId="1239052661">
    <w:abstractNumId w:val="39"/>
  </w:num>
  <w:num w:numId="22" w16cid:durableId="1538003601">
    <w:abstractNumId w:val="51"/>
  </w:num>
  <w:num w:numId="23" w16cid:durableId="49309255">
    <w:abstractNumId w:val="3"/>
  </w:num>
  <w:num w:numId="24" w16cid:durableId="1017193955">
    <w:abstractNumId w:val="55"/>
  </w:num>
  <w:num w:numId="25" w16cid:durableId="1807509309">
    <w:abstractNumId w:val="45"/>
  </w:num>
  <w:num w:numId="26" w16cid:durableId="252513017">
    <w:abstractNumId w:val="49"/>
  </w:num>
  <w:num w:numId="27" w16cid:durableId="2122912565">
    <w:abstractNumId w:val="15"/>
  </w:num>
  <w:num w:numId="28" w16cid:durableId="1454206877">
    <w:abstractNumId w:val="54"/>
  </w:num>
  <w:num w:numId="29" w16cid:durableId="261689229">
    <w:abstractNumId w:val="11"/>
  </w:num>
  <w:num w:numId="30" w16cid:durableId="579875545">
    <w:abstractNumId w:val="2"/>
  </w:num>
  <w:num w:numId="31" w16cid:durableId="1028750179">
    <w:abstractNumId w:val="63"/>
  </w:num>
  <w:num w:numId="32" w16cid:durableId="868835649">
    <w:abstractNumId w:val="6"/>
  </w:num>
  <w:num w:numId="33" w16cid:durableId="1602490898">
    <w:abstractNumId w:val="58"/>
  </w:num>
  <w:num w:numId="34" w16cid:durableId="682900817">
    <w:abstractNumId w:val="33"/>
  </w:num>
  <w:num w:numId="35" w16cid:durableId="706100006">
    <w:abstractNumId w:val="42"/>
  </w:num>
  <w:num w:numId="36" w16cid:durableId="1670522067">
    <w:abstractNumId w:val="18"/>
  </w:num>
  <w:num w:numId="37" w16cid:durableId="1382821715">
    <w:abstractNumId w:val="13"/>
  </w:num>
  <w:num w:numId="38" w16cid:durableId="1476799903">
    <w:abstractNumId w:val="9"/>
  </w:num>
  <w:num w:numId="39" w16cid:durableId="569997814">
    <w:abstractNumId w:val="52"/>
  </w:num>
  <w:num w:numId="40" w16cid:durableId="441001126">
    <w:abstractNumId w:val="8"/>
  </w:num>
  <w:num w:numId="41" w16cid:durableId="237785309">
    <w:abstractNumId w:val="56"/>
  </w:num>
  <w:num w:numId="42" w16cid:durableId="1719668197">
    <w:abstractNumId w:val="20"/>
  </w:num>
  <w:num w:numId="43" w16cid:durableId="897864366">
    <w:abstractNumId w:val="53"/>
  </w:num>
  <w:num w:numId="44" w16cid:durableId="644971563">
    <w:abstractNumId w:val="47"/>
  </w:num>
  <w:num w:numId="45" w16cid:durableId="1947694575">
    <w:abstractNumId w:val="37"/>
  </w:num>
  <w:num w:numId="46" w16cid:durableId="1162283121">
    <w:abstractNumId w:val="41"/>
  </w:num>
  <w:num w:numId="47" w16cid:durableId="1859660371">
    <w:abstractNumId w:val="12"/>
  </w:num>
  <w:num w:numId="48" w16cid:durableId="1632664613">
    <w:abstractNumId w:val="59"/>
  </w:num>
  <w:num w:numId="49" w16cid:durableId="1019431211">
    <w:abstractNumId w:val="0"/>
  </w:num>
  <w:num w:numId="50" w16cid:durableId="123473471">
    <w:abstractNumId w:val="60"/>
  </w:num>
  <w:num w:numId="51" w16cid:durableId="1702319824">
    <w:abstractNumId w:val="38"/>
  </w:num>
  <w:num w:numId="52" w16cid:durableId="88357065">
    <w:abstractNumId w:val="7"/>
  </w:num>
  <w:num w:numId="53" w16cid:durableId="590430157">
    <w:abstractNumId w:val="29"/>
  </w:num>
  <w:num w:numId="54" w16cid:durableId="304118970">
    <w:abstractNumId w:val="57"/>
  </w:num>
  <w:num w:numId="55" w16cid:durableId="1151021269">
    <w:abstractNumId w:val="19"/>
  </w:num>
  <w:num w:numId="56" w16cid:durableId="376395728">
    <w:abstractNumId w:val="50"/>
  </w:num>
  <w:num w:numId="57" w16cid:durableId="459805746">
    <w:abstractNumId w:val="44"/>
  </w:num>
  <w:num w:numId="58" w16cid:durableId="253780659">
    <w:abstractNumId w:val="31"/>
  </w:num>
  <w:num w:numId="59" w16cid:durableId="351153843">
    <w:abstractNumId w:val="16"/>
  </w:num>
  <w:num w:numId="60" w16cid:durableId="86115944">
    <w:abstractNumId w:val="27"/>
  </w:num>
  <w:num w:numId="61" w16cid:durableId="1120303378">
    <w:abstractNumId w:val="40"/>
  </w:num>
  <w:num w:numId="62" w16cid:durableId="278953172">
    <w:abstractNumId w:val="10"/>
  </w:num>
  <w:num w:numId="63" w16cid:durableId="1033308379">
    <w:abstractNumId w:val="61"/>
  </w:num>
  <w:num w:numId="64" w16cid:durableId="1843621834">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737"/>
    <w:rsid w:val="0000057C"/>
    <w:rsid w:val="00000DD9"/>
    <w:rsid w:val="0000135E"/>
    <w:rsid w:val="00001B5F"/>
    <w:rsid w:val="00002078"/>
    <w:rsid w:val="0000265C"/>
    <w:rsid w:val="000028D1"/>
    <w:rsid w:val="00002CD2"/>
    <w:rsid w:val="00003D6E"/>
    <w:rsid w:val="000048EE"/>
    <w:rsid w:val="00004949"/>
    <w:rsid w:val="00004B24"/>
    <w:rsid w:val="00005341"/>
    <w:rsid w:val="00005A23"/>
    <w:rsid w:val="00006246"/>
    <w:rsid w:val="000079BA"/>
    <w:rsid w:val="00007DB2"/>
    <w:rsid w:val="00007E05"/>
    <w:rsid w:val="00007F52"/>
    <w:rsid w:val="000108A0"/>
    <w:rsid w:val="000109C6"/>
    <w:rsid w:val="00011104"/>
    <w:rsid w:val="00011B27"/>
    <w:rsid w:val="00011CF9"/>
    <w:rsid w:val="00012188"/>
    <w:rsid w:val="00012B6E"/>
    <w:rsid w:val="00013904"/>
    <w:rsid w:val="000144FB"/>
    <w:rsid w:val="00015625"/>
    <w:rsid w:val="0001672F"/>
    <w:rsid w:val="0001682A"/>
    <w:rsid w:val="0001699C"/>
    <w:rsid w:val="0001799F"/>
    <w:rsid w:val="00017B75"/>
    <w:rsid w:val="00020B8D"/>
    <w:rsid w:val="00020D80"/>
    <w:rsid w:val="000220B3"/>
    <w:rsid w:val="0002280B"/>
    <w:rsid w:val="00022AB7"/>
    <w:rsid w:val="00022D1B"/>
    <w:rsid w:val="00022D81"/>
    <w:rsid w:val="00022EEE"/>
    <w:rsid w:val="00023023"/>
    <w:rsid w:val="00023102"/>
    <w:rsid w:val="00024886"/>
    <w:rsid w:val="00025D05"/>
    <w:rsid w:val="00027337"/>
    <w:rsid w:val="00027731"/>
    <w:rsid w:val="000278D6"/>
    <w:rsid w:val="00027AD7"/>
    <w:rsid w:val="00027C39"/>
    <w:rsid w:val="00030045"/>
    <w:rsid w:val="000300D7"/>
    <w:rsid w:val="00030D94"/>
    <w:rsid w:val="00030EB8"/>
    <w:rsid w:val="00031366"/>
    <w:rsid w:val="00031CF5"/>
    <w:rsid w:val="0003258C"/>
    <w:rsid w:val="0003284B"/>
    <w:rsid w:val="00033505"/>
    <w:rsid w:val="00033C32"/>
    <w:rsid w:val="00034B96"/>
    <w:rsid w:val="00034CB5"/>
    <w:rsid w:val="00035825"/>
    <w:rsid w:val="00035D74"/>
    <w:rsid w:val="0003604C"/>
    <w:rsid w:val="00036282"/>
    <w:rsid w:val="0003640D"/>
    <w:rsid w:val="00036804"/>
    <w:rsid w:val="000370AE"/>
    <w:rsid w:val="000376E8"/>
    <w:rsid w:val="00037A53"/>
    <w:rsid w:val="000407D5"/>
    <w:rsid w:val="00040BF9"/>
    <w:rsid w:val="00040DB5"/>
    <w:rsid w:val="000416B9"/>
    <w:rsid w:val="00041C3F"/>
    <w:rsid w:val="0004291B"/>
    <w:rsid w:val="00044DB5"/>
    <w:rsid w:val="000452BB"/>
    <w:rsid w:val="00045615"/>
    <w:rsid w:val="00046049"/>
    <w:rsid w:val="0004656F"/>
    <w:rsid w:val="0004692F"/>
    <w:rsid w:val="000473B0"/>
    <w:rsid w:val="0005014C"/>
    <w:rsid w:val="000501F9"/>
    <w:rsid w:val="00050B6F"/>
    <w:rsid w:val="00051200"/>
    <w:rsid w:val="00051284"/>
    <w:rsid w:val="000513F6"/>
    <w:rsid w:val="00052062"/>
    <w:rsid w:val="00052B0B"/>
    <w:rsid w:val="0005309D"/>
    <w:rsid w:val="00053899"/>
    <w:rsid w:val="00054920"/>
    <w:rsid w:val="00054C4E"/>
    <w:rsid w:val="00054CE0"/>
    <w:rsid w:val="00054F0D"/>
    <w:rsid w:val="000557B4"/>
    <w:rsid w:val="00056C7F"/>
    <w:rsid w:val="00057A69"/>
    <w:rsid w:val="00057CC8"/>
    <w:rsid w:val="00057F58"/>
    <w:rsid w:val="00057FC5"/>
    <w:rsid w:val="0006085D"/>
    <w:rsid w:val="00060912"/>
    <w:rsid w:val="00060CCB"/>
    <w:rsid w:val="0006121E"/>
    <w:rsid w:val="00061419"/>
    <w:rsid w:val="000614B8"/>
    <w:rsid w:val="0006177B"/>
    <w:rsid w:val="000617FE"/>
    <w:rsid w:val="00061BE0"/>
    <w:rsid w:val="00061C49"/>
    <w:rsid w:val="00061D45"/>
    <w:rsid w:val="00062BC5"/>
    <w:rsid w:val="00062D77"/>
    <w:rsid w:val="00063080"/>
    <w:rsid w:val="0006325C"/>
    <w:rsid w:val="000643CD"/>
    <w:rsid w:val="000650BC"/>
    <w:rsid w:val="000654A1"/>
    <w:rsid w:val="000659AC"/>
    <w:rsid w:val="00066CA8"/>
    <w:rsid w:val="00067DE0"/>
    <w:rsid w:val="00067F0D"/>
    <w:rsid w:val="000700FF"/>
    <w:rsid w:val="000705DA"/>
    <w:rsid w:val="00070E78"/>
    <w:rsid w:val="0007168A"/>
    <w:rsid w:val="00071912"/>
    <w:rsid w:val="00071EB5"/>
    <w:rsid w:val="000720E4"/>
    <w:rsid w:val="000722E3"/>
    <w:rsid w:val="0007252B"/>
    <w:rsid w:val="00072927"/>
    <w:rsid w:val="00072A43"/>
    <w:rsid w:val="00073433"/>
    <w:rsid w:val="000734A5"/>
    <w:rsid w:val="00073A38"/>
    <w:rsid w:val="0007666B"/>
    <w:rsid w:val="00076AC9"/>
    <w:rsid w:val="00080038"/>
    <w:rsid w:val="00080DE2"/>
    <w:rsid w:val="000813D0"/>
    <w:rsid w:val="000816E0"/>
    <w:rsid w:val="00082725"/>
    <w:rsid w:val="000827AA"/>
    <w:rsid w:val="00083502"/>
    <w:rsid w:val="00083A4C"/>
    <w:rsid w:val="00083AE3"/>
    <w:rsid w:val="000841D7"/>
    <w:rsid w:val="0008424A"/>
    <w:rsid w:val="00084CB7"/>
    <w:rsid w:val="00084E25"/>
    <w:rsid w:val="000850D4"/>
    <w:rsid w:val="0008600F"/>
    <w:rsid w:val="000860A4"/>
    <w:rsid w:val="00086268"/>
    <w:rsid w:val="0008748A"/>
    <w:rsid w:val="000878B7"/>
    <w:rsid w:val="00087E6D"/>
    <w:rsid w:val="00090AA4"/>
    <w:rsid w:val="00091195"/>
    <w:rsid w:val="000923FF"/>
    <w:rsid w:val="000924C1"/>
    <w:rsid w:val="000925E2"/>
    <w:rsid w:val="0009267D"/>
    <w:rsid w:val="00092A30"/>
    <w:rsid w:val="00093858"/>
    <w:rsid w:val="00093AC6"/>
    <w:rsid w:val="00093C87"/>
    <w:rsid w:val="00093F4D"/>
    <w:rsid w:val="000942A1"/>
    <w:rsid w:val="00095CFF"/>
    <w:rsid w:val="00096166"/>
    <w:rsid w:val="000966D6"/>
    <w:rsid w:val="000968DD"/>
    <w:rsid w:val="000970BE"/>
    <w:rsid w:val="000979EA"/>
    <w:rsid w:val="000A005F"/>
    <w:rsid w:val="000A0580"/>
    <w:rsid w:val="000A09C6"/>
    <w:rsid w:val="000A0C71"/>
    <w:rsid w:val="000A1610"/>
    <w:rsid w:val="000A19DF"/>
    <w:rsid w:val="000A1DB6"/>
    <w:rsid w:val="000A225D"/>
    <w:rsid w:val="000A286F"/>
    <w:rsid w:val="000A2B73"/>
    <w:rsid w:val="000A35AB"/>
    <w:rsid w:val="000A3F60"/>
    <w:rsid w:val="000A4077"/>
    <w:rsid w:val="000A4547"/>
    <w:rsid w:val="000A4808"/>
    <w:rsid w:val="000A483B"/>
    <w:rsid w:val="000A4A33"/>
    <w:rsid w:val="000A514A"/>
    <w:rsid w:val="000A5F62"/>
    <w:rsid w:val="000A756B"/>
    <w:rsid w:val="000A7907"/>
    <w:rsid w:val="000A7C72"/>
    <w:rsid w:val="000A7D0F"/>
    <w:rsid w:val="000B1122"/>
    <w:rsid w:val="000B1F1F"/>
    <w:rsid w:val="000B2187"/>
    <w:rsid w:val="000B4FBE"/>
    <w:rsid w:val="000B50CD"/>
    <w:rsid w:val="000B596C"/>
    <w:rsid w:val="000B62D0"/>
    <w:rsid w:val="000B63B1"/>
    <w:rsid w:val="000B6982"/>
    <w:rsid w:val="000B722C"/>
    <w:rsid w:val="000B73AE"/>
    <w:rsid w:val="000B7A0E"/>
    <w:rsid w:val="000C15E2"/>
    <w:rsid w:val="000C19C1"/>
    <w:rsid w:val="000C2962"/>
    <w:rsid w:val="000C3195"/>
    <w:rsid w:val="000C3BD9"/>
    <w:rsid w:val="000C405E"/>
    <w:rsid w:val="000C5128"/>
    <w:rsid w:val="000C67F3"/>
    <w:rsid w:val="000C68E7"/>
    <w:rsid w:val="000C6AEF"/>
    <w:rsid w:val="000C6F1D"/>
    <w:rsid w:val="000C7369"/>
    <w:rsid w:val="000C7C19"/>
    <w:rsid w:val="000D01C0"/>
    <w:rsid w:val="000D08C9"/>
    <w:rsid w:val="000D0BD8"/>
    <w:rsid w:val="000D1A39"/>
    <w:rsid w:val="000D1CEB"/>
    <w:rsid w:val="000D2AC7"/>
    <w:rsid w:val="000D2CBE"/>
    <w:rsid w:val="000D3598"/>
    <w:rsid w:val="000D35AC"/>
    <w:rsid w:val="000D3652"/>
    <w:rsid w:val="000D4266"/>
    <w:rsid w:val="000D469E"/>
    <w:rsid w:val="000D6054"/>
    <w:rsid w:val="000D6060"/>
    <w:rsid w:val="000D64A1"/>
    <w:rsid w:val="000D71BC"/>
    <w:rsid w:val="000D72CB"/>
    <w:rsid w:val="000D766E"/>
    <w:rsid w:val="000D7BE6"/>
    <w:rsid w:val="000D7E05"/>
    <w:rsid w:val="000E03A7"/>
    <w:rsid w:val="000E0A76"/>
    <w:rsid w:val="000E0C84"/>
    <w:rsid w:val="000E0D30"/>
    <w:rsid w:val="000E1758"/>
    <w:rsid w:val="000E2A80"/>
    <w:rsid w:val="000E31B4"/>
    <w:rsid w:val="000E41A8"/>
    <w:rsid w:val="000E452B"/>
    <w:rsid w:val="000E57F0"/>
    <w:rsid w:val="000E58B5"/>
    <w:rsid w:val="000E590E"/>
    <w:rsid w:val="000E5926"/>
    <w:rsid w:val="000E686A"/>
    <w:rsid w:val="000E6DAE"/>
    <w:rsid w:val="000F03F8"/>
    <w:rsid w:val="000F04B8"/>
    <w:rsid w:val="000F05C2"/>
    <w:rsid w:val="000F08C0"/>
    <w:rsid w:val="000F0EE1"/>
    <w:rsid w:val="000F1341"/>
    <w:rsid w:val="000F1DA0"/>
    <w:rsid w:val="000F21A0"/>
    <w:rsid w:val="000F27EE"/>
    <w:rsid w:val="000F286F"/>
    <w:rsid w:val="000F2D69"/>
    <w:rsid w:val="000F33FF"/>
    <w:rsid w:val="000F3565"/>
    <w:rsid w:val="000F39BC"/>
    <w:rsid w:val="000F3F09"/>
    <w:rsid w:val="000F4D6A"/>
    <w:rsid w:val="000F5231"/>
    <w:rsid w:val="000F5A0D"/>
    <w:rsid w:val="000F724B"/>
    <w:rsid w:val="000F79BA"/>
    <w:rsid w:val="000F7F57"/>
    <w:rsid w:val="00100EA7"/>
    <w:rsid w:val="0010123D"/>
    <w:rsid w:val="00101B90"/>
    <w:rsid w:val="00102E64"/>
    <w:rsid w:val="00104091"/>
    <w:rsid w:val="00104242"/>
    <w:rsid w:val="0010467F"/>
    <w:rsid w:val="00104AFA"/>
    <w:rsid w:val="00104F78"/>
    <w:rsid w:val="00104F9B"/>
    <w:rsid w:val="00105D9F"/>
    <w:rsid w:val="00106092"/>
    <w:rsid w:val="0010667E"/>
    <w:rsid w:val="00106AF4"/>
    <w:rsid w:val="00106CD2"/>
    <w:rsid w:val="00107181"/>
    <w:rsid w:val="00107318"/>
    <w:rsid w:val="001074E0"/>
    <w:rsid w:val="001078E5"/>
    <w:rsid w:val="00107B6B"/>
    <w:rsid w:val="00107DD6"/>
    <w:rsid w:val="00110923"/>
    <w:rsid w:val="0011294E"/>
    <w:rsid w:val="00112F0B"/>
    <w:rsid w:val="0011306C"/>
    <w:rsid w:val="00113ADB"/>
    <w:rsid w:val="00113BA9"/>
    <w:rsid w:val="00113CF2"/>
    <w:rsid w:val="00113F44"/>
    <w:rsid w:val="00114466"/>
    <w:rsid w:val="00114869"/>
    <w:rsid w:val="001149BC"/>
    <w:rsid w:val="00114B9E"/>
    <w:rsid w:val="0011576A"/>
    <w:rsid w:val="00115D0B"/>
    <w:rsid w:val="0011618C"/>
    <w:rsid w:val="0011656B"/>
    <w:rsid w:val="00116805"/>
    <w:rsid w:val="00116FA4"/>
    <w:rsid w:val="0011799C"/>
    <w:rsid w:val="00117D71"/>
    <w:rsid w:val="00117E71"/>
    <w:rsid w:val="00120BAE"/>
    <w:rsid w:val="0012107F"/>
    <w:rsid w:val="00121B7E"/>
    <w:rsid w:val="00122827"/>
    <w:rsid w:val="00122A35"/>
    <w:rsid w:val="00122AE6"/>
    <w:rsid w:val="00123C41"/>
    <w:rsid w:val="00123E6E"/>
    <w:rsid w:val="0012453D"/>
    <w:rsid w:val="00124706"/>
    <w:rsid w:val="0012498F"/>
    <w:rsid w:val="001250C7"/>
    <w:rsid w:val="001251AC"/>
    <w:rsid w:val="001251EF"/>
    <w:rsid w:val="001254DA"/>
    <w:rsid w:val="0012605D"/>
    <w:rsid w:val="00126494"/>
    <w:rsid w:val="0012660E"/>
    <w:rsid w:val="0012667F"/>
    <w:rsid w:val="00126D75"/>
    <w:rsid w:val="00127781"/>
    <w:rsid w:val="00127978"/>
    <w:rsid w:val="00127E94"/>
    <w:rsid w:val="00130E4C"/>
    <w:rsid w:val="001314A3"/>
    <w:rsid w:val="00131535"/>
    <w:rsid w:val="0013179D"/>
    <w:rsid w:val="00132091"/>
    <w:rsid w:val="00132296"/>
    <w:rsid w:val="001326A3"/>
    <w:rsid w:val="0013293B"/>
    <w:rsid w:val="00132CB4"/>
    <w:rsid w:val="00133015"/>
    <w:rsid w:val="001332C6"/>
    <w:rsid w:val="00133CB9"/>
    <w:rsid w:val="00133FF3"/>
    <w:rsid w:val="001340DD"/>
    <w:rsid w:val="00134988"/>
    <w:rsid w:val="0013547B"/>
    <w:rsid w:val="001359D5"/>
    <w:rsid w:val="00135A20"/>
    <w:rsid w:val="00135A48"/>
    <w:rsid w:val="00135A77"/>
    <w:rsid w:val="00135BFD"/>
    <w:rsid w:val="00135D2E"/>
    <w:rsid w:val="001366DA"/>
    <w:rsid w:val="001369C7"/>
    <w:rsid w:val="00136CB6"/>
    <w:rsid w:val="0013732E"/>
    <w:rsid w:val="001377EB"/>
    <w:rsid w:val="00140AFC"/>
    <w:rsid w:val="00140D4F"/>
    <w:rsid w:val="00140E64"/>
    <w:rsid w:val="001410AC"/>
    <w:rsid w:val="0014198F"/>
    <w:rsid w:val="00143BEA"/>
    <w:rsid w:val="00143C9F"/>
    <w:rsid w:val="001465DA"/>
    <w:rsid w:val="001471A9"/>
    <w:rsid w:val="00147CD0"/>
    <w:rsid w:val="00147E11"/>
    <w:rsid w:val="00147EA7"/>
    <w:rsid w:val="001500B1"/>
    <w:rsid w:val="00152504"/>
    <w:rsid w:val="001534CA"/>
    <w:rsid w:val="00153E74"/>
    <w:rsid w:val="0015458F"/>
    <w:rsid w:val="001546BB"/>
    <w:rsid w:val="001549A4"/>
    <w:rsid w:val="00154DEE"/>
    <w:rsid w:val="00155633"/>
    <w:rsid w:val="001560B0"/>
    <w:rsid w:val="00156200"/>
    <w:rsid w:val="001566CF"/>
    <w:rsid w:val="00157056"/>
    <w:rsid w:val="00160737"/>
    <w:rsid w:val="001608F5"/>
    <w:rsid w:val="00161486"/>
    <w:rsid w:val="00161BEC"/>
    <w:rsid w:val="00161F98"/>
    <w:rsid w:val="00162D6F"/>
    <w:rsid w:val="00163168"/>
    <w:rsid w:val="0016366D"/>
    <w:rsid w:val="00164A84"/>
    <w:rsid w:val="00165015"/>
    <w:rsid w:val="001653A9"/>
    <w:rsid w:val="00166096"/>
    <w:rsid w:val="00166358"/>
    <w:rsid w:val="00166684"/>
    <w:rsid w:val="0016670A"/>
    <w:rsid w:val="001671EF"/>
    <w:rsid w:val="0017034E"/>
    <w:rsid w:val="00170A94"/>
    <w:rsid w:val="001713B0"/>
    <w:rsid w:val="00171711"/>
    <w:rsid w:val="00171B66"/>
    <w:rsid w:val="00171C7A"/>
    <w:rsid w:val="00172418"/>
    <w:rsid w:val="00172777"/>
    <w:rsid w:val="00172A4E"/>
    <w:rsid w:val="00172AE9"/>
    <w:rsid w:val="00172CC5"/>
    <w:rsid w:val="0017300B"/>
    <w:rsid w:val="001732CE"/>
    <w:rsid w:val="00173870"/>
    <w:rsid w:val="00173A88"/>
    <w:rsid w:val="00173EB5"/>
    <w:rsid w:val="001747EB"/>
    <w:rsid w:val="0017482C"/>
    <w:rsid w:val="00175590"/>
    <w:rsid w:val="001758E5"/>
    <w:rsid w:val="00176E56"/>
    <w:rsid w:val="001775A7"/>
    <w:rsid w:val="001801D8"/>
    <w:rsid w:val="00180285"/>
    <w:rsid w:val="00180540"/>
    <w:rsid w:val="00181169"/>
    <w:rsid w:val="0018118E"/>
    <w:rsid w:val="00181560"/>
    <w:rsid w:val="001815B0"/>
    <w:rsid w:val="001815CF"/>
    <w:rsid w:val="00182298"/>
    <w:rsid w:val="00182765"/>
    <w:rsid w:val="00182D1D"/>
    <w:rsid w:val="00182D61"/>
    <w:rsid w:val="00182FBB"/>
    <w:rsid w:val="001834D7"/>
    <w:rsid w:val="00184572"/>
    <w:rsid w:val="00184DB7"/>
    <w:rsid w:val="001852E2"/>
    <w:rsid w:val="001855FC"/>
    <w:rsid w:val="0018611B"/>
    <w:rsid w:val="0018621D"/>
    <w:rsid w:val="0018643F"/>
    <w:rsid w:val="0018674D"/>
    <w:rsid w:val="00186F66"/>
    <w:rsid w:val="00186FF1"/>
    <w:rsid w:val="0018772E"/>
    <w:rsid w:val="00187D60"/>
    <w:rsid w:val="00190276"/>
    <w:rsid w:val="001909FA"/>
    <w:rsid w:val="00190E3C"/>
    <w:rsid w:val="00191733"/>
    <w:rsid w:val="0019181B"/>
    <w:rsid w:val="0019193F"/>
    <w:rsid w:val="0019195C"/>
    <w:rsid w:val="00191B3C"/>
    <w:rsid w:val="0019243F"/>
    <w:rsid w:val="00192E61"/>
    <w:rsid w:val="0019398B"/>
    <w:rsid w:val="00194215"/>
    <w:rsid w:val="0019426E"/>
    <w:rsid w:val="00194611"/>
    <w:rsid w:val="001950EE"/>
    <w:rsid w:val="00195194"/>
    <w:rsid w:val="00195272"/>
    <w:rsid w:val="00195A03"/>
    <w:rsid w:val="00196078"/>
    <w:rsid w:val="001960A7"/>
    <w:rsid w:val="00196117"/>
    <w:rsid w:val="0019677D"/>
    <w:rsid w:val="0019695B"/>
    <w:rsid w:val="00196B42"/>
    <w:rsid w:val="0019784B"/>
    <w:rsid w:val="00197D82"/>
    <w:rsid w:val="001A02B8"/>
    <w:rsid w:val="001A03A6"/>
    <w:rsid w:val="001A16DA"/>
    <w:rsid w:val="001A192B"/>
    <w:rsid w:val="001A209D"/>
    <w:rsid w:val="001A3007"/>
    <w:rsid w:val="001A3640"/>
    <w:rsid w:val="001A3EB4"/>
    <w:rsid w:val="001A41F8"/>
    <w:rsid w:val="001A4258"/>
    <w:rsid w:val="001A4768"/>
    <w:rsid w:val="001A4E16"/>
    <w:rsid w:val="001A511A"/>
    <w:rsid w:val="001A5124"/>
    <w:rsid w:val="001A5B67"/>
    <w:rsid w:val="001A6689"/>
    <w:rsid w:val="001A6846"/>
    <w:rsid w:val="001A69F3"/>
    <w:rsid w:val="001A73A7"/>
    <w:rsid w:val="001A74FC"/>
    <w:rsid w:val="001A7974"/>
    <w:rsid w:val="001B0BDE"/>
    <w:rsid w:val="001B0DA6"/>
    <w:rsid w:val="001B1A67"/>
    <w:rsid w:val="001B251A"/>
    <w:rsid w:val="001B2907"/>
    <w:rsid w:val="001B29D8"/>
    <w:rsid w:val="001B3D39"/>
    <w:rsid w:val="001B3D65"/>
    <w:rsid w:val="001B3E61"/>
    <w:rsid w:val="001B4576"/>
    <w:rsid w:val="001B4650"/>
    <w:rsid w:val="001B481B"/>
    <w:rsid w:val="001B4A8A"/>
    <w:rsid w:val="001B54AE"/>
    <w:rsid w:val="001B65BD"/>
    <w:rsid w:val="001B6683"/>
    <w:rsid w:val="001B6829"/>
    <w:rsid w:val="001B6CA5"/>
    <w:rsid w:val="001B6D63"/>
    <w:rsid w:val="001B6E42"/>
    <w:rsid w:val="001B6FC1"/>
    <w:rsid w:val="001B7D4C"/>
    <w:rsid w:val="001C0827"/>
    <w:rsid w:val="001C0B1B"/>
    <w:rsid w:val="001C1467"/>
    <w:rsid w:val="001C15EA"/>
    <w:rsid w:val="001C24DB"/>
    <w:rsid w:val="001C26BC"/>
    <w:rsid w:val="001C351A"/>
    <w:rsid w:val="001C3958"/>
    <w:rsid w:val="001C3CDE"/>
    <w:rsid w:val="001C3E35"/>
    <w:rsid w:val="001C4146"/>
    <w:rsid w:val="001C4274"/>
    <w:rsid w:val="001C519E"/>
    <w:rsid w:val="001C5549"/>
    <w:rsid w:val="001C55AB"/>
    <w:rsid w:val="001C55B6"/>
    <w:rsid w:val="001C576A"/>
    <w:rsid w:val="001C5940"/>
    <w:rsid w:val="001C618E"/>
    <w:rsid w:val="001C63CA"/>
    <w:rsid w:val="001C641A"/>
    <w:rsid w:val="001D02A8"/>
    <w:rsid w:val="001D058E"/>
    <w:rsid w:val="001D10AD"/>
    <w:rsid w:val="001D1182"/>
    <w:rsid w:val="001D2082"/>
    <w:rsid w:val="001D2472"/>
    <w:rsid w:val="001D3939"/>
    <w:rsid w:val="001D48A2"/>
    <w:rsid w:val="001D5005"/>
    <w:rsid w:val="001D5022"/>
    <w:rsid w:val="001D562D"/>
    <w:rsid w:val="001D5D08"/>
    <w:rsid w:val="001D5DFB"/>
    <w:rsid w:val="001D6667"/>
    <w:rsid w:val="001D67B9"/>
    <w:rsid w:val="001D6944"/>
    <w:rsid w:val="001D69A2"/>
    <w:rsid w:val="001D69F8"/>
    <w:rsid w:val="001D6EB4"/>
    <w:rsid w:val="001D7760"/>
    <w:rsid w:val="001D7D36"/>
    <w:rsid w:val="001E029F"/>
    <w:rsid w:val="001E1D52"/>
    <w:rsid w:val="001E20A3"/>
    <w:rsid w:val="001E2137"/>
    <w:rsid w:val="001E220B"/>
    <w:rsid w:val="001E242D"/>
    <w:rsid w:val="001E2CD0"/>
    <w:rsid w:val="001E3415"/>
    <w:rsid w:val="001E38D3"/>
    <w:rsid w:val="001E59FE"/>
    <w:rsid w:val="001E605D"/>
    <w:rsid w:val="001E6286"/>
    <w:rsid w:val="001E6A32"/>
    <w:rsid w:val="001E77AB"/>
    <w:rsid w:val="001F1322"/>
    <w:rsid w:val="001F163C"/>
    <w:rsid w:val="001F1AAF"/>
    <w:rsid w:val="001F2F6F"/>
    <w:rsid w:val="001F2FD2"/>
    <w:rsid w:val="001F3090"/>
    <w:rsid w:val="001F3FB7"/>
    <w:rsid w:val="001F5D92"/>
    <w:rsid w:val="001F6249"/>
    <w:rsid w:val="001F662A"/>
    <w:rsid w:val="001F68B0"/>
    <w:rsid w:val="001F6C14"/>
    <w:rsid w:val="001F72AE"/>
    <w:rsid w:val="002002F8"/>
    <w:rsid w:val="00200EFC"/>
    <w:rsid w:val="0020191C"/>
    <w:rsid w:val="00203CB4"/>
    <w:rsid w:val="002042A5"/>
    <w:rsid w:val="0020440E"/>
    <w:rsid w:val="0020476D"/>
    <w:rsid w:val="00204EB9"/>
    <w:rsid w:val="00205748"/>
    <w:rsid w:val="00206965"/>
    <w:rsid w:val="00206DF0"/>
    <w:rsid w:val="0020703F"/>
    <w:rsid w:val="0020745D"/>
    <w:rsid w:val="00207732"/>
    <w:rsid w:val="002077C8"/>
    <w:rsid w:val="00207A7F"/>
    <w:rsid w:val="002100F2"/>
    <w:rsid w:val="00210349"/>
    <w:rsid w:val="002117B7"/>
    <w:rsid w:val="00211904"/>
    <w:rsid w:val="002119BA"/>
    <w:rsid w:val="00211C0D"/>
    <w:rsid w:val="002126BE"/>
    <w:rsid w:val="00212EA6"/>
    <w:rsid w:val="00212F73"/>
    <w:rsid w:val="002133B8"/>
    <w:rsid w:val="00213F66"/>
    <w:rsid w:val="00214596"/>
    <w:rsid w:val="0021472F"/>
    <w:rsid w:val="0021486E"/>
    <w:rsid w:val="00215668"/>
    <w:rsid w:val="00215722"/>
    <w:rsid w:val="002162AF"/>
    <w:rsid w:val="002166F9"/>
    <w:rsid w:val="00216A3D"/>
    <w:rsid w:val="00216BE4"/>
    <w:rsid w:val="0022002A"/>
    <w:rsid w:val="002205B4"/>
    <w:rsid w:val="00220635"/>
    <w:rsid w:val="00220960"/>
    <w:rsid w:val="00220A31"/>
    <w:rsid w:val="002211D4"/>
    <w:rsid w:val="00221401"/>
    <w:rsid w:val="00221560"/>
    <w:rsid w:val="0022193B"/>
    <w:rsid w:val="00221FAC"/>
    <w:rsid w:val="002221E9"/>
    <w:rsid w:val="0022282D"/>
    <w:rsid w:val="002237BA"/>
    <w:rsid w:val="00223DCD"/>
    <w:rsid w:val="00223E7F"/>
    <w:rsid w:val="002242BC"/>
    <w:rsid w:val="002246CB"/>
    <w:rsid w:val="00224895"/>
    <w:rsid w:val="00224A74"/>
    <w:rsid w:val="00224D7F"/>
    <w:rsid w:val="00225275"/>
    <w:rsid w:val="00225544"/>
    <w:rsid w:val="00225941"/>
    <w:rsid w:val="002259DA"/>
    <w:rsid w:val="00225F42"/>
    <w:rsid w:val="0022699A"/>
    <w:rsid w:val="00226C3C"/>
    <w:rsid w:val="00226D8C"/>
    <w:rsid w:val="002278C1"/>
    <w:rsid w:val="00230C44"/>
    <w:rsid w:val="00231111"/>
    <w:rsid w:val="002314A2"/>
    <w:rsid w:val="00231575"/>
    <w:rsid w:val="00231639"/>
    <w:rsid w:val="002318AD"/>
    <w:rsid w:val="00231FE4"/>
    <w:rsid w:val="0023242F"/>
    <w:rsid w:val="0023256C"/>
    <w:rsid w:val="00233320"/>
    <w:rsid w:val="002335C1"/>
    <w:rsid w:val="00233AAD"/>
    <w:rsid w:val="00233DF5"/>
    <w:rsid w:val="00234CAA"/>
    <w:rsid w:val="00235485"/>
    <w:rsid w:val="00235642"/>
    <w:rsid w:val="00235904"/>
    <w:rsid w:val="00235B26"/>
    <w:rsid w:val="00235E55"/>
    <w:rsid w:val="00236256"/>
    <w:rsid w:val="0023640C"/>
    <w:rsid w:val="00236732"/>
    <w:rsid w:val="00236B4D"/>
    <w:rsid w:val="00236C0A"/>
    <w:rsid w:val="00237B66"/>
    <w:rsid w:val="002401D5"/>
    <w:rsid w:val="0024062A"/>
    <w:rsid w:val="00240A67"/>
    <w:rsid w:val="00241690"/>
    <w:rsid w:val="002418CC"/>
    <w:rsid w:val="002419BB"/>
    <w:rsid w:val="00241CC9"/>
    <w:rsid w:val="00242308"/>
    <w:rsid w:val="00242A03"/>
    <w:rsid w:val="00242E79"/>
    <w:rsid w:val="00243D0F"/>
    <w:rsid w:val="00244876"/>
    <w:rsid w:val="002454DF"/>
    <w:rsid w:val="00245B06"/>
    <w:rsid w:val="00246E1C"/>
    <w:rsid w:val="002470C2"/>
    <w:rsid w:val="00247260"/>
    <w:rsid w:val="0024749E"/>
    <w:rsid w:val="002476F7"/>
    <w:rsid w:val="00247E67"/>
    <w:rsid w:val="00247FF5"/>
    <w:rsid w:val="0025038C"/>
    <w:rsid w:val="00250C12"/>
    <w:rsid w:val="00252768"/>
    <w:rsid w:val="00252B3E"/>
    <w:rsid w:val="00252DB0"/>
    <w:rsid w:val="002530A4"/>
    <w:rsid w:val="0025315E"/>
    <w:rsid w:val="0025324D"/>
    <w:rsid w:val="002536AB"/>
    <w:rsid w:val="00253BBF"/>
    <w:rsid w:val="00253F0C"/>
    <w:rsid w:val="00254103"/>
    <w:rsid w:val="002548E6"/>
    <w:rsid w:val="00255CC8"/>
    <w:rsid w:val="0025611D"/>
    <w:rsid w:val="00256A3E"/>
    <w:rsid w:val="00256B54"/>
    <w:rsid w:val="00257118"/>
    <w:rsid w:val="002572A7"/>
    <w:rsid w:val="00257324"/>
    <w:rsid w:val="00257D98"/>
    <w:rsid w:val="0026013C"/>
    <w:rsid w:val="0026104F"/>
    <w:rsid w:val="002613B6"/>
    <w:rsid w:val="002615AD"/>
    <w:rsid w:val="002615B1"/>
    <w:rsid w:val="00261A10"/>
    <w:rsid w:val="00261D74"/>
    <w:rsid w:val="00262377"/>
    <w:rsid w:val="00262408"/>
    <w:rsid w:val="00262441"/>
    <w:rsid w:val="00262B45"/>
    <w:rsid w:val="00262E43"/>
    <w:rsid w:val="00263193"/>
    <w:rsid w:val="0026529E"/>
    <w:rsid w:val="00265A86"/>
    <w:rsid w:val="00265BAB"/>
    <w:rsid w:val="00265EA0"/>
    <w:rsid w:val="002661DB"/>
    <w:rsid w:val="002662DB"/>
    <w:rsid w:val="00267EE8"/>
    <w:rsid w:val="00270ACE"/>
    <w:rsid w:val="00270BDF"/>
    <w:rsid w:val="0027139A"/>
    <w:rsid w:val="002715B2"/>
    <w:rsid w:val="002718A4"/>
    <w:rsid w:val="002728EE"/>
    <w:rsid w:val="00272A07"/>
    <w:rsid w:val="00272E42"/>
    <w:rsid w:val="00272FF9"/>
    <w:rsid w:val="0027387F"/>
    <w:rsid w:val="00273DBB"/>
    <w:rsid w:val="00274BEC"/>
    <w:rsid w:val="00276191"/>
    <w:rsid w:val="00276257"/>
    <w:rsid w:val="00276B34"/>
    <w:rsid w:val="00276FDA"/>
    <w:rsid w:val="00277A0F"/>
    <w:rsid w:val="002806AC"/>
    <w:rsid w:val="00280754"/>
    <w:rsid w:val="00280AB8"/>
    <w:rsid w:val="002815B8"/>
    <w:rsid w:val="002817B0"/>
    <w:rsid w:val="00281839"/>
    <w:rsid w:val="00282A43"/>
    <w:rsid w:val="00282AD3"/>
    <w:rsid w:val="0028300B"/>
    <w:rsid w:val="0028303A"/>
    <w:rsid w:val="00283048"/>
    <w:rsid w:val="00283776"/>
    <w:rsid w:val="00283A66"/>
    <w:rsid w:val="00283A90"/>
    <w:rsid w:val="00283E0B"/>
    <w:rsid w:val="002845E8"/>
    <w:rsid w:val="00286A3C"/>
    <w:rsid w:val="00286A97"/>
    <w:rsid w:val="002870E2"/>
    <w:rsid w:val="0028743E"/>
    <w:rsid w:val="00287A62"/>
    <w:rsid w:val="00287AA8"/>
    <w:rsid w:val="00287AD9"/>
    <w:rsid w:val="00287D88"/>
    <w:rsid w:val="002902F3"/>
    <w:rsid w:val="00290418"/>
    <w:rsid w:val="002917DC"/>
    <w:rsid w:val="00291C50"/>
    <w:rsid w:val="00291DCA"/>
    <w:rsid w:val="00292DF0"/>
    <w:rsid w:val="002942B2"/>
    <w:rsid w:val="0029473E"/>
    <w:rsid w:val="0029743F"/>
    <w:rsid w:val="002A07E5"/>
    <w:rsid w:val="002A0ADC"/>
    <w:rsid w:val="002A1843"/>
    <w:rsid w:val="002A1BED"/>
    <w:rsid w:val="002A22B0"/>
    <w:rsid w:val="002A2395"/>
    <w:rsid w:val="002A23CB"/>
    <w:rsid w:val="002A30B4"/>
    <w:rsid w:val="002A311F"/>
    <w:rsid w:val="002A3395"/>
    <w:rsid w:val="002A3660"/>
    <w:rsid w:val="002A3884"/>
    <w:rsid w:val="002A3DE3"/>
    <w:rsid w:val="002A499E"/>
    <w:rsid w:val="002A5C95"/>
    <w:rsid w:val="002A60E1"/>
    <w:rsid w:val="002A694A"/>
    <w:rsid w:val="002A6D42"/>
    <w:rsid w:val="002B0034"/>
    <w:rsid w:val="002B0C56"/>
    <w:rsid w:val="002B0C87"/>
    <w:rsid w:val="002B0EAE"/>
    <w:rsid w:val="002B1D45"/>
    <w:rsid w:val="002B1F0C"/>
    <w:rsid w:val="002B25A0"/>
    <w:rsid w:val="002B27E3"/>
    <w:rsid w:val="002B2F58"/>
    <w:rsid w:val="002B2F59"/>
    <w:rsid w:val="002B316A"/>
    <w:rsid w:val="002B33D8"/>
    <w:rsid w:val="002B3DDE"/>
    <w:rsid w:val="002B40FB"/>
    <w:rsid w:val="002B4C6C"/>
    <w:rsid w:val="002B5946"/>
    <w:rsid w:val="002B627A"/>
    <w:rsid w:val="002B6725"/>
    <w:rsid w:val="002C0EB3"/>
    <w:rsid w:val="002C119E"/>
    <w:rsid w:val="002C14C9"/>
    <w:rsid w:val="002C1E11"/>
    <w:rsid w:val="002C29DB"/>
    <w:rsid w:val="002C2A6B"/>
    <w:rsid w:val="002C371C"/>
    <w:rsid w:val="002C4309"/>
    <w:rsid w:val="002C462F"/>
    <w:rsid w:val="002C46F8"/>
    <w:rsid w:val="002C4AE4"/>
    <w:rsid w:val="002C566A"/>
    <w:rsid w:val="002C584A"/>
    <w:rsid w:val="002C63D9"/>
    <w:rsid w:val="002C67A0"/>
    <w:rsid w:val="002C67D8"/>
    <w:rsid w:val="002C6C88"/>
    <w:rsid w:val="002D0885"/>
    <w:rsid w:val="002D17BA"/>
    <w:rsid w:val="002D1E09"/>
    <w:rsid w:val="002D1ED4"/>
    <w:rsid w:val="002D20B4"/>
    <w:rsid w:val="002D36E4"/>
    <w:rsid w:val="002D3976"/>
    <w:rsid w:val="002D4BFC"/>
    <w:rsid w:val="002D4ECD"/>
    <w:rsid w:val="002D529E"/>
    <w:rsid w:val="002D57F6"/>
    <w:rsid w:val="002D590F"/>
    <w:rsid w:val="002D5F57"/>
    <w:rsid w:val="002D6377"/>
    <w:rsid w:val="002D6816"/>
    <w:rsid w:val="002D7711"/>
    <w:rsid w:val="002D7C38"/>
    <w:rsid w:val="002D7CC6"/>
    <w:rsid w:val="002D7FF8"/>
    <w:rsid w:val="002E0197"/>
    <w:rsid w:val="002E082A"/>
    <w:rsid w:val="002E0BB4"/>
    <w:rsid w:val="002E0C3F"/>
    <w:rsid w:val="002E21B6"/>
    <w:rsid w:val="002E25D8"/>
    <w:rsid w:val="002E25F7"/>
    <w:rsid w:val="002E2B0B"/>
    <w:rsid w:val="002E34B1"/>
    <w:rsid w:val="002E5556"/>
    <w:rsid w:val="002E565C"/>
    <w:rsid w:val="002E566D"/>
    <w:rsid w:val="002E5825"/>
    <w:rsid w:val="002E5F1F"/>
    <w:rsid w:val="002E63FC"/>
    <w:rsid w:val="002E6BB3"/>
    <w:rsid w:val="002E7276"/>
    <w:rsid w:val="002E754D"/>
    <w:rsid w:val="002E755F"/>
    <w:rsid w:val="002E7A9D"/>
    <w:rsid w:val="002F024F"/>
    <w:rsid w:val="002F0441"/>
    <w:rsid w:val="002F0976"/>
    <w:rsid w:val="002F0C54"/>
    <w:rsid w:val="002F199F"/>
    <w:rsid w:val="002F2CCA"/>
    <w:rsid w:val="002F43D1"/>
    <w:rsid w:val="002F481A"/>
    <w:rsid w:val="002F52FF"/>
    <w:rsid w:val="002F53FC"/>
    <w:rsid w:val="002F5493"/>
    <w:rsid w:val="002F5AAD"/>
    <w:rsid w:val="002F6CFF"/>
    <w:rsid w:val="002F6E99"/>
    <w:rsid w:val="002F78FE"/>
    <w:rsid w:val="002F7B31"/>
    <w:rsid w:val="00301125"/>
    <w:rsid w:val="00301EB0"/>
    <w:rsid w:val="00302306"/>
    <w:rsid w:val="00302446"/>
    <w:rsid w:val="003027CB"/>
    <w:rsid w:val="00302F29"/>
    <w:rsid w:val="00303912"/>
    <w:rsid w:val="00303CC8"/>
    <w:rsid w:val="00303DE4"/>
    <w:rsid w:val="00304F8F"/>
    <w:rsid w:val="00305A68"/>
    <w:rsid w:val="00305E57"/>
    <w:rsid w:val="00306370"/>
    <w:rsid w:val="00306DD9"/>
    <w:rsid w:val="003079C0"/>
    <w:rsid w:val="00310296"/>
    <w:rsid w:val="00310808"/>
    <w:rsid w:val="00310A60"/>
    <w:rsid w:val="00310D81"/>
    <w:rsid w:val="00311773"/>
    <w:rsid w:val="00312069"/>
    <w:rsid w:val="0031213A"/>
    <w:rsid w:val="003138DD"/>
    <w:rsid w:val="00313987"/>
    <w:rsid w:val="003156B1"/>
    <w:rsid w:val="00316B0A"/>
    <w:rsid w:val="00317B51"/>
    <w:rsid w:val="00320FC5"/>
    <w:rsid w:val="00321316"/>
    <w:rsid w:val="003216F6"/>
    <w:rsid w:val="003223B8"/>
    <w:rsid w:val="0032260E"/>
    <w:rsid w:val="00322B19"/>
    <w:rsid w:val="00322C4B"/>
    <w:rsid w:val="0032353E"/>
    <w:rsid w:val="003235BC"/>
    <w:rsid w:val="00323D6B"/>
    <w:rsid w:val="00324404"/>
    <w:rsid w:val="00324BCA"/>
    <w:rsid w:val="00324BE7"/>
    <w:rsid w:val="00326433"/>
    <w:rsid w:val="00326C94"/>
    <w:rsid w:val="00326FB5"/>
    <w:rsid w:val="003279BE"/>
    <w:rsid w:val="0033143D"/>
    <w:rsid w:val="00331DBC"/>
    <w:rsid w:val="00332063"/>
    <w:rsid w:val="00332889"/>
    <w:rsid w:val="00332B81"/>
    <w:rsid w:val="00333ADF"/>
    <w:rsid w:val="00333D92"/>
    <w:rsid w:val="00334294"/>
    <w:rsid w:val="00334A35"/>
    <w:rsid w:val="00334AD1"/>
    <w:rsid w:val="003352BD"/>
    <w:rsid w:val="003356C1"/>
    <w:rsid w:val="00335942"/>
    <w:rsid w:val="00336048"/>
    <w:rsid w:val="003364D3"/>
    <w:rsid w:val="0033693C"/>
    <w:rsid w:val="00336B3B"/>
    <w:rsid w:val="0033751F"/>
    <w:rsid w:val="00337A3A"/>
    <w:rsid w:val="00337B95"/>
    <w:rsid w:val="00337C45"/>
    <w:rsid w:val="0034066B"/>
    <w:rsid w:val="003413F2"/>
    <w:rsid w:val="003415D7"/>
    <w:rsid w:val="003417E9"/>
    <w:rsid w:val="00342740"/>
    <w:rsid w:val="003433F4"/>
    <w:rsid w:val="00343A8C"/>
    <w:rsid w:val="003441C4"/>
    <w:rsid w:val="00344484"/>
    <w:rsid w:val="0034465D"/>
    <w:rsid w:val="00344847"/>
    <w:rsid w:val="003450C6"/>
    <w:rsid w:val="003453BF"/>
    <w:rsid w:val="003461DB"/>
    <w:rsid w:val="00346BF9"/>
    <w:rsid w:val="003471AC"/>
    <w:rsid w:val="0034746E"/>
    <w:rsid w:val="00347F5B"/>
    <w:rsid w:val="00351234"/>
    <w:rsid w:val="00351BF5"/>
    <w:rsid w:val="00351ECC"/>
    <w:rsid w:val="00352290"/>
    <w:rsid w:val="003526A1"/>
    <w:rsid w:val="00352F16"/>
    <w:rsid w:val="0035433E"/>
    <w:rsid w:val="00354C27"/>
    <w:rsid w:val="0035583C"/>
    <w:rsid w:val="00356195"/>
    <w:rsid w:val="003566A4"/>
    <w:rsid w:val="00356950"/>
    <w:rsid w:val="00357326"/>
    <w:rsid w:val="0035754A"/>
    <w:rsid w:val="003576C3"/>
    <w:rsid w:val="00360757"/>
    <w:rsid w:val="003607F2"/>
    <w:rsid w:val="00361A84"/>
    <w:rsid w:val="00361B63"/>
    <w:rsid w:val="0036209E"/>
    <w:rsid w:val="003622D1"/>
    <w:rsid w:val="003622F5"/>
    <w:rsid w:val="00362483"/>
    <w:rsid w:val="00362B2F"/>
    <w:rsid w:val="00363091"/>
    <w:rsid w:val="00364482"/>
    <w:rsid w:val="00364923"/>
    <w:rsid w:val="003656BE"/>
    <w:rsid w:val="00366593"/>
    <w:rsid w:val="003666F5"/>
    <w:rsid w:val="003668F7"/>
    <w:rsid w:val="00366E0E"/>
    <w:rsid w:val="0036721F"/>
    <w:rsid w:val="00367420"/>
    <w:rsid w:val="00367790"/>
    <w:rsid w:val="00370AB3"/>
    <w:rsid w:val="0037142E"/>
    <w:rsid w:val="0037146B"/>
    <w:rsid w:val="0037331E"/>
    <w:rsid w:val="0037338C"/>
    <w:rsid w:val="003735B5"/>
    <w:rsid w:val="00374AF7"/>
    <w:rsid w:val="0037649F"/>
    <w:rsid w:val="00376ECD"/>
    <w:rsid w:val="0037704B"/>
    <w:rsid w:val="0038001E"/>
    <w:rsid w:val="00380D67"/>
    <w:rsid w:val="00381DE8"/>
    <w:rsid w:val="003823F0"/>
    <w:rsid w:val="003825C9"/>
    <w:rsid w:val="003828AD"/>
    <w:rsid w:val="00382F7A"/>
    <w:rsid w:val="00383861"/>
    <w:rsid w:val="00383A2F"/>
    <w:rsid w:val="00383B66"/>
    <w:rsid w:val="003847BC"/>
    <w:rsid w:val="00384C5C"/>
    <w:rsid w:val="0038519C"/>
    <w:rsid w:val="0038552D"/>
    <w:rsid w:val="00385876"/>
    <w:rsid w:val="00385AFD"/>
    <w:rsid w:val="00386A24"/>
    <w:rsid w:val="00387EC6"/>
    <w:rsid w:val="00387FC9"/>
    <w:rsid w:val="00390030"/>
    <w:rsid w:val="003905B1"/>
    <w:rsid w:val="003905E9"/>
    <w:rsid w:val="003907A7"/>
    <w:rsid w:val="00390EF7"/>
    <w:rsid w:val="0039123D"/>
    <w:rsid w:val="00391E43"/>
    <w:rsid w:val="00392194"/>
    <w:rsid w:val="003922BC"/>
    <w:rsid w:val="003935F1"/>
    <w:rsid w:val="0039362A"/>
    <w:rsid w:val="00393FF4"/>
    <w:rsid w:val="00394029"/>
    <w:rsid w:val="00394C4E"/>
    <w:rsid w:val="003950A7"/>
    <w:rsid w:val="003954BF"/>
    <w:rsid w:val="003962A0"/>
    <w:rsid w:val="00396ACA"/>
    <w:rsid w:val="003972BC"/>
    <w:rsid w:val="0039772B"/>
    <w:rsid w:val="003A012B"/>
    <w:rsid w:val="003A061C"/>
    <w:rsid w:val="003A11DD"/>
    <w:rsid w:val="003A1823"/>
    <w:rsid w:val="003A1F1E"/>
    <w:rsid w:val="003A2438"/>
    <w:rsid w:val="003A255D"/>
    <w:rsid w:val="003A2A7A"/>
    <w:rsid w:val="003A2BDE"/>
    <w:rsid w:val="003A4233"/>
    <w:rsid w:val="003A4518"/>
    <w:rsid w:val="003A4591"/>
    <w:rsid w:val="003A4A4A"/>
    <w:rsid w:val="003A55C4"/>
    <w:rsid w:val="003A5791"/>
    <w:rsid w:val="003A587C"/>
    <w:rsid w:val="003A5DC9"/>
    <w:rsid w:val="003A6550"/>
    <w:rsid w:val="003A67AF"/>
    <w:rsid w:val="003A697C"/>
    <w:rsid w:val="003A71F1"/>
    <w:rsid w:val="003B07FE"/>
    <w:rsid w:val="003B1039"/>
    <w:rsid w:val="003B11CC"/>
    <w:rsid w:val="003B11FE"/>
    <w:rsid w:val="003B176A"/>
    <w:rsid w:val="003B1AB3"/>
    <w:rsid w:val="003B1E34"/>
    <w:rsid w:val="003B3CC4"/>
    <w:rsid w:val="003B4239"/>
    <w:rsid w:val="003B4255"/>
    <w:rsid w:val="003B4258"/>
    <w:rsid w:val="003B4765"/>
    <w:rsid w:val="003B4BE0"/>
    <w:rsid w:val="003B4D1D"/>
    <w:rsid w:val="003B4E2F"/>
    <w:rsid w:val="003B505F"/>
    <w:rsid w:val="003B5061"/>
    <w:rsid w:val="003B5075"/>
    <w:rsid w:val="003B50C7"/>
    <w:rsid w:val="003B557B"/>
    <w:rsid w:val="003B5B46"/>
    <w:rsid w:val="003B5C3E"/>
    <w:rsid w:val="003B5CF3"/>
    <w:rsid w:val="003B66D5"/>
    <w:rsid w:val="003B69F8"/>
    <w:rsid w:val="003B74C9"/>
    <w:rsid w:val="003B7BFB"/>
    <w:rsid w:val="003B7CE9"/>
    <w:rsid w:val="003B7FA3"/>
    <w:rsid w:val="003C0201"/>
    <w:rsid w:val="003C0A16"/>
    <w:rsid w:val="003C1A08"/>
    <w:rsid w:val="003C1B4F"/>
    <w:rsid w:val="003C1BFB"/>
    <w:rsid w:val="003C1E95"/>
    <w:rsid w:val="003C3089"/>
    <w:rsid w:val="003C35E4"/>
    <w:rsid w:val="003C37C3"/>
    <w:rsid w:val="003C3C66"/>
    <w:rsid w:val="003C40CE"/>
    <w:rsid w:val="003C47E7"/>
    <w:rsid w:val="003C4D31"/>
    <w:rsid w:val="003C5804"/>
    <w:rsid w:val="003C5A82"/>
    <w:rsid w:val="003C5DA9"/>
    <w:rsid w:val="003C5F01"/>
    <w:rsid w:val="003C60D0"/>
    <w:rsid w:val="003C7296"/>
    <w:rsid w:val="003C79E4"/>
    <w:rsid w:val="003D0808"/>
    <w:rsid w:val="003D0A37"/>
    <w:rsid w:val="003D1F0C"/>
    <w:rsid w:val="003D2C33"/>
    <w:rsid w:val="003D3AD4"/>
    <w:rsid w:val="003D3F8A"/>
    <w:rsid w:val="003D4FD4"/>
    <w:rsid w:val="003D55EE"/>
    <w:rsid w:val="003D5E17"/>
    <w:rsid w:val="003D636F"/>
    <w:rsid w:val="003D6C1F"/>
    <w:rsid w:val="003D7178"/>
    <w:rsid w:val="003D7284"/>
    <w:rsid w:val="003D766C"/>
    <w:rsid w:val="003D7A73"/>
    <w:rsid w:val="003D7B25"/>
    <w:rsid w:val="003E01FF"/>
    <w:rsid w:val="003E0251"/>
    <w:rsid w:val="003E039F"/>
    <w:rsid w:val="003E043A"/>
    <w:rsid w:val="003E0B1C"/>
    <w:rsid w:val="003E0E71"/>
    <w:rsid w:val="003E0EC6"/>
    <w:rsid w:val="003E2302"/>
    <w:rsid w:val="003E2623"/>
    <w:rsid w:val="003E26C1"/>
    <w:rsid w:val="003E26C6"/>
    <w:rsid w:val="003E2B0B"/>
    <w:rsid w:val="003E2B55"/>
    <w:rsid w:val="003E2E82"/>
    <w:rsid w:val="003E3092"/>
    <w:rsid w:val="003E3BFD"/>
    <w:rsid w:val="003E3ECB"/>
    <w:rsid w:val="003E61DC"/>
    <w:rsid w:val="003E778C"/>
    <w:rsid w:val="003E7938"/>
    <w:rsid w:val="003E7C23"/>
    <w:rsid w:val="003F13E6"/>
    <w:rsid w:val="003F14A6"/>
    <w:rsid w:val="003F1D42"/>
    <w:rsid w:val="003F1EB6"/>
    <w:rsid w:val="003F3016"/>
    <w:rsid w:val="003F3DA6"/>
    <w:rsid w:val="003F3DFC"/>
    <w:rsid w:val="003F3E54"/>
    <w:rsid w:val="003F434A"/>
    <w:rsid w:val="003F4350"/>
    <w:rsid w:val="003F4BA0"/>
    <w:rsid w:val="003F50B7"/>
    <w:rsid w:val="003F5767"/>
    <w:rsid w:val="003F6404"/>
    <w:rsid w:val="003F7641"/>
    <w:rsid w:val="003F79EF"/>
    <w:rsid w:val="0040030C"/>
    <w:rsid w:val="00400E49"/>
    <w:rsid w:val="00400EE6"/>
    <w:rsid w:val="0040122A"/>
    <w:rsid w:val="00401478"/>
    <w:rsid w:val="00401503"/>
    <w:rsid w:val="00401923"/>
    <w:rsid w:val="00401AB5"/>
    <w:rsid w:val="004020B2"/>
    <w:rsid w:val="00402E3B"/>
    <w:rsid w:val="004031EC"/>
    <w:rsid w:val="004034F9"/>
    <w:rsid w:val="00403FA6"/>
    <w:rsid w:val="00404710"/>
    <w:rsid w:val="00404C56"/>
    <w:rsid w:val="004056EB"/>
    <w:rsid w:val="00406593"/>
    <w:rsid w:val="00406B1D"/>
    <w:rsid w:val="00407439"/>
    <w:rsid w:val="004074DB"/>
    <w:rsid w:val="004075A7"/>
    <w:rsid w:val="00407BF3"/>
    <w:rsid w:val="00407CA3"/>
    <w:rsid w:val="00407F00"/>
    <w:rsid w:val="004101B2"/>
    <w:rsid w:val="0041099D"/>
    <w:rsid w:val="00410C90"/>
    <w:rsid w:val="00410D10"/>
    <w:rsid w:val="00410F0C"/>
    <w:rsid w:val="00411AFA"/>
    <w:rsid w:val="00411C01"/>
    <w:rsid w:val="004121E9"/>
    <w:rsid w:val="0041330E"/>
    <w:rsid w:val="00413510"/>
    <w:rsid w:val="0041365D"/>
    <w:rsid w:val="004138D6"/>
    <w:rsid w:val="00413CF6"/>
    <w:rsid w:val="00414275"/>
    <w:rsid w:val="00414C87"/>
    <w:rsid w:val="00414E61"/>
    <w:rsid w:val="004158CB"/>
    <w:rsid w:val="00415BBC"/>
    <w:rsid w:val="00415C74"/>
    <w:rsid w:val="00416964"/>
    <w:rsid w:val="00416CC4"/>
    <w:rsid w:val="00416D54"/>
    <w:rsid w:val="00416E6B"/>
    <w:rsid w:val="004172AC"/>
    <w:rsid w:val="00417A81"/>
    <w:rsid w:val="00417AEB"/>
    <w:rsid w:val="00417B2B"/>
    <w:rsid w:val="004207AE"/>
    <w:rsid w:val="0042131F"/>
    <w:rsid w:val="0042498D"/>
    <w:rsid w:val="00424BE9"/>
    <w:rsid w:val="00424CA2"/>
    <w:rsid w:val="00425B88"/>
    <w:rsid w:val="00425C04"/>
    <w:rsid w:val="00426007"/>
    <w:rsid w:val="004275C8"/>
    <w:rsid w:val="004300BF"/>
    <w:rsid w:val="004302C4"/>
    <w:rsid w:val="004308D5"/>
    <w:rsid w:val="00431A6B"/>
    <w:rsid w:val="00431C1E"/>
    <w:rsid w:val="00432F38"/>
    <w:rsid w:val="0043319B"/>
    <w:rsid w:val="0043392E"/>
    <w:rsid w:val="00433EEE"/>
    <w:rsid w:val="00434B96"/>
    <w:rsid w:val="004355E4"/>
    <w:rsid w:val="004359BA"/>
    <w:rsid w:val="004361D8"/>
    <w:rsid w:val="004362CB"/>
    <w:rsid w:val="00436416"/>
    <w:rsid w:val="004367A2"/>
    <w:rsid w:val="00436920"/>
    <w:rsid w:val="00437B9A"/>
    <w:rsid w:val="00437DD9"/>
    <w:rsid w:val="004403F2"/>
    <w:rsid w:val="00440ACB"/>
    <w:rsid w:val="00441017"/>
    <w:rsid w:val="004425E9"/>
    <w:rsid w:val="00442B7A"/>
    <w:rsid w:val="00442F1A"/>
    <w:rsid w:val="00442FD7"/>
    <w:rsid w:val="00443492"/>
    <w:rsid w:val="00443AB7"/>
    <w:rsid w:val="00443C28"/>
    <w:rsid w:val="00443E49"/>
    <w:rsid w:val="004443C7"/>
    <w:rsid w:val="00444415"/>
    <w:rsid w:val="004445F9"/>
    <w:rsid w:val="00444AC9"/>
    <w:rsid w:val="0044522E"/>
    <w:rsid w:val="0044525E"/>
    <w:rsid w:val="00445624"/>
    <w:rsid w:val="0044575D"/>
    <w:rsid w:val="00445DA3"/>
    <w:rsid w:val="0044636A"/>
    <w:rsid w:val="00446B3F"/>
    <w:rsid w:val="004501B4"/>
    <w:rsid w:val="004508AF"/>
    <w:rsid w:val="00450C20"/>
    <w:rsid w:val="00451153"/>
    <w:rsid w:val="00451A3A"/>
    <w:rsid w:val="00452A9D"/>
    <w:rsid w:val="00452B3A"/>
    <w:rsid w:val="00452C4C"/>
    <w:rsid w:val="00453A00"/>
    <w:rsid w:val="004544A3"/>
    <w:rsid w:val="00454DBE"/>
    <w:rsid w:val="0045514B"/>
    <w:rsid w:val="0045659D"/>
    <w:rsid w:val="004569C1"/>
    <w:rsid w:val="00456AA7"/>
    <w:rsid w:val="0045785C"/>
    <w:rsid w:val="00457CD6"/>
    <w:rsid w:val="00460009"/>
    <w:rsid w:val="00460358"/>
    <w:rsid w:val="00460910"/>
    <w:rsid w:val="00460A19"/>
    <w:rsid w:val="00460CA2"/>
    <w:rsid w:val="00461A6F"/>
    <w:rsid w:val="00463207"/>
    <w:rsid w:val="00463714"/>
    <w:rsid w:val="00463A35"/>
    <w:rsid w:val="00463DC9"/>
    <w:rsid w:val="00464459"/>
    <w:rsid w:val="004649D3"/>
    <w:rsid w:val="00464AD6"/>
    <w:rsid w:val="00464B3F"/>
    <w:rsid w:val="004651B7"/>
    <w:rsid w:val="00465D62"/>
    <w:rsid w:val="00465FD5"/>
    <w:rsid w:val="00466DFA"/>
    <w:rsid w:val="004679B4"/>
    <w:rsid w:val="00467C9E"/>
    <w:rsid w:val="004707F0"/>
    <w:rsid w:val="00470E8E"/>
    <w:rsid w:val="00470EE5"/>
    <w:rsid w:val="00472367"/>
    <w:rsid w:val="0047280A"/>
    <w:rsid w:val="00472D10"/>
    <w:rsid w:val="00473135"/>
    <w:rsid w:val="00473810"/>
    <w:rsid w:val="00473DB0"/>
    <w:rsid w:val="00473DF0"/>
    <w:rsid w:val="0047478F"/>
    <w:rsid w:val="0047585D"/>
    <w:rsid w:val="00475A4B"/>
    <w:rsid w:val="00475CE8"/>
    <w:rsid w:val="00475D55"/>
    <w:rsid w:val="00476A53"/>
    <w:rsid w:val="0047766C"/>
    <w:rsid w:val="004777AF"/>
    <w:rsid w:val="004801F1"/>
    <w:rsid w:val="0048041A"/>
    <w:rsid w:val="004805DE"/>
    <w:rsid w:val="00480A78"/>
    <w:rsid w:val="0048173C"/>
    <w:rsid w:val="00481C7E"/>
    <w:rsid w:val="00482011"/>
    <w:rsid w:val="0048223C"/>
    <w:rsid w:val="00482258"/>
    <w:rsid w:val="00482379"/>
    <w:rsid w:val="00482460"/>
    <w:rsid w:val="00482569"/>
    <w:rsid w:val="00482672"/>
    <w:rsid w:val="00482796"/>
    <w:rsid w:val="00483399"/>
    <w:rsid w:val="004838FE"/>
    <w:rsid w:val="004845C8"/>
    <w:rsid w:val="00484BD0"/>
    <w:rsid w:val="0048516A"/>
    <w:rsid w:val="00485619"/>
    <w:rsid w:val="00485796"/>
    <w:rsid w:val="00485E96"/>
    <w:rsid w:val="00486328"/>
    <w:rsid w:val="00486ACE"/>
    <w:rsid w:val="00490F0D"/>
    <w:rsid w:val="00490F9E"/>
    <w:rsid w:val="004917A2"/>
    <w:rsid w:val="00492285"/>
    <w:rsid w:val="004936D0"/>
    <w:rsid w:val="00493A91"/>
    <w:rsid w:val="00493D08"/>
    <w:rsid w:val="00493D8F"/>
    <w:rsid w:val="00494C0E"/>
    <w:rsid w:val="00495164"/>
    <w:rsid w:val="00495369"/>
    <w:rsid w:val="004957C0"/>
    <w:rsid w:val="004958C4"/>
    <w:rsid w:val="00495D63"/>
    <w:rsid w:val="00495FBC"/>
    <w:rsid w:val="00496379"/>
    <w:rsid w:val="00496E3F"/>
    <w:rsid w:val="00496F01"/>
    <w:rsid w:val="00497406"/>
    <w:rsid w:val="004974B4"/>
    <w:rsid w:val="00497C8E"/>
    <w:rsid w:val="004A1368"/>
    <w:rsid w:val="004A1440"/>
    <w:rsid w:val="004A1F37"/>
    <w:rsid w:val="004A1FEC"/>
    <w:rsid w:val="004A24CB"/>
    <w:rsid w:val="004A259B"/>
    <w:rsid w:val="004A2BA3"/>
    <w:rsid w:val="004A2BD2"/>
    <w:rsid w:val="004A2E08"/>
    <w:rsid w:val="004A34DC"/>
    <w:rsid w:val="004A3CFB"/>
    <w:rsid w:val="004A3DE0"/>
    <w:rsid w:val="004A3EA7"/>
    <w:rsid w:val="004A437B"/>
    <w:rsid w:val="004A46D0"/>
    <w:rsid w:val="004A624B"/>
    <w:rsid w:val="004A6E28"/>
    <w:rsid w:val="004A7A9B"/>
    <w:rsid w:val="004B06AE"/>
    <w:rsid w:val="004B0B39"/>
    <w:rsid w:val="004B0D4C"/>
    <w:rsid w:val="004B0D6A"/>
    <w:rsid w:val="004B1418"/>
    <w:rsid w:val="004B1C16"/>
    <w:rsid w:val="004B35A6"/>
    <w:rsid w:val="004B3634"/>
    <w:rsid w:val="004B3948"/>
    <w:rsid w:val="004B3BAE"/>
    <w:rsid w:val="004B4084"/>
    <w:rsid w:val="004B41DB"/>
    <w:rsid w:val="004B4612"/>
    <w:rsid w:val="004B4949"/>
    <w:rsid w:val="004B4DC5"/>
    <w:rsid w:val="004B5020"/>
    <w:rsid w:val="004B50B8"/>
    <w:rsid w:val="004B5B82"/>
    <w:rsid w:val="004B5C57"/>
    <w:rsid w:val="004B5FDB"/>
    <w:rsid w:val="004B63EE"/>
    <w:rsid w:val="004B65E0"/>
    <w:rsid w:val="004B76E0"/>
    <w:rsid w:val="004B7B21"/>
    <w:rsid w:val="004C0D75"/>
    <w:rsid w:val="004C0EBC"/>
    <w:rsid w:val="004C1472"/>
    <w:rsid w:val="004C1691"/>
    <w:rsid w:val="004C19FC"/>
    <w:rsid w:val="004C1B69"/>
    <w:rsid w:val="004C1C04"/>
    <w:rsid w:val="004C21B7"/>
    <w:rsid w:val="004C23BD"/>
    <w:rsid w:val="004C2D6C"/>
    <w:rsid w:val="004C317A"/>
    <w:rsid w:val="004C3A47"/>
    <w:rsid w:val="004C3D7A"/>
    <w:rsid w:val="004C40E5"/>
    <w:rsid w:val="004C4D81"/>
    <w:rsid w:val="004C5439"/>
    <w:rsid w:val="004C5946"/>
    <w:rsid w:val="004C64A5"/>
    <w:rsid w:val="004C6626"/>
    <w:rsid w:val="004C7798"/>
    <w:rsid w:val="004C7E22"/>
    <w:rsid w:val="004D01F5"/>
    <w:rsid w:val="004D06AF"/>
    <w:rsid w:val="004D0974"/>
    <w:rsid w:val="004D0CFA"/>
    <w:rsid w:val="004D18E0"/>
    <w:rsid w:val="004D1E0A"/>
    <w:rsid w:val="004D213B"/>
    <w:rsid w:val="004D2CFA"/>
    <w:rsid w:val="004D2EBF"/>
    <w:rsid w:val="004D408F"/>
    <w:rsid w:val="004D4322"/>
    <w:rsid w:val="004D4327"/>
    <w:rsid w:val="004D47BD"/>
    <w:rsid w:val="004D4DC2"/>
    <w:rsid w:val="004D4DC5"/>
    <w:rsid w:val="004D4F12"/>
    <w:rsid w:val="004D52D5"/>
    <w:rsid w:val="004D5E06"/>
    <w:rsid w:val="004D6243"/>
    <w:rsid w:val="004D6275"/>
    <w:rsid w:val="004D62F3"/>
    <w:rsid w:val="004D6459"/>
    <w:rsid w:val="004D685F"/>
    <w:rsid w:val="004D6CAC"/>
    <w:rsid w:val="004D7277"/>
    <w:rsid w:val="004D7382"/>
    <w:rsid w:val="004E0005"/>
    <w:rsid w:val="004E0AC1"/>
    <w:rsid w:val="004E1703"/>
    <w:rsid w:val="004E2085"/>
    <w:rsid w:val="004E2577"/>
    <w:rsid w:val="004E28C8"/>
    <w:rsid w:val="004E2BE3"/>
    <w:rsid w:val="004E2EE7"/>
    <w:rsid w:val="004E3A18"/>
    <w:rsid w:val="004E3B3C"/>
    <w:rsid w:val="004E46F2"/>
    <w:rsid w:val="004E4D52"/>
    <w:rsid w:val="004E5015"/>
    <w:rsid w:val="004E56BF"/>
    <w:rsid w:val="004E616A"/>
    <w:rsid w:val="004E656B"/>
    <w:rsid w:val="004E7334"/>
    <w:rsid w:val="004E7534"/>
    <w:rsid w:val="004E7ECD"/>
    <w:rsid w:val="004F02B4"/>
    <w:rsid w:val="004F055F"/>
    <w:rsid w:val="004F0655"/>
    <w:rsid w:val="004F2247"/>
    <w:rsid w:val="004F3198"/>
    <w:rsid w:val="004F38B1"/>
    <w:rsid w:val="004F39BD"/>
    <w:rsid w:val="004F3B99"/>
    <w:rsid w:val="004F406C"/>
    <w:rsid w:val="004F4467"/>
    <w:rsid w:val="004F44E3"/>
    <w:rsid w:val="004F47D4"/>
    <w:rsid w:val="004F4AA6"/>
    <w:rsid w:val="004F4EA9"/>
    <w:rsid w:val="004F4F2D"/>
    <w:rsid w:val="004F50E8"/>
    <w:rsid w:val="004F553E"/>
    <w:rsid w:val="004F5A87"/>
    <w:rsid w:val="004F757C"/>
    <w:rsid w:val="004F7F1E"/>
    <w:rsid w:val="004F7F9D"/>
    <w:rsid w:val="00500F38"/>
    <w:rsid w:val="0050229D"/>
    <w:rsid w:val="005023AC"/>
    <w:rsid w:val="00502524"/>
    <w:rsid w:val="00503523"/>
    <w:rsid w:val="00503731"/>
    <w:rsid w:val="00504406"/>
    <w:rsid w:val="00505421"/>
    <w:rsid w:val="005056B7"/>
    <w:rsid w:val="00505B5A"/>
    <w:rsid w:val="00505D1B"/>
    <w:rsid w:val="00506C1D"/>
    <w:rsid w:val="00506EEA"/>
    <w:rsid w:val="005073AD"/>
    <w:rsid w:val="00507533"/>
    <w:rsid w:val="00507889"/>
    <w:rsid w:val="00507959"/>
    <w:rsid w:val="005079CD"/>
    <w:rsid w:val="005102B3"/>
    <w:rsid w:val="00510CF3"/>
    <w:rsid w:val="005118DA"/>
    <w:rsid w:val="00511A27"/>
    <w:rsid w:val="00511B62"/>
    <w:rsid w:val="00512246"/>
    <w:rsid w:val="00512303"/>
    <w:rsid w:val="005125E5"/>
    <w:rsid w:val="00512C68"/>
    <w:rsid w:val="00513B8B"/>
    <w:rsid w:val="00513BCA"/>
    <w:rsid w:val="00513C14"/>
    <w:rsid w:val="00514228"/>
    <w:rsid w:val="00514582"/>
    <w:rsid w:val="0051482B"/>
    <w:rsid w:val="00514C83"/>
    <w:rsid w:val="00514DA7"/>
    <w:rsid w:val="00514E2F"/>
    <w:rsid w:val="00514F40"/>
    <w:rsid w:val="0051517B"/>
    <w:rsid w:val="0051534A"/>
    <w:rsid w:val="00515C3A"/>
    <w:rsid w:val="00515DB3"/>
    <w:rsid w:val="005168A4"/>
    <w:rsid w:val="00516E15"/>
    <w:rsid w:val="00517659"/>
    <w:rsid w:val="00517684"/>
    <w:rsid w:val="00520840"/>
    <w:rsid w:val="005211FA"/>
    <w:rsid w:val="0052192C"/>
    <w:rsid w:val="0052207A"/>
    <w:rsid w:val="00522347"/>
    <w:rsid w:val="0052345F"/>
    <w:rsid w:val="00523BFF"/>
    <w:rsid w:val="00524725"/>
    <w:rsid w:val="00524876"/>
    <w:rsid w:val="00524A37"/>
    <w:rsid w:val="0052511F"/>
    <w:rsid w:val="00525D04"/>
    <w:rsid w:val="00526179"/>
    <w:rsid w:val="00526216"/>
    <w:rsid w:val="00526265"/>
    <w:rsid w:val="00526782"/>
    <w:rsid w:val="00526F7E"/>
    <w:rsid w:val="005273C8"/>
    <w:rsid w:val="00527770"/>
    <w:rsid w:val="00527F56"/>
    <w:rsid w:val="00530004"/>
    <w:rsid w:val="00530097"/>
    <w:rsid w:val="00530132"/>
    <w:rsid w:val="0053030E"/>
    <w:rsid w:val="005307AD"/>
    <w:rsid w:val="00530AB3"/>
    <w:rsid w:val="00531472"/>
    <w:rsid w:val="00531842"/>
    <w:rsid w:val="00531A41"/>
    <w:rsid w:val="00531C2C"/>
    <w:rsid w:val="00531FE3"/>
    <w:rsid w:val="005323EB"/>
    <w:rsid w:val="005326B1"/>
    <w:rsid w:val="00533669"/>
    <w:rsid w:val="00534444"/>
    <w:rsid w:val="00534B4C"/>
    <w:rsid w:val="0053613C"/>
    <w:rsid w:val="00536BA5"/>
    <w:rsid w:val="005373D9"/>
    <w:rsid w:val="005375F6"/>
    <w:rsid w:val="0053774C"/>
    <w:rsid w:val="00537E9E"/>
    <w:rsid w:val="00541A5F"/>
    <w:rsid w:val="00541DF5"/>
    <w:rsid w:val="005420DE"/>
    <w:rsid w:val="0054219C"/>
    <w:rsid w:val="00542284"/>
    <w:rsid w:val="00542450"/>
    <w:rsid w:val="00542C93"/>
    <w:rsid w:val="00542FBA"/>
    <w:rsid w:val="005432FE"/>
    <w:rsid w:val="005436B9"/>
    <w:rsid w:val="00543CBD"/>
    <w:rsid w:val="005441CB"/>
    <w:rsid w:val="00544600"/>
    <w:rsid w:val="00544DF3"/>
    <w:rsid w:val="00544E6F"/>
    <w:rsid w:val="005453C2"/>
    <w:rsid w:val="005453F2"/>
    <w:rsid w:val="0054578C"/>
    <w:rsid w:val="00545A94"/>
    <w:rsid w:val="00545E00"/>
    <w:rsid w:val="00545FD6"/>
    <w:rsid w:val="00546E9D"/>
    <w:rsid w:val="00547585"/>
    <w:rsid w:val="0054765E"/>
    <w:rsid w:val="005478FF"/>
    <w:rsid w:val="00547A13"/>
    <w:rsid w:val="00550424"/>
    <w:rsid w:val="00550A00"/>
    <w:rsid w:val="005516E8"/>
    <w:rsid w:val="00553E34"/>
    <w:rsid w:val="0055459B"/>
    <w:rsid w:val="00554C75"/>
    <w:rsid w:val="00554CF3"/>
    <w:rsid w:val="00554EA5"/>
    <w:rsid w:val="00555586"/>
    <w:rsid w:val="00555816"/>
    <w:rsid w:val="00555B47"/>
    <w:rsid w:val="00555D03"/>
    <w:rsid w:val="00555E8D"/>
    <w:rsid w:val="00556780"/>
    <w:rsid w:val="00556FE0"/>
    <w:rsid w:val="005571E7"/>
    <w:rsid w:val="00557E8A"/>
    <w:rsid w:val="005601D1"/>
    <w:rsid w:val="0056035D"/>
    <w:rsid w:val="00560758"/>
    <w:rsid w:val="00560B16"/>
    <w:rsid w:val="00561343"/>
    <w:rsid w:val="00561980"/>
    <w:rsid w:val="005622BC"/>
    <w:rsid w:val="00562EB6"/>
    <w:rsid w:val="0056316D"/>
    <w:rsid w:val="0056336D"/>
    <w:rsid w:val="005633E3"/>
    <w:rsid w:val="00564A5B"/>
    <w:rsid w:val="005651A2"/>
    <w:rsid w:val="00565396"/>
    <w:rsid w:val="00565C26"/>
    <w:rsid w:val="00566DB7"/>
    <w:rsid w:val="00567280"/>
    <w:rsid w:val="005675DE"/>
    <w:rsid w:val="00567A28"/>
    <w:rsid w:val="00570BF0"/>
    <w:rsid w:val="00570CE1"/>
    <w:rsid w:val="00570E48"/>
    <w:rsid w:val="00570F20"/>
    <w:rsid w:val="00571DCA"/>
    <w:rsid w:val="0057279F"/>
    <w:rsid w:val="0057308F"/>
    <w:rsid w:val="0057310B"/>
    <w:rsid w:val="005733F2"/>
    <w:rsid w:val="0057392B"/>
    <w:rsid w:val="00574839"/>
    <w:rsid w:val="00574D05"/>
    <w:rsid w:val="00574EF2"/>
    <w:rsid w:val="005750BD"/>
    <w:rsid w:val="00575412"/>
    <w:rsid w:val="005758D3"/>
    <w:rsid w:val="00575AC5"/>
    <w:rsid w:val="00576667"/>
    <w:rsid w:val="005769BF"/>
    <w:rsid w:val="00576C0F"/>
    <w:rsid w:val="00576F43"/>
    <w:rsid w:val="00577183"/>
    <w:rsid w:val="00577F43"/>
    <w:rsid w:val="00581202"/>
    <w:rsid w:val="00581533"/>
    <w:rsid w:val="00581B86"/>
    <w:rsid w:val="00582174"/>
    <w:rsid w:val="005822C9"/>
    <w:rsid w:val="0058236B"/>
    <w:rsid w:val="0058267F"/>
    <w:rsid w:val="00582F94"/>
    <w:rsid w:val="00583353"/>
    <w:rsid w:val="005834B9"/>
    <w:rsid w:val="00583598"/>
    <w:rsid w:val="00583614"/>
    <w:rsid w:val="00583AAD"/>
    <w:rsid w:val="00583DA3"/>
    <w:rsid w:val="00584713"/>
    <w:rsid w:val="005851BF"/>
    <w:rsid w:val="005864DB"/>
    <w:rsid w:val="005868B2"/>
    <w:rsid w:val="00586A93"/>
    <w:rsid w:val="0058701A"/>
    <w:rsid w:val="005879D5"/>
    <w:rsid w:val="00587CED"/>
    <w:rsid w:val="00587F03"/>
    <w:rsid w:val="005903DC"/>
    <w:rsid w:val="00590B6B"/>
    <w:rsid w:val="00591384"/>
    <w:rsid w:val="005913D5"/>
    <w:rsid w:val="00591E22"/>
    <w:rsid w:val="00592F6B"/>
    <w:rsid w:val="005931D8"/>
    <w:rsid w:val="005936F3"/>
    <w:rsid w:val="00593FAF"/>
    <w:rsid w:val="005943ED"/>
    <w:rsid w:val="0059485C"/>
    <w:rsid w:val="0059576F"/>
    <w:rsid w:val="005963D6"/>
    <w:rsid w:val="0059651C"/>
    <w:rsid w:val="00596D8B"/>
    <w:rsid w:val="0059709A"/>
    <w:rsid w:val="00597252"/>
    <w:rsid w:val="0059731F"/>
    <w:rsid w:val="00597ACC"/>
    <w:rsid w:val="005A07E0"/>
    <w:rsid w:val="005A0A7D"/>
    <w:rsid w:val="005A1B54"/>
    <w:rsid w:val="005A2448"/>
    <w:rsid w:val="005A2A46"/>
    <w:rsid w:val="005A3311"/>
    <w:rsid w:val="005A34B4"/>
    <w:rsid w:val="005A36ED"/>
    <w:rsid w:val="005A36FD"/>
    <w:rsid w:val="005A41C0"/>
    <w:rsid w:val="005A4313"/>
    <w:rsid w:val="005A43E6"/>
    <w:rsid w:val="005A45B5"/>
    <w:rsid w:val="005A475D"/>
    <w:rsid w:val="005A4E50"/>
    <w:rsid w:val="005A536C"/>
    <w:rsid w:val="005A5DC7"/>
    <w:rsid w:val="005A65A0"/>
    <w:rsid w:val="005A6C33"/>
    <w:rsid w:val="005A7C81"/>
    <w:rsid w:val="005B00DB"/>
    <w:rsid w:val="005B0233"/>
    <w:rsid w:val="005B0675"/>
    <w:rsid w:val="005B131C"/>
    <w:rsid w:val="005B1360"/>
    <w:rsid w:val="005B16D4"/>
    <w:rsid w:val="005B2259"/>
    <w:rsid w:val="005B2D01"/>
    <w:rsid w:val="005B2DC4"/>
    <w:rsid w:val="005B34C4"/>
    <w:rsid w:val="005B38DA"/>
    <w:rsid w:val="005B3B37"/>
    <w:rsid w:val="005B3F71"/>
    <w:rsid w:val="005B4451"/>
    <w:rsid w:val="005B4F32"/>
    <w:rsid w:val="005B51C8"/>
    <w:rsid w:val="005B51C9"/>
    <w:rsid w:val="005B527A"/>
    <w:rsid w:val="005B5911"/>
    <w:rsid w:val="005B676F"/>
    <w:rsid w:val="005B6C52"/>
    <w:rsid w:val="005B7B69"/>
    <w:rsid w:val="005B7CF7"/>
    <w:rsid w:val="005B7E59"/>
    <w:rsid w:val="005C041B"/>
    <w:rsid w:val="005C04E4"/>
    <w:rsid w:val="005C1A32"/>
    <w:rsid w:val="005C23AD"/>
    <w:rsid w:val="005C27F8"/>
    <w:rsid w:val="005C2E3B"/>
    <w:rsid w:val="005C33D0"/>
    <w:rsid w:val="005C36AD"/>
    <w:rsid w:val="005C3BBD"/>
    <w:rsid w:val="005C4152"/>
    <w:rsid w:val="005C4A3C"/>
    <w:rsid w:val="005C4AA4"/>
    <w:rsid w:val="005C4B87"/>
    <w:rsid w:val="005C5200"/>
    <w:rsid w:val="005C68D6"/>
    <w:rsid w:val="005C733E"/>
    <w:rsid w:val="005C78DD"/>
    <w:rsid w:val="005C7F10"/>
    <w:rsid w:val="005D21F3"/>
    <w:rsid w:val="005D2629"/>
    <w:rsid w:val="005D28C1"/>
    <w:rsid w:val="005D2B43"/>
    <w:rsid w:val="005D32D9"/>
    <w:rsid w:val="005D387F"/>
    <w:rsid w:val="005D48A8"/>
    <w:rsid w:val="005D534F"/>
    <w:rsid w:val="005D54F6"/>
    <w:rsid w:val="005D67AB"/>
    <w:rsid w:val="005D6AB1"/>
    <w:rsid w:val="005D77BB"/>
    <w:rsid w:val="005D7C1E"/>
    <w:rsid w:val="005E05E6"/>
    <w:rsid w:val="005E06CE"/>
    <w:rsid w:val="005E0B0C"/>
    <w:rsid w:val="005E0DD8"/>
    <w:rsid w:val="005E11E5"/>
    <w:rsid w:val="005E135C"/>
    <w:rsid w:val="005E155D"/>
    <w:rsid w:val="005E18CA"/>
    <w:rsid w:val="005E4307"/>
    <w:rsid w:val="005E4736"/>
    <w:rsid w:val="005E49BE"/>
    <w:rsid w:val="005E4FD2"/>
    <w:rsid w:val="005E5A53"/>
    <w:rsid w:val="005E5E4A"/>
    <w:rsid w:val="005E60E1"/>
    <w:rsid w:val="005E69B1"/>
    <w:rsid w:val="005E73D3"/>
    <w:rsid w:val="005E7B34"/>
    <w:rsid w:val="005F0E89"/>
    <w:rsid w:val="005F1CFA"/>
    <w:rsid w:val="005F1EA0"/>
    <w:rsid w:val="005F2671"/>
    <w:rsid w:val="005F273D"/>
    <w:rsid w:val="005F2769"/>
    <w:rsid w:val="005F29BC"/>
    <w:rsid w:val="005F29D6"/>
    <w:rsid w:val="005F2C90"/>
    <w:rsid w:val="005F2F98"/>
    <w:rsid w:val="005F3848"/>
    <w:rsid w:val="005F3903"/>
    <w:rsid w:val="005F47B1"/>
    <w:rsid w:val="005F4A5A"/>
    <w:rsid w:val="005F4E08"/>
    <w:rsid w:val="005F5A06"/>
    <w:rsid w:val="005F70F6"/>
    <w:rsid w:val="005F7175"/>
    <w:rsid w:val="005F7EBA"/>
    <w:rsid w:val="00600098"/>
    <w:rsid w:val="00602541"/>
    <w:rsid w:val="0060256C"/>
    <w:rsid w:val="006025BF"/>
    <w:rsid w:val="00602865"/>
    <w:rsid w:val="006044CE"/>
    <w:rsid w:val="00604827"/>
    <w:rsid w:val="00604975"/>
    <w:rsid w:val="00605123"/>
    <w:rsid w:val="00605763"/>
    <w:rsid w:val="006058E7"/>
    <w:rsid w:val="00605FC2"/>
    <w:rsid w:val="00606786"/>
    <w:rsid w:val="00606C43"/>
    <w:rsid w:val="0060722E"/>
    <w:rsid w:val="00607A60"/>
    <w:rsid w:val="00607B75"/>
    <w:rsid w:val="00607FF3"/>
    <w:rsid w:val="00610293"/>
    <w:rsid w:val="006109B9"/>
    <w:rsid w:val="006118B9"/>
    <w:rsid w:val="0061193E"/>
    <w:rsid w:val="00611BC8"/>
    <w:rsid w:val="00612578"/>
    <w:rsid w:val="00612AE4"/>
    <w:rsid w:val="00612CFB"/>
    <w:rsid w:val="006130E8"/>
    <w:rsid w:val="006135CF"/>
    <w:rsid w:val="00613FAA"/>
    <w:rsid w:val="0061503F"/>
    <w:rsid w:val="0061529F"/>
    <w:rsid w:val="006154AB"/>
    <w:rsid w:val="00615942"/>
    <w:rsid w:val="0061609D"/>
    <w:rsid w:val="006161CB"/>
    <w:rsid w:val="006169EA"/>
    <w:rsid w:val="006170A9"/>
    <w:rsid w:val="0061759D"/>
    <w:rsid w:val="00617852"/>
    <w:rsid w:val="0061788B"/>
    <w:rsid w:val="00620308"/>
    <w:rsid w:val="006204AE"/>
    <w:rsid w:val="006218D1"/>
    <w:rsid w:val="00621CD8"/>
    <w:rsid w:val="00622028"/>
    <w:rsid w:val="00622277"/>
    <w:rsid w:val="00622765"/>
    <w:rsid w:val="006230B0"/>
    <w:rsid w:val="006239B7"/>
    <w:rsid w:val="006239B9"/>
    <w:rsid w:val="00623C1E"/>
    <w:rsid w:val="006256DB"/>
    <w:rsid w:val="006263F9"/>
    <w:rsid w:val="00626798"/>
    <w:rsid w:val="006268C6"/>
    <w:rsid w:val="00626E9B"/>
    <w:rsid w:val="00626F77"/>
    <w:rsid w:val="006270F0"/>
    <w:rsid w:val="0062742F"/>
    <w:rsid w:val="006279B1"/>
    <w:rsid w:val="006279EF"/>
    <w:rsid w:val="00630019"/>
    <w:rsid w:val="006303BE"/>
    <w:rsid w:val="006303D2"/>
    <w:rsid w:val="006304EA"/>
    <w:rsid w:val="006306B1"/>
    <w:rsid w:val="006320EE"/>
    <w:rsid w:val="00632298"/>
    <w:rsid w:val="006328FE"/>
    <w:rsid w:val="00632E44"/>
    <w:rsid w:val="006331C0"/>
    <w:rsid w:val="00633635"/>
    <w:rsid w:val="00633904"/>
    <w:rsid w:val="00634B70"/>
    <w:rsid w:val="00634F87"/>
    <w:rsid w:val="00635488"/>
    <w:rsid w:val="00637AF9"/>
    <w:rsid w:val="00640D26"/>
    <w:rsid w:val="0064138B"/>
    <w:rsid w:val="00642B98"/>
    <w:rsid w:val="00642CCB"/>
    <w:rsid w:val="00643023"/>
    <w:rsid w:val="006432C7"/>
    <w:rsid w:val="00643804"/>
    <w:rsid w:val="006438A1"/>
    <w:rsid w:val="00643E71"/>
    <w:rsid w:val="0064419A"/>
    <w:rsid w:val="006444CF"/>
    <w:rsid w:val="006453A1"/>
    <w:rsid w:val="00645A42"/>
    <w:rsid w:val="00645BC1"/>
    <w:rsid w:val="00646573"/>
    <w:rsid w:val="0064691C"/>
    <w:rsid w:val="00646F68"/>
    <w:rsid w:val="006471FA"/>
    <w:rsid w:val="00647616"/>
    <w:rsid w:val="00647A4D"/>
    <w:rsid w:val="006504BD"/>
    <w:rsid w:val="00651865"/>
    <w:rsid w:val="00652925"/>
    <w:rsid w:val="00653892"/>
    <w:rsid w:val="00653936"/>
    <w:rsid w:val="006542FD"/>
    <w:rsid w:val="00654622"/>
    <w:rsid w:val="0065483B"/>
    <w:rsid w:val="006548F9"/>
    <w:rsid w:val="006549E8"/>
    <w:rsid w:val="00654EAF"/>
    <w:rsid w:val="006558D9"/>
    <w:rsid w:val="00655B24"/>
    <w:rsid w:val="006565AE"/>
    <w:rsid w:val="00656FBE"/>
    <w:rsid w:val="00656FF3"/>
    <w:rsid w:val="00657006"/>
    <w:rsid w:val="006607E3"/>
    <w:rsid w:val="0066220A"/>
    <w:rsid w:val="0066235C"/>
    <w:rsid w:val="006623D3"/>
    <w:rsid w:val="006628A3"/>
    <w:rsid w:val="00662C1B"/>
    <w:rsid w:val="00663B08"/>
    <w:rsid w:val="006645F6"/>
    <w:rsid w:val="00664998"/>
    <w:rsid w:val="00664D34"/>
    <w:rsid w:val="00665405"/>
    <w:rsid w:val="00665977"/>
    <w:rsid w:val="00665992"/>
    <w:rsid w:val="00665E5A"/>
    <w:rsid w:val="00666A66"/>
    <w:rsid w:val="00667055"/>
    <w:rsid w:val="006674A1"/>
    <w:rsid w:val="00667DDC"/>
    <w:rsid w:val="006701F6"/>
    <w:rsid w:val="006705B9"/>
    <w:rsid w:val="00671715"/>
    <w:rsid w:val="0067171C"/>
    <w:rsid w:val="00672B9D"/>
    <w:rsid w:val="00672FEB"/>
    <w:rsid w:val="006731F4"/>
    <w:rsid w:val="0067333E"/>
    <w:rsid w:val="00673A34"/>
    <w:rsid w:val="00673A5A"/>
    <w:rsid w:val="00673F84"/>
    <w:rsid w:val="00674388"/>
    <w:rsid w:val="0067563F"/>
    <w:rsid w:val="006758CE"/>
    <w:rsid w:val="00675E2C"/>
    <w:rsid w:val="0067641F"/>
    <w:rsid w:val="00676B26"/>
    <w:rsid w:val="00676DAC"/>
    <w:rsid w:val="006771F9"/>
    <w:rsid w:val="006773A4"/>
    <w:rsid w:val="00677752"/>
    <w:rsid w:val="00677C6F"/>
    <w:rsid w:val="006801E0"/>
    <w:rsid w:val="006807FC"/>
    <w:rsid w:val="00680866"/>
    <w:rsid w:val="00681618"/>
    <w:rsid w:val="00681C02"/>
    <w:rsid w:val="006826CA"/>
    <w:rsid w:val="006830FE"/>
    <w:rsid w:val="0068474E"/>
    <w:rsid w:val="00684963"/>
    <w:rsid w:val="006852CC"/>
    <w:rsid w:val="00685C38"/>
    <w:rsid w:val="00686A94"/>
    <w:rsid w:val="0068780D"/>
    <w:rsid w:val="00687B7C"/>
    <w:rsid w:val="00690076"/>
    <w:rsid w:val="006906B3"/>
    <w:rsid w:val="006913C3"/>
    <w:rsid w:val="00691C44"/>
    <w:rsid w:val="00692A1D"/>
    <w:rsid w:val="00692C21"/>
    <w:rsid w:val="00692D32"/>
    <w:rsid w:val="00692FD7"/>
    <w:rsid w:val="006932CC"/>
    <w:rsid w:val="00693B46"/>
    <w:rsid w:val="0069466B"/>
    <w:rsid w:val="006948A9"/>
    <w:rsid w:val="00694ACA"/>
    <w:rsid w:val="0069522F"/>
    <w:rsid w:val="006952D6"/>
    <w:rsid w:val="00696CB6"/>
    <w:rsid w:val="00697467"/>
    <w:rsid w:val="006A09C4"/>
    <w:rsid w:val="006A1D73"/>
    <w:rsid w:val="006A202B"/>
    <w:rsid w:val="006A38DB"/>
    <w:rsid w:val="006A3B17"/>
    <w:rsid w:val="006A3EB6"/>
    <w:rsid w:val="006A4102"/>
    <w:rsid w:val="006A4A00"/>
    <w:rsid w:val="006A4CBF"/>
    <w:rsid w:val="006A4FB7"/>
    <w:rsid w:val="006A5A90"/>
    <w:rsid w:val="006A6709"/>
    <w:rsid w:val="006A67A0"/>
    <w:rsid w:val="006A6BF1"/>
    <w:rsid w:val="006A7A8E"/>
    <w:rsid w:val="006B012B"/>
    <w:rsid w:val="006B0B81"/>
    <w:rsid w:val="006B11CC"/>
    <w:rsid w:val="006B1BE0"/>
    <w:rsid w:val="006B1D32"/>
    <w:rsid w:val="006B264F"/>
    <w:rsid w:val="006B2DDF"/>
    <w:rsid w:val="006B3327"/>
    <w:rsid w:val="006B3836"/>
    <w:rsid w:val="006B3ACC"/>
    <w:rsid w:val="006B3EE8"/>
    <w:rsid w:val="006B430C"/>
    <w:rsid w:val="006B4DE3"/>
    <w:rsid w:val="006B50B2"/>
    <w:rsid w:val="006B513A"/>
    <w:rsid w:val="006B58E4"/>
    <w:rsid w:val="006B5BD8"/>
    <w:rsid w:val="006B6A34"/>
    <w:rsid w:val="006B6C32"/>
    <w:rsid w:val="006B70D7"/>
    <w:rsid w:val="006B730A"/>
    <w:rsid w:val="006B764F"/>
    <w:rsid w:val="006B78EE"/>
    <w:rsid w:val="006B7F0F"/>
    <w:rsid w:val="006C08CF"/>
    <w:rsid w:val="006C0928"/>
    <w:rsid w:val="006C0AE6"/>
    <w:rsid w:val="006C0B68"/>
    <w:rsid w:val="006C13DF"/>
    <w:rsid w:val="006C1CE4"/>
    <w:rsid w:val="006C1D6D"/>
    <w:rsid w:val="006C3626"/>
    <w:rsid w:val="006C389F"/>
    <w:rsid w:val="006C38E8"/>
    <w:rsid w:val="006C3964"/>
    <w:rsid w:val="006C47A7"/>
    <w:rsid w:val="006C4D4B"/>
    <w:rsid w:val="006C641A"/>
    <w:rsid w:val="006C7663"/>
    <w:rsid w:val="006C7AEB"/>
    <w:rsid w:val="006C7CDE"/>
    <w:rsid w:val="006D106C"/>
    <w:rsid w:val="006D12D5"/>
    <w:rsid w:val="006D1537"/>
    <w:rsid w:val="006D1932"/>
    <w:rsid w:val="006D2470"/>
    <w:rsid w:val="006D25CD"/>
    <w:rsid w:val="006D26C5"/>
    <w:rsid w:val="006D2942"/>
    <w:rsid w:val="006D2B1B"/>
    <w:rsid w:val="006D310A"/>
    <w:rsid w:val="006D3487"/>
    <w:rsid w:val="006D431D"/>
    <w:rsid w:val="006D4E30"/>
    <w:rsid w:val="006D590C"/>
    <w:rsid w:val="006D6475"/>
    <w:rsid w:val="006D6C2C"/>
    <w:rsid w:val="006D6EFC"/>
    <w:rsid w:val="006D788B"/>
    <w:rsid w:val="006D7A5B"/>
    <w:rsid w:val="006E007D"/>
    <w:rsid w:val="006E078D"/>
    <w:rsid w:val="006E0F01"/>
    <w:rsid w:val="006E17E5"/>
    <w:rsid w:val="006E1BFC"/>
    <w:rsid w:val="006E23D9"/>
    <w:rsid w:val="006E252C"/>
    <w:rsid w:val="006E405D"/>
    <w:rsid w:val="006E43B4"/>
    <w:rsid w:val="006E46EE"/>
    <w:rsid w:val="006E4A96"/>
    <w:rsid w:val="006E5A0F"/>
    <w:rsid w:val="006E6401"/>
    <w:rsid w:val="006E6AA6"/>
    <w:rsid w:val="006E707E"/>
    <w:rsid w:val="006E72CD"/>
    <w:rsid w:val="006E7357"/>
    <w:rsid w:val="006E7A12"/>
    <w:rsid w:val="006E7DEB"/>
    <w:rsid w:val="006F010E"/>
    <w:rsid w:val="006F07B2"/>
    <w:rsid w:val="006F1912"/>
    <w:rsid w:val="006F2265"/>
    <w:rsid w:val="006F252E"/>
    <w:rsid w:val="006F2727"/>
    <w:rsid w:val="006F28A0"/>
    <w:rsid w:val="006F29B3"/>
    <w:rsid w:val="006F3089"/>
    <w:rsid w:val="006F4428"/>
    <w:rsid w:val="006F4578"/>
    <w:rsid w:val="006F4F6C"/>
    <w:rsid w:val="006F530E"/>
    <w:rsid w:val="006F678C"/>
    <w:rsid w:val="006F6AA2"/>
    <w:rsid w:val="006F7605"/>
    <w:rsid w:val="006F76CB"/>
    <w:rsid w:val="006F7FC1"/>
    <w:rsid w:val="00700119"/>
    <w:rsid w:val="0070041D"/>
    <w:rsid w:val="00700785"/>
    <w:rsid w:val="007010CD"/>
    <w:rsid w:val="00701CDD"/>
    <w:rsid w:val="00702626"/>
    <w:rsid w:val="007026BE"/>
    <w:rsid w:val="00703A98"/>
    <w:rsid w:val="00704C43"/>
    <w:rsid w:val="00704F00"/>
    <w:rsid w:val="00704FEB"/>
    <w:rsid w:val="007053C9"/>
    <w:rsid w:val="007064B0"/>
    <w:rsid w:val="0070700B"/>
    <w:rsid w:val="0070712F"/>
    <w:rsid w:val="007073ED"/>
    <w:rsid w:val="0070753F"/>
    <w:rsid w:val="0071032B"/>
    <w:rsid w:val="00710FA6"/>
    <w:rsid w:val="00711059"/>
    <w:rsid w:val="0071156D"/>
    <w:rsid w:val="00711F1F"/>
    <w:rsid w:val="00712336"/>
    <w:rsid w:val="00713219"/>
    <w:rsid w:val="00714308"/>
    <w:rsid w:val="00714478"/>
    <w:rsid w:val="007150CE"/>
    <w:rsid w:val="0071517F"/>
    <w:rsid w:val="00715451"/>
    <w:rsid w:val="007155CC"/>
    <w:rsid w:val="007155E8"/>
    <w:rsid w:val="00715760"/>
    <w:rsid w:val="00715BD7"/>
    <w:rsid w:val="00716806"/>
    <w:rsid w:val="00716CB7"/>
    <w:rsid w:val="00717082"/>
    <w:rsid w:val="0071716B"/>
    <w:rsid w:val="0071731F"/>
    <w:rsid w:val="00717AA2"/>
    <w:rsid w:val="00720B58"/>
    <w:rsid w:val="00720CB7"/>
    <w:rsid w:val="00721F05"/>
    <w:rsid w:val="00723073"/>
    <w:rsid w:val="007236B5"/>
    <w:rsid w:val="00723A8D"/>
    <w:rsid w:val="00724ABD"/>
    <w:rsid w:val="00725F38"/>
    <w:rsid w:val="00726481"/>
    <w:rsid w:val="00727827"/>
    <w:rsid w:val="00727E32"/>
    <w:rsid w:val="00730715"/>
    <w:rsid w:val="00730883"/>
    <w:rsid w:val="00730D5C"/>
    <w:rsid w:val="00730D82"/>
    <w:rsid w:val="00730FA6"/>
    <w:rsid w:val="00731350"/>
    <w:rsid w:val="007317B9"/>
    <w:rsid w:val="00732373"/>
    <w:rsid w:val="007330C7"/>
    <w:rsid w:val="00733C18"/>
    <w:rsid w:val="00733F60"/>
    <w:rsid w:val="00733FF8"/>
    <w:rsid w:val="00734D50"/>
    <w:rsid w:val="00734DD0"/>
    <w:rsid w:val="00735346"/>
    <w:rsid w:val="00735CA7"/>
    <w:rsid w:val="00735EC9"/>
    <w:rsid w:val="00736A78"/>
    <w:rsid w:val="007376D7"/>
    <w:rsid w:val="0073785B"/>
    <w:rsid w:val="00737A61"/>
    <w:rsid w:val="00737D0E"/>
    <w:rsid w:val="0074061D"/>
    <w:rsid w:val="00740CD2"/>
    <w:rsid w:val="00741404"/>
    <w:rsid w:val="00741600"/>
    <w:rsid w:val="00741680"/>
    <w:rsid w:val="00741A83"/>
    <w:rsid w:val="00741E6D"/>
    <w:rsid w:val="00742B53"/>
    <w:rsid w:val="007433B0"/>
    <w:rsid w:val="00744A93"/>
    <w:rsid w:val="007453A6"/>
    <w:rsid w:val="00745438"/>
    <w:rsid w:val="00745AD4"/>
    <w:rsid w:val="00746267"/>
    <w:rsid w:val="00746573"/>
    <w:rsid w:val="00747027"/>
    <w:rsid w:val="007471A6"/>
    <w:rsid w:val="007471C9"/>
    <w:rsid w:val="00747773"/>
    <w:rsid w:val="00750E4D"/>
    <w:rsid w:val="007511B2"/>
    <w:rsid w:val="00751225"/>
    <w:rsid w:val="007514EF"/>
    <w:rsid w:val="00752191"/>
    <w:rsid w:val="007521F5"/>
    <w:rsid w:val="007531B0"/>
    <w:rsid w:val="00753264"/>
    <w:rsid w:val="007536E8"/>
    <w:rsid w:val="00753E72"/>
    <w:rsid w:val="00754875"/>
    <w:rsid w:val="00754CCA"/>
    <w:rsid w:val="00754D1B"/>
    <w:rsid w:val="00754F97"/>
    <w:rsid w:val="007559D0"/>
    <w:rsid w:val="00755B65"/>
    <w:rsid w:val="00756079"/>
    <w:rsid w:val="0075730F"/>
    <w:rsid w:val="00757509"/>
    <w:rsid w:val="00760E6C"/>
    <w:rsid w:val="00760E7E"/>
    <w:rsid w:val="0076252A"/>
    <w:rsid w:val="007625B8"/>
    <w:rsid w:val="00762E52"/>
    <w:rsid w:val="00763013"/>
    <w:rsid w:val="007630D5"/>
    <w:rsid w:val="0076389C"/>
    <w:rsid w:val="00763C06"/>
    <w:rsid w:val="00763D04"/>
    <w:rsid w:val="0076424C"/>
    <w:rsid w:val="007647FB"/>
    <w:rsid w:val="00764D6F"/>
    <w:rsid w:val="00765017"/>
    <w:rsid w:val="00765868"/>
    <w:rsid w:val="007658E3"/>
    <w:rsid w:val="007668E0"/>
    <w:rsid w:val="00766E62"/>
    <w:rsid w:val="0076790A"/>
    <w:rsid w:val="00767C83"/>
    <w:rsid w:val="00767ED9"/>
    <w:rsid w:val="007704E1"/>
    <w:rsid w:val="00770869"/>
    <w:rsid w:val="00770B42"/>
    <w:rsid w:val="007712D1"/>
    <w:rsid w:val="007713F2"/>
    <w:rsid w:val="0077142B"/>
    <w:rsid w:val="00771458"/>
    <w:rsid w:val="0077176C"/>
    <w:rsid w:val="00771C0D"/>
    <w:rsid w:val="00771E89"/>
    <w:rsid w:val="007729D2"/>
    <w:rsid w:val="00773293"/>
    <w:rsid w:val="00773407"/>
    <w:rsid w:val="007734FB"/>
    <w:rsid w:val="00773589"/>
    <w:rsid w:val="00773CDE"/>
    <w:rsid w:val="00773DA1"/>
    <w:rsid w:val="00774164"/>
    <w:rsid w:val="0077431E"/>
    <w:rsid w:val="007745A5"/>
    <w:rsid w:val="00774A25"/>
    <w:rsid w:val="0077556E"/>
    <w:rsid w:val="00775864"/>
    <w:rsid w:val="00776104"/>
    <w:rsid w:val="00776322"/>
    <w:rsid w:val="00776C00"/>
    <w:rsid w:val="00776C91"/>
    <w:rsid w:val="0077721E"/>
    <w:rsid w:val="007776E8"/>
    <w:rsid w:val="00777AAA"/>
    <w:rsid w:val="00777E23"/>
    <w:rsid w:val="0078050F"/>
    <w:rsid w:val="00780B39"/>
    <w:rsid w:val="00781866"/>
    <w:rsid w:val="00781F47"/>
    <w:rsid w:val="00781F60"/>
    <w:rsid w:val="00782EE5"/>
    <w:rsid w:val="00782FEC"/>
    <w:rsid w:val="0078365F"/>
    <w:rsid w:val="0078389C"/>
    <w:rsid w:val="007851A4"/>
    <w:rsid w:val="007851D5"/>
    <w:rsid w:val="00785536"/>
    <w:rsid w:val="00785A10"/>
    <w:rsid w:val="007865AE"/>
    <w:rsid w:val="00786EDD"/>
    <w:rsid w:val="00787290"/>
    <w:rsid w:val="007876CE"/>
    <w:rsid w:val="00787BE4"/>
    <w:rsid w:val="00790630"/>
    <w:rsid w:val="00790B1E"/>
    <w:rsid w:val="007911AA"/>
    <w:rsid w:val="0079298F"/>
    <w:rsid w:val="00792B65"/>
    <w:rsid w:val="00792BDD"/>
    <w:rsid w:val="00793808"/>
    <w:rsid w:val="00793A0D"/>
    <w:rsid w:val="00794387"/>
    <w:rsid w:val="00794623"/>
    <w:rsid w:val="00794842"/>
    <w:rsid w:val="00795C3E"/>
    <w:rsid w:val="00797F98"/>
    <w:rsid w:val="007A06CE"/>
    <w:rsid w:val="007A0BE0"/>
    <w:rsid w:val="007A3389"/>
    <w:rsid w:val="007A3747"/>
    <w:rsid w:val="007A3E4D"/>
    <w:rsid w:val="007A47F7"/>
    <w:rsid w:val="007A55DA"/>
    <w:rsid w:val="007A5AA6"/>
    <w:rsid w:val="007A645F"/>
    <w:rsid w:val="007A6A8F"/>
    <w:rsid w:val="007A6B26"/>
    <w:rsid w:val="007A6B6E"/>
    <w:rsid w:val="007A71F5"/>
    <w:rsid w:val="007A7347"/>
    <w:rsid w:val="007A7EBC"/>
    <w:rsid w:val="007B1AFA"/>
    <w:rsid w:val="007B1E35"/>
    <w:rsid w:val="007B24C5"/>
    <w:rsid w:val="007B29FF"/>
    <w:rsid w:val="007B31A1"/>
    <w:rsid w:val="007B3461"/>
    <w:rsid w:val="007B3693"/>
    <w:rsid w:val="007B3702"/>
    <w:rsid w:val="007B3B52"/>
    <w:rsid w:val="007B3BD7"/>
    <w:rsid w:val="007B3CFF"/>
    <w:rsid w:val="007B5455"/>
    <w:rsid w:val="007B55E3"/>
    <w:rsid w:val="007B61F5"/>
    <w:rsid w:val="007B74D3"/>
    <w:rsid w:val="007B7BD0"/>
    <w:rsid w:val="007C04DB"/>
    <w:rsid w:val="007C160B"/>
    <w:rsid w:val="007C1B9A"/>
    <w:rsid w:val="007C20D6"/>
    <w:rsid w:val="007C215B"/>
    <w:rsid w:val="007C2DBA"/>
    <w:rsid w:val="007C3277"/>
    <w:rsid w:val="007C39B8"/>
    <w:rsid w:val="007C43BB"/>
    <w:rsid w:val="007C4BA5"/>
    <w:rsid w:val="007C52E2"/>
    <w:rsid w:val="007C5484"/>
    <w:rsid w:val="007C5709"/>
    <w:rsid w:val="007C5D92"/>
    <w:rsid w:val="007C637F"/>
    <w:rsid w:val="007C6472"/>
    <w:rsid w:val="007C6E2A"/>
    <w:rsid w:val="007D0377"/>
    <w:rsid w:val="007D08AE"/>
    <w:rsid w:val="007D0967"/>
    <w:rsid w:val="007D0994"/>
    <w:rsid w:val="007D10C0"/>
    <w:rsid w:val="007D1A62"/>
    <w:rsid w:val="007D2FC5"/>
    <w:rsid w:val="007D343B"/>
    <w:rsid w:val="007D3AE9"/>
    <w:rsid w:val="007D3B99"/>
    <w:rsid w:val="007D4228"/>
    <w:rsid w:val="007D44D0"/>
    <w:rsid w:val="007D4E38"/>
    <w:rsid w:val="007D4FDB"/>
    <w:rsid w:val="007D4FDF"/>
    <w:rsid w:val="007D5053"/>
    <w:rsid w:val="007D580B"/>
    <w:rsid w:val="007D5F07"/>
    <w:rsid w:val="007D5FE7"/>
    <w:rsid w:val="007D6129"/>
    <w:rsid w:val="007D6391"/>
    <w:rsid w:val="007D68E9"/>
    <w:rsid w:val="007D6C77"/>
    <w:rsid w:val="007D6F00"/>
    <w:rsid w:val="007E0A62"/>
    <w:rsid w:val="007E0CF1"/>
    <w:rsid w:val="007E1840"/>
    <w:rsid w:val="007E1929"/>
    <w:rsid w:val="007E1A53"/>
    <w:rsid w:val="007E1A94"/>
    <w:rsid w:val="007E1F9D"/>
    <w:rsid w:val="007E2184"/>
    <w:rsid w:val="007E22C2"/>
    <w:rsid w:val="007E27C4"/>
    <w:rsid w:val="007E2EA4"/>
    <w:rsid w:val="007E304D"/>
    <w:rsid w:val="007E33A8"/>
    <w:rsid w:val="007E3533"/>
    <w:rsid w:val="007E37B9"/>
    <w:rsid w:val="007E3C3F"/>
    <w:rsid w:val="007E3CD3"/>
    <w:rsid w:val="007E3DF4"/>
    <w:rsid w:val="007E417B"/>
    <w:rsid w:val="007E41EF"/>
    <w:rsid w:val="007E4A72"/>
    <w:rsid w:val="007E4BD3"/>
    <w:rsid w:val="007E4D92"/>
    <w:rsid w:val="007E6B81"/>
    <w:rsid w:val="007E738A"/>
    <w:rsid w:val="007E7A88"/>
    <w:rsid w:val="007F0BAB"/>
    <w:rsid w:val="007F15D4"/>
    <w:rsid w:val="007F27AE"/>
    <w:rsid w:val="007F29F0"/>
    <w:rsid w:val="007F2A09"/>
    <w:rsid w:val="007F2EEF"/>
    <w:rsid w:val="007F31A1"/>
    <w:rsid w:val="007F3CB3"/>
    <w:rsid w:val="007F4AFC"/>
    <w:rsid w:val="007F4C2F"/>
    <w:rsid w:val="007F5793"/>
    <w:rsid w:val="007F5C50"/>
    <w:rsid w:val="007F6D9D"/>
    <w:rsid w:val="007F6DD6"/>
    <w:rsid w:val="007F7306"/>
    <w:rsid w:val="0080037C"/>
    <w:rsid w:val="0080054D"/>
    <w:rsid w:val="0080091E"/>
    <w:rsid w:val="00800B99"/>
    <w:rsid w:val="008013B1"/>
    <w:rsid w:val="008018C7"/>
    <w:rsid w:val="0080197B"/>
    <w:rsid w:val="00801A69"/>
    <w:rsid w:val="00801DA7"/>
    <w:rsid w:val="00801F14"/>
    <w:rsid w:val="00801F93"/>
    <w:rsid w:val="00803171"/>
    <w:rsid w:val="0080639A"/>
    <w:rsid w:val="008068F4"/>
    <w:rsid w:val="00806E9A"/>
    <w:rsid w:val="00810CDA"/>
    <w:rsid w:val="00810DB5"/>
    <w:rsid w:val="00810F9A"/>
    <w:rsid w:val="0081138E"/>
    <w:rsid w:val="0081226A"/>
    <w:rsid w:val="00812350"/>
    <w:rsid w:val="00812355"/>
    <w:rsid w:val="00812542"/>
    <w:rsid w:val="00812B16"/>
    <w:rsid w:val="0081301B"/>
    <w:rsid w:val="0081318C"/>
    <w:rsid w:val="00813594"/>
    <w:rsid w:val="00813776"/>
    <w:rsid w:val="00813F8C"/>
    <w:rsid w:val="008145A3"/>
    <w:rsid w:val="008145FA"/>
    <w:rsid w:val="00814E6D"/>
    <w:rsid w:val="008159BC"/>
    <w:rsid w:val="008160D3"/>
    <w:rsid w:val="0081613D"/>
    <w:rsid w:val="00816F76"/>
    <w:rsid w:val="008170FD"/>
    <w:rsid w:val="008173D7"/>
    <w:rsid w:val="008173EF"/>
    <w:rsid w:val="008178F4"/>
    <w:rsid w:val="00817915"/>
    <w:rsid w:val="00817BE0"/>
    <w:rsid w:val="00817F08"/>
    <w:rsid w:val="00820496"/>
    <w:rsid w:val="00820707"/>
    <w:rsid w:val="008209D8"/>
    <w:rsid w:val="00820A90"/>
    <w:rsid w:val="00820CEC"/>
    <w:rsid w:val="00820F15"/>
    <w:rsid w:val="00821701"/>
    <w:rsid w:val="00821F27"/>
    <w:rsid w:val="008229A8"/>
    <w:rsid w:val="00822FF9"/>
    <w:rsid w:val="00823CD5"/>
    <w:rsid w:val="00824248"/>
    <w:rsid w:val="008252B5"/>
    <w:rsid w:val="00825500"/>
    <w:rsid w:val="00825D20"/>
    <w:rsid w:val="00827576"/>
    <w:rsid w:val="008278C8"/>
    <w:rsid w:val="00827CB5"/>
    <w:rsid w:val="00830C01"/>
    <w:rsid w:val="00830C67"/>
    <w:rsid w:val="008310B5"/>
    <w:rsid w:val="00831734"/>
    <w:rsid w:val="00832100"/>
    <w:rsid w:val="008321D1"/>
    <w:rsid w:val="00833159"/>
    <w:rsid w:val="00833D93"/>
    <w:rsid w:val="008347C1"/>
    <w:rsid w:val="00834C1F"/>
    <w:rsid w:val="00834D87"/>
    <w:rsid w:val="00834F0C"/>
    <w:rsid w:val="0083579C"/>
    <w:rsid w:val="008357CF"/>
    <w:rsid w:val="0083584D"/>
    <w:rsid w:val="00835D84"/>
    <w:rsid w:val="00835DC1"/>
    <w:rsid w:val="00835E18"/>
    <w:rsid w:val="00836139"/>
    <w:rsid w:val="00836C20"/>
    <w:rsid w:val="008379D7"/>
    <w:rsid w:val="00837A4B"/>
    <w:rsid w:val="00837D0B"/>
    <w:rsid w:val="008402CA"/>
    <w:rsid w:val="008403A0"/>
    <w:rsid w:val="0084068E"/>
    <w:rsid w:val="00840C8A"/>
    <w:rsid w:val="00840F0F"/>
    <w:rsid w:val="008412A4"/>
    <w:rsid w:val="00843169"/>
    <w:rsid w:val="00843C3D"/>
    <w:rsid w:val="0084410B"/>
    <w:rsid w:val="00845823"/>
    <w:rsid w:val="00845B88"/>
    <w:rsid w:val="0084732E"/>
    <w:rsid w:val="008474B9"/>
    <w:rsid w:val="008475A0"/>
    <w:rsid w:val="00847901"/>
    <w:rsid w:val="00847B69"/>
    <w:rsid w:val="00847DD2"/>
    <w:rsid w:val="00850EA6"/>
    <w:rsid w:val="00851812"/>
    <w:rsid w:val="008524A9"/>
    <w:rsid w:val="0085303A"/>
    <w:rsid w:val="00853347"/>
    <w:rsid w:val="00853A8E"/>
    <w:rsid w:val="00854363"/>
    <w:rsid w:val="00854F65"/>
    <w:rsid w:val="00855179"/>
    <w:rsid w:val="008558A9"/>
    <w:rsid w:val="008574AD"/>
    <w:rsid w:val="00857680"/>
    <w:rsid w:val="00860112"/>
    <w:rsid w:val="00860ABE"/>
    <w:rsid w:val="00860B69"/>
    <w:rsid w:val="00860FD4"/>
    <w:rsid w:val="008614CB"/>
    <w:rsid w:val="008615B6"/>
    <w:rsid w:val="008619E7"/>
    <w:rsid w:val="00862824"/>
    <w:rsid w:val="00862C9A"/>
    <w:rsid w:val="008632D3"/>
    <w:rsid w:val="00863592"/>
    <w:rsid w:val="00864164"/>
    <w:rsid w:val="0086426E"/>
    <w:rsid w:val="00865D76"/>
    <w:rsid w:val="00866965"/>
    <w:rsid w:val="00870432"/>
    <w:rsid w:val="00870B22"/>
    <w:rsid w:val="00870F3F"/>
    <w:rsid w:val="008715DD"/>
    <w:rsid w:val="00873212"/>
    <w:rsid w:val="008732B7"/>
    <w:rsid w:val="008735BF"/>
    <w:rsid w:val="0087451C"/>
    <w:rsid w:val="00875E17"/>
    <w:rsid w:val="00876029"/>
    <w:rsid w:val="00876527"/>
    <w:rsid w:val="00876FBC"/>
    <w:rsid w:val="008805A0"/>
    <w:rsid w:val="00880C65"/>
    <w:rsid w:val="00880CB3"/>
    <w:rsid w:val="00881C09"/>
    <w:rsid w:val="008822C6"/>
    <w:rsid w:val="00882466"/>
    <w:rsid w:val="00882539"/>
    <w:rsid w:val="00882547"/>
    <w:rsid w:val="00883CF6"/>
    <w:rsid w:val="00883D4F"/>
    <w:rsid w:val="00884363"/>
    <w:rsid w:val="008850FF"/>
    <w:rsid w:val="008859D2"/>
    <w:rsid w:val="00885BE8"/>
    <w:rsid w:val="008860EE"/>
    <w:rsid w:val="008861FD"/>
    <w:rsid w:val="008866B2"/>
    <w:rsid w:val="00886B61"/>
    <w:rsid w:val="00887149"/>
    <w:rsid w:val="0088738F"/>
    <w:rsid w:val="008907F9"/>
    <w:rsid w:val="0089084A"/>
    <w:rsid w:val="008908DE"/>
    <w:rsid w:val="008909C4"/>
    <w:rsid w:val="00890A86"/>
    <w:rsid w:val="00890DF2"/>
    <w:rsid w:val="00891692"/>
    <w:rsid w:val="00891772"/>
    <w:rsid w:val="008919DD"/>
    <w:rsid w:val="008920F9"/>
    <w:rsid w:val="00892942"/>
    <w:rsid w:val="00892CA0"/>
    <w:rsid w:val="00892F36"/>
    <w:rsid w:val="008930EE"/>
    <w:rsid w:val="008934A1"/>
    <w:rsid w:val="008939B9"/>
    <w:rsid w:val="00893FA5"/>
    <w:rsid w:val="008949D2"/>
    <w:rsid w:val="00894B1C"/>
    <w:rsid w:val="0089502B"/>
    <w:rsid w:val="008956BF"/>
    <w:rsid w:val="00896375"/>
    <w:rsid w:val="00897994"/>
    <w:rsid w:val="00897E99"/>
    <w:rsid w:val="008A1305"/>
    <w:rsid w:val="008A2A90"/>
    <w:rsid w:val="008A2D22"/>
    <w:rsid w:val="008A3F6B"/>
    <w:rsid w:val="008A4344"/>
    <w:rsid w:val="008A47B4"/>
    <w:rsid w:val="008A5F81"/>
    <w:rsid w:val="008A603C"/>
    <w:rsid w:val="008A6CCC"/>
    <w:rsid w:val="008A6E2E"/>
    <w:rsid w:val="008A70DD"/>
    <w:rsid w:val="008A77A3"/>
    <w:rsid w:val="008A7912"/>
    <w:rsid w:val="008B0CF7"/>
    <w:rsid w:val="008B28A2"/>
    <w:rsid w:val="008B3ADB"/>
    <w:rsid w:val="008B3B36"/>
    <w:rsid w:val="008B43E7"/>
    <w:rsid w:val="008B4659"/>
    <w:rsid w:val="008B5C19"/>
    <w:rsid w:val="008B5F9A"/>
    <w:rsid w:val="008B6365"/>
    <w:rsid w:val="008B69FA"/>
    <w:rsid w:val="008B7527"/>
    <w:rsid w:val="008B75D4"/>
    <w:rsid w:val="008B7E31"/>
    <w:rsid w:val="008B7FC3"/>
    <w:rsid w:val="008C030E"/>
    <w:rsid w:val="008C09C3"/>
    <w:rsid w:val="008C1163"/>
    <w:rsid w:val="008C1889"/>
    <w:rsid w:val="008C1AF3"/>
    <w:rsid w:val="008C4A6D"/>
    <w:rsid w:val="008C4D16"/>
    <w:rsid w:val="008C4F6E"/>
    <w:rsid w:val="008C604C"/>
    <w:rsid w:val="008C6DE5"/>
    <w:rsid w:val="008C76DF"/>
    <w:rsid w:val="008C7845"/>
    <w:rsid w:val="008D040F"/>
    <w:rsid w:val="008D0B3C"/>
    <w:rsid w:val="008D1084"/>
    <w:rsid w:val="008D128D"/>
    <w:rsid w:val="008D133E"/>
    <w:rsid w:val="008D2884"/>
    <w:rsid w:val="008D35FA"/>
    <w:rsid w:val="008D3D5C"/>
    <w:rsid w:val="008D3EF4"/>
    <w:rsid w:val="008D4AE9"/>
    <w:rsid w:val="008D54D0"/>
    <w:rsid w:val="008D56A2"/>
    <w:rsid w:val="008D6269"/>
    <w:rsid w:val="008D681C"/>
    <w:rsid w:val="008D6B46"/>
    <w:rsid w:val="008D6E57"/>
    <w:rsid w:val="008D6E60"/>
    <w:rsid w:val="008D6E88"/>
    <w:rsid w:val="008D7311"/>
    <w:rsid w:val="008E106D"/>
    <w:rsid w:val="008E1DB1"/>
    <w:rsid w:val="008E20C8"/>
    <w:rsid w:val="008E24B9"/>
    <w:rsid w:val="008E2825"/>
    <w:rsid w:val="008E32BB"/>
    <w:rsid w:val="008E3416"/>
    <w:rsid w:val="008E348C"/>
    <w:rsid w:val="008E3589"/>
    <w:rsid w:val="008E37B4"/>
    <w:rsid w:val="008E388D"/>
    <w:rsid w:val="008E3F0A"/>
    <w:rsid w:val="008E487E"/>
    <w:rsid w:val="008E49E4"/>
    <w:rsid w:val="008E4F69"/>
    <w:rsid w:val="008E5801"/>
    <w:rsid w:val="008E5855"/>
    <w:rsid w:val="008E65D0"/>
    <w:rsid w:val="008E66CD"/>
    <w:rsid w:val="008F0982"/>
    <w:rsid w:val="008F1315"/>
    <w:rsid w:val="008F1D58"/>
    <w:rsid w:val="008F1D7A"/>
    <w:rsid w:val="008F264C"/>
    <w:rsid w:val="008F2701"/>
    <w:rsid w:val="008F33FE"/>
    <w:rsid w:val="008F3ABE"/>
    <w:rsid w:val="008F3ADB"/>
    <w:rsid w:val="008F3DF8"/>
    <w:rsid w:val="008F3EF6"/>
    <w:rsid w:val="008F46F6"/>
    <w:rsid w:val="008F4B2E"/>
    <w:rsid w:val="008F4E6C"/>
    <w:rsid w:val="008F592D"/>
    <w:rsid w:val="008F5D97"/>
    <w:rsid w:val="008F654D"/>
    <w:rsid w:val="008F68AD"/>
    <w:rsid w:val="008F6D12"/>
    <w:rsid w:val="00903564"/>
    <w:rsid w:val="009035D2"/>
    <w:rsid w:val="009038E5"/>
    <w:rsid w:val="00903C74"/>
    <w:rsid w:val="00903E11"/>
    <w:rsid w:val="00904313"/>
    <w:rsid w:val="0090494D"/>
    <w:rsid w:val="00904AEC"/>
    <w:rsid w:val="00905983"/>
    <w:rsid w:val="0090678E"/>
    <w:rsid w:val="0090680D"/>
    <w:rsid w:val="009069D9"/>
    <w:rsid w:val="00906E3E"/>
    <w:rsid w:val="0090794B"/>
    <w:rsid w:val="00907A0D"/>
    <w:rsid w:val="0091016F"/>
    <w:rsid w:val="009104C5"/>
    <w:rsid w:val="00910CF0"/>
    <w:rsid w:val="00911FD6"/>
    <w:rsid w:val="00912B3A"/>
    <w:rsid w:val="009141BE"/>
    <w:rsid w:val="009144F0"/>
    <w:rsid w:val="00914777"/>
    <w:rsid w:val="00914C5F"/>
    <w:rsid w:val="00915879"/>
    <w:rsid w:val="00915D6E"/>
    <w:rsid w:val="00915D78"/>
    <w:rsid w:val="009166D1"/>
    <w:rsid w:val="00916EA1"/>
    <w:rsid w:val="00917137"/>
    <w:rsid w:val="00917A07"/>
    <w:rsid w:val="0092021E"/>
    <w:rsid w:val="00920A98"/>
    <w:rsid w:val="00920C40"/>
    <w:rsid w:val="00921154"/>
    <w:rsid w:val="0092126F"/>
    <w:rsid w:val="009216A3"/>
    <w:rsid w:val="009220AC"/>
    <w:rsid w:val="009228B3"/>
    <w:rsid w:val="00922940"/>
    <w:rsid w:val="00923237"/>
    <w:rsid w:val="0092370D"/>
    <w:rsid w:val="0092372D"/>
    <w:rsid w:val="0092429E"/>
    <w:rsid w:val="0092440A"/>
    <w:rsid w:val="00924652"/>
    <w:rsid w:val="00924EB5"/>
    <w:rsid w:val="00925707"/>
    <w:rsid w:val="009269A4"/>
    <w:rsid w:val="009273AE"/>
    <w:rsid w:val="00927AEB"/>
    <w:rsid w:val="00927FBA"/>
    <w:rsid w:val="00930AED"/>
    <w:rsid w:val="00930ECD"/>
    <w:rsid w:val="00933E79"/>
    <w:rsid w:val="00934682"/>
    <w:rsid w:val="009346F3"/>
    <w:rsid w:val="00934A12"/>
    <w:rsid w:val="00935BDA"/>
    <w:rsid w:val="00935EAE"/>
    <w:rsid w:val="009365AF"/>
    <w:rsid w:val="009369C8"/>
    <w:rsid w:val="00937923"/>
    <w:rsid w:val="00940AA8"/>
    <w:rsid w:val="009411D6"/>
    <w:rsid w:val="009417D5"/>
    <w:rsid w:val="0094239F"/>
    <w:rsid w:val="00942C8A"/>
    <w:rsid w:val="00942DF6"/>
    <w:rsid w:val="00944413"/>
    <w:rsid w:val="0094473E"/>
    <w:rsid w:val="00944DB3"/>
    <w:rsid w:val="00944F6D"/>
    <w:rsid w:val="009452C7"/>
    <w:rsid w:val="00946146"/>
    <w:rsid w:val="00946460"/>
    <w:rsid w:val="009466A1"/>
    <w:rsid w:val="0094694D"/>
    <w:rsid w:val="00946A12"/>
    <w:rsid w:val="00946C9F"/>
    <w:rsid w:val="00946DEF"/>
    <w:rsid w:val="00947138"/>
    <w:rsid w:val="00947C85"/>
    <w:rsid w:val="00947F8C"/>
    <w:rsid w:val="0095039C"/>
    <w:rsid w:val="00950955"/>
    <w:rsid w:val="009510A2"/>
    <w:rsid w:val="00951314"/>
    <w:rsid w:val="00951A02"/>
    <w:rsid w:val="0095204B"/>
    <w:rsid w:val="0095227C"/>
    <w:rsid w:val="009523E2"/>
    <w:rsid w:val="00952D85"/>
    <w:rsid w:val="00952E7C"/>
    <w:rsid w:val="00953C9D"/>
    <w:rsid w:val="00953D07"/>
    <w:rsid w:val="00954676"/>
    <w:rsid w:val="00955377"/>
    <w:rsid w:val="00955B15"/>
    <w:rsid w:val="009561C4"/>
    <w:rsid w:val="009564C3"/>
    <w:rsid w:val="0095654E"/>
    <w:rsid w:val="00956A7D"/>
    <w:rsid w:val="00957116"/>
    <w:rsid w:val="0095718B"/>
    <w:rsid w:val="009572D2"/>
    <w:rsid w:val="009577E3"/>
    <w:rsid w:val="00960661"/>
    <w:rsid w:val="00960AED"/>
    <w:rsid w:val="00962B9C"/>
    <w:rsid w:val="00962E3D"/>
    <w:rsid w:val="00963294"/>
    <w:rsid w:val="0096330E"/>
    <w:rsid w:val="009638CA"/>
    <w:rsid w:val="00963F08"/>
    <w:rsid w:val="00963F60"/>
    <w:rsid w:val="0096448E"/>
    <w:rsid w:val="009646C8"/>
    <w:rsid w:val="00964E5A"/>
    <w:rsid w:val="00965519"/>
    <w:rsid w:val="00965ACA"/>
    <w:rsid w:val="00965B59"/>
    <w:rsid w:val="00966427"/>
    <w:rsid w:val="00967038"/>
    <w:rsid w:val="00967901"/>
    <w:rsid w:val="00970060"/>
    <w:rsid w:val="009701A1"/>
    <w:rsid w:val="009702AF"/>
    <w:rsid w:val="00970ACC"/>
    <w:rsid w:val="00970D49"/>
    <w:rsid w:val="00971E80"/>
    <w:rsid w:val="00972342"/>
    <w:rsid w:val="0097242F"/>
    <w:rsid w:val="00972C2B"/>
    <w:rsid w:val="00972EB7"/>
    <w:rsid w:val="00973156"/>
    <w:rsid w:val="00973C04"/>
    <w:rsid w:val="00974158"/>
    <w:rsid w:val="0097429F"/>
    <w:rsid w:val="00974515"/>
    <w:rsid w:val="00974DF7"/>
    <w:rsid w:val="009757B7"/>
    <w:rsid w:val="00976275"/>
    <w:rsid w:val="00977161"/>
    <w:rsid w:val="00977367"/>
    <w:rsid w:val="00977404"/>
    <w:rsid w:val="009777C2"/>
    <w:rsid w:val="00977B58"/>
    <w:rsid w:val="00977FFB"/>
    <w:rsid w:val="0098010A"/>
    <w:rsid w:val="00980733"/>
    <w:rsid w:val="00981220"/>
    <w:rsid w:val="009813D3"/>
    <w:rsid w:val="00981455"/>
    <w:rsid w:val="009814E1"/>
    <w:rsid w:val="00981C37"/>
    <w:rsid w:val="009821A8"/>
    <w:rsid w:val="009827D6"/>
    <w:rsid w:val="009829A4"/>
    <w:rsid w:val="00982AB5"/>
    <w:rsid w:val="00982E44"/>
    <w:rsid w:val="00983DE3"/>
    <w:rsid w:val="009848B2"/>
    <w:rsid w:val="009849E6"/>
    <w:rsid w:val="00984C5F"/>
    <w:rsid w:val="00984F1E"/>
    <w:rsid w:val="009858E1"/>
    <w:rsid w:val="00985C5E"/>
    <w:rsid w:val="009864A9"/>
    <w:rsid w:val="00986788"/>
    <w:rsid w:val="00986F26"/>
    <w:rsid w:val="0098746B"/>
    <w:rsid w:val="009876FA"/>
    <w:rsid w:val="00990340"/>
    <w:rsid w:val="00990A1F"/>
    <w:rsid w:val="00990A94"/>
    <w:rsid w:val="00990CB3"/>
    <w:rsid w:val="009911FF"/>
    <w:rsid w:val="009916C6"/>
    <w:rsid w:val="00991C0D"/>
    <w:rsid w:val="009925A9"/>
    <w:rsid w:val="009925BA"/>
    <w:rsid w:val="0099283D"/>
    <w:rsid w:val="00993D6D"/>
    <w:rsid w:val="0099473D"/>
    <w:rsid w:val="00994D48"/>
    <w:rsid w:val="00995102"/>
    <w:rsid w:val="00995309"/>
    <w:rsid w:val="009955B8"/>
    <w:rsid w:val="00995B73"/>
    <w:rsid w:val="00996585"/>
    <w:rsid w:val="009970D3"/>
    <w:rsid w:val="00997137"/>
    <w:rsid w:val="0099775F"/>
    <w:rsid w:val="009A07AB"/>
    <w:rsid w:val="009A0802"/>
    <w:rsid w:val="009A08DE"/>
    <w:rsid w:val="009A0953"/>
    <w:rsid w:val="009A0C2E"/>
    <w:rsid w:val="009A0DAF"/>
    <w:rsid w:val="009A1054"/>
    <w:rsid w:val="009A203F"/>
    <w:rsid w:val="009A2205"/>
    <w:rsid w:val="009A38F1"/>
    <w:rsid w:val="009A39CF"/>
    <w:rsid w:val="009A4538"/>
    <w:rsid w:val="009A4581"/>
    <w:rsid w:val="009A4A29"/>
    <w:rsid w:val="009A558E"/>
    <w:rsid w:val="009A56AA"/>
    <w:rsid w:val="009A73E3"/>
    <w:rsid w:val="009A7812"/>
    <w:rsid w:val="009A7C27"/>
    <w:rsid w:val="009B07E8"/>
    <w:rsid w:val="009B0BF8"/>
    <w:rsid w:val="009B3D1E"/>
    <w:rsid w:val="009B4101"/>
    <w:rsid w:val="009B44C8"/>
    <w:rsid w:val="009B5138"/>
    <w:rsid w:val="009B55CF"/>
    <w:rsid w:val="009B562C"/>
    <w:rsid w:val="009B604F"/>
    <w:rsid w:val="009B6211"/>
    <w:rsid w:val="009B73F7"/>
    <w:rsid w:val="009B7472"/>
    <w:rsid w:val="009B74B8"/>
    <w:rsid w:val="009B7839"/>
    <w:rsid w:val="009B7AB5"/>
    <w:rsid w:val="009C0112"/>
    <w:rsid w:val="009C0511"/>
    <w:rsid w:val="009C0B05"/>
    <w:rsid w:val="009C0B3C"/>
    <w:rsid w:val="009C0DB1"/>
    <w:rsid w:val="009C1324"/>
    <w:rsid w:val="009C4031"/>
    <w:rsid w:val="009C403D"/>
    <w:rsid w:val="009C4A26"/>
    <w:rsid w:val="009C4AF9"/>
    <w:rsid w:val="009C4BD5"/>
    <w:rsid w:val="009C7198"/>
    <w:rsid w:val="009C7894"/>
    <w:rsid w:val="009D0305"/>
    <w:rsid w:val="009D0E42"/>
    <w:rsid w:val="009D11DA"/>
    <w:rsid w:val="009D1A1B"/>
    <w:rsid w:val="009D1BD5"/>
    <w:rsid w:val="009D1E73"/>
    <w:rsid w:val="009D2449"/>
    <w:rsid w:val="009D275E"/>
    <w:rsid w:val="009D2A49"/>
    <w:rsid w:val="009D2E6B"/>
    <w:rsid w:val="009D3F90"/>
    <w:rsid w:val="009D43CA"/>
    <w:rsid w:val="009D4717"/>
    <w:rsid w:val="009D48EC"/>
    <w:rsid w:val="009D51C5"/>
    <w:rsid w:val="009D5823"/>
    <w:rsid w:val="009D654D"/>
    <w:rsid w:val="009D7220"/>
    <w:rsid w:val="009D7440"/>
    <w:rsid w:val="009D748C"/>
    <w:rsid w:val="009D771D"/>
    <w:rsid w:val="009D7F82"/>
    <w:rsid w:val="009E12B0"/>
    <w:rsid w:val="009E1601"/>
    <w:rsid w:val="009E1DDA"/>
    <w:rsid w:val="009E49C4"/>
    <w:rsid w:val="009E4FF4"/>
    <w:rsid w:val="009E682F"/>
    <w:rsid w:val="009F09C2"/>
    <w:rsid w:val="009F0AB8"/>
    <w:rsid w:val="009F0D0E"/>
    <w:rsid w:val="009F0E0A"/>
    <w:rsid w:val="009F24F3"/>
    <w:rsid w:val="009F291E"/>
    <w:rsid w:val="009F316A"/>
    <w:rsid w:val="009F3D98"/>
    <w:rsid w:val="009F5E70"/>
    <w:rsid w:val="009F6117"/>
    <w:rsid w:val="009F6E0F"/>
    <w:rsid w:val="009F7117"/>
    <w:rsid w:val="009F73EA"/>
    <w:rsid w:val="009F797F"/>
    <w:rsid w:val="009F7DBD"/>
    <w:rsid w:val="00A004F4"/>
    <w:rsid w:val="00A0204A"/>
    <w:rsid w:val="00A02128"/>
    <w:rsid w:val="00A02246"/>
    <w:rsid w:val="00A023D8"/>
    <w:rsid w:val="00A02F83"/>
    <w:rsid w:val="00A03ECA"/>
    <w:rsid w:val="00A0443B"/>
    <w:rsid w:val="00A045D7"/>
    <w:rsid w:val="00A04686"/>
    <w:rsid w:val="00A05690"/>
    <w:rsid w:val="00A056EC"/>
    <w:rsid w:val="00A05CCA"/>
    <w:rsid w:val="00A05D5F"/>
    <w:rsid w:val="00A06AD2"/>
    <w:rsid w:val="00A06AE9"/>
    <w:rsid w:val="00A06D80"/>
    <w:rsid w:val="00A077E3"/>
    <w:rsid w:val="00A07EE0"/>
    <w:rsid w:val="00A100CD"/>
    <w:rsid w:val="00A10A4D"/>
    <w:rsid w:val="00A11329"/>
    <w:rsid w:val="00A12AFF"/>
    <w:rsid w:val="00A12F80"/>
    <w:rsid w:val="00A1346C"/>
    <w:rsid w:val="00A138C3"/>
    <w:rsid w:val="00A1393E"/>
    <w:rsid w:val="00A13F15"/>
    <w:rsid w:val="00A140F4"/>
    <w:rsid w:val="00A15DB6"/>
    <w:rsid w:val="00A16A13"/>
    <w:rsid w:val="00A1745C"/>
    <w:rsid w:val="00A2019B"/>
    <w:rsid w:val="00A20283"/>
    <w:rsid w:val="00A21018"/>
    <w:rsid w:val="00A213E8"/>
    <w:rsid w:val="00A21D44"/>
    <w:rsid w:val="00A21E47"/>
    <w:rsid w:val="00A2226E"/>
    <w:rsid w:val="00A22284"/>
    <w:rsid w:val="00A2299F"/>
    <w:rsid w:val="00A242A0"/>
    <w:rsid w:val="00A25449"/>
    <w:rsid w:val="00A26029"/>
    <w:rsid w:val="00A2679D"/>
    <w:rsid w:val="00A26961"/>
    <w:rsid w:val="00A269CE"/>
    <w:rsid w:val="00A26D81"/>
    <w:rsid w:val="00A302A1"/>
    <w:rsid w:val="00A303F8"/>
    <w:rsid w:val="00A30D0F"/>
    <w:rsid w:val="00A30E7F"/>
    <w:rsid w:val="00A31763"/>
    <w:rsid w:val="00A318D9"/>
    <w:rsid w:val="00A31A38"/>
    <w:rsid w:val="00A31D8C"/>
    <w:rsid w:val="00A33B83"/>
    <w:rsid w:val="00A33CC4"/>
    <w:rsid w:val="00A34245"/>
    <w:rsid w:val="00A34318"/>
    <w:rsid w:val="00A34773"/>
    <w:rsid w:val="00A35BDC"/>
    <w:rsid w:val="00A35F80"/>
    <w:rsid w:val="00A3621A"/>
    <w:rsid w:val="00A36A85"/>
    <w:rsid w:val="00A37330"/>
    <w:rsid w:val="00A40246"/>
    <w:rsid w:val="00A40A89"/>
    <w:rsid w:val="00A40CC7"/>
    <w:rsid w:val="00A41205"/>
    <w:rsid w:val="00A41E2B"/>
    <w:rsid w:val="00A41EDA"/>
    <w:rsid w:val="00A4212B"/>
    <w:rsid w:val="00A427AA"/>
    <w:rsid w:val="00A42DE2"/>
    <w:rsid w:val="00A4393D"/>
    <w:rsid w:val="00A43CBC"/>
    <w:rsid w:val="00A44C50"/>
    <w:rsid w:val="00A44C9E"/>
    <w:rsid w:val="00A44EC5"/>
    <w:rsid w:val="00A45A68"/>
    <w:rsid w:val="00A46341"/>
    <w:rsid w:val="00A4656D"/>
    <w:rsid w:val="00A503C8"/>
    <w:rsid w:val="00A505D7"/>
    <w:rsid w:val="00A51EFF"/>
    <w:rsid w:val="00A526E8"/>
    <w:rsid w:val="00A52E7C"/>
    <w:rsid w:val="00A530C5"/>
    <w:rsid w:val="00A53831"/>
    <w:rsid w:val="00A53DAB"/>
    <w:rsid w:val="00A540DF"/>
    <w:rsid w:val="00A54921"/>
    <w:rsid w:val="00A54ACC"/>
    <w:rsid w:val="00A54BBD"/>
    <w:rsid w:val="00A55166"/>
    <w:rsid w:val="00A5524F"/>
    <w:rsid w:val="00A5576A"/>
    <w:rsid w:val="00A55D7C"/>
    <w:rsid w:val="00A56720"/>
    <w:rsid w:val="00A57422"/>
    <w:rsid w:val="00A574B8"/>
    <w:rsid w:val="00A5778C"/>
    <w:rsid w:val="00A57ACC"/>
    <w:rsid w:val="00A6075E"/>
    <w:rsid w:val="00A61252"/>
    <w:rsid w:val="00A62146"/>
    <w:rsid w:val="00A624C8"/>
    <w:rsid w:val="00A63AB7"/>
    <w:rsid w:val="00A64E35"/>
    <w:rsid w:val="00A657A6"/>
    <w:rsid w:val="00A65899"/>
    <w:rsid w:val="00A66014"/>
    <w:rsid w:val="00A6640D"/>
    <w:rsid w:val="00A6702B"/>
    <w:rsid w:val="00A6739C"/>
    <w:rsid w:val="00A718BF"/>
    <w:rsid w:val="00A71AB2"/>
    <w:rsid w:val="00A71BCB"/>
    <w:rsid w:val="00A72601"/>
    <w:rsid w:val="00A72B69"/>
    <w:rsid w:val="00A7329A"/>
    <w:rsid w:val="00A73415"/>
    <w:rsid w:val="00A7389D"/>
    <w:rsid w:val="00A75F52"/>
    <w:rsid w:val="00A75F95"/>
    <w:rsid w:val="00A76C64"/>
    <w:rsid w:val="00A77446"/>
    <w:rsid w:val="00A77615"/>
    <w:rsid w:val="00A804CD"/>
    <w:rsid w:val="00A80B52"/>
    <w:rsid w:val="00A820D4"/>
    <w:rsid w:val="00A82BC8"/>
    <w:rsid w:val="00A82F48"/>
    <w:rsid w:val="00A82FB9"/>
    <w:rsid w:val="00A833D3"/>
    <w:rsid w:val="00A83614"/>
    <w:rsid w:val="00A83627"/>
    <w:rsid w:val="00A83FE1"/>
    <w:rsid w:val="00A84249"/>
    <w:rsid w:val="00A85DF1"/>
    <w:rsid w:val="00A8661B"/>
    <w:rsid w:val="00A86F5C"/>
    <w:rsid w:val="00A87408"/>
    <w:rsid w:val="00A87AAD"/>
    <w:rsid w:val="00A906B4"/>
    <w:rsid w:val="00A91246"/>
    <w:rsid w:val="00A91353"/>
    <w:rsid w:val="00A921BA"/>
    <w:rsid w:val="00A927EA"/>
    <w:rsid w:val="00A928CA"/>
    <w:rsid w:val="00A92C4F"/>
    <w:rsid w:val="00A932EC"/>
    <w:rsid w:val="00A93392"/>
    <w:rsid w:val="00A941B8"/>
    <w:rsid w:val="00A95226"/>
    <w:rsid w:val="00A96E7E"/>
    <w:rsid w:val="00A9796E"/>
    <w:rsid w:val="00A97B0C"/>
    <w:rsid w:val="00AA04B4"/>
    <w:rsid w:val="00AA06DE"/>
    <w:rsid w:val="00AA1191"/>
    <w:rsid w:val="00AA15F7"/>
    <w:rsid w:val="00AA2C33"/>
    <w:rsid w:val="00AA373A"/>
    <w:rsid w:val="00AA38FA"/>
    <w:rsid w:val="00AA4596"/>
    <w:rsid w:val="00AA5203"/>
    <w:rsid w:val="00AA5912"/>
    <w:rsid w:val="00AA6398"/>
    <w:rsid w:val="00AA6D6A"/>
    <w:rsid w:val="00AA741D"/>
    <w:rsid w:val="00AA7D80"/>
    <w:rsid w:val="00AA7D8C"/>
    <w:rsid w:val="00AB04A4"/>
    <w:rsid w:val="00AB04E8"/>
    <w:rsid w:val="00AB061E"/>
    <w:rsid w:val="00AB0AA1"/>
    <w:rsid w:val="00AB253E"/>
    <w:rsid w:val="00AB2876"/>
    <w:rsid w:val="00AB3E26"/>
    <w:rsid w:val="00AB4704"/>
    <w:rsid w:val="00AB49BC"/>
    <w:rsid w:val="00AB4B71"/>
    <w:rsid w:val="00AB4BE6"/>
    <w:rsid w:val="00AB4C4A"/>
    <w:rsid w:val="00AB57C6"/>
    <w:rsid w:val="00AB60EA"/>
    <w:rsid w:val="00AB6160"/>
    <w:rsid w:val="00AB6417"/>
    <w:rsid w:val="00AB6648"/>
    <w:rsid w:val="00AB707C"/>
    <w:rsid w:val="00AB7128"/>
    <w:rsid w:val="00AB7A9C"/>
    <w:rsid w:val="00AC0DF5"/>
    <w:rsid w:val="00AC17BC"/>
    <w:rsid w:val="00AC2311"/>
    <w:rsid w:val="00AC2677"/>
    <w:rsid w:val="00AC2B04"/>
    <w:rsid w:val="00AC3118"/>
    <w:rsid w:val="00AC32D5"/>
    <w:rsid w:val="00AC34BF"/>
    <w:rsid w:val="00AC3911"/>
    <w:rsid w:val="00AC3A74"/>
    <w:rsid w:val="00AC3DB9"/>
    <w:rsid w:val="00AC3E1A"/>
    <w:rsid w:val="00AC5962"/>
    <w:rsid w:val="00AC5F30"/>
    <w:rsid w:val="00AC643B"/>
    <w:rsid w:val="00AC69A9"/>
    <w:rsid w:val="00AC6EDC"/>
    <w:rsid w:val="00AC6F17"/>
    <w:rsid w:val="00AC78F4"/>
    <w:rsid w:val="00AD0BA3"/>
    <w:rsid w:val="00AD0D3D"/>
    <w:rsid w:val="00AD0DD2"/>
    <w:rsid w:val="00AD1357"/>
    <w:rsid w:val="00AD13EF"/>
    <w:rsid w:val="00AD15DD"/>
    <w:rsid w:val="00AD21B2"/>
    <w:rsid w:val="00AD2425"/>
    <w:rsid w:val="00AD27FD"/>
    <w:rsid w:val="00AD2855"/>
    <w:rsid w:val="00AD285A"/>
    <w:rsid w:val="00AD2BFF"/>
    <w:rsid w:val="00AD321D"/>
    <w:rsid w:val="00AD34C5"/>
    <w:rsid w:val="00AD371A"/>
    <w:rsid w:val="00AD41C5"/>
    <w:rsid w:val="00AD46EF"/>
    <w:rsid w:val="00AD4FFF"/>
    <w:rsid w:val="00AD6C59"/>
    <w:rsid w:val="00AD70BE"/>
    <w:rsid w:val="00AD7430"/>
    <w:rsid w:val="00AD7F1B"/>
    <w:rsid w:val="00AE0F14"/>
    <w:rsid w:val="00AE0F99"/>
    <w:rsid w:val="00AE1056"/>
    <w:rsid w:val="00AE14F2"/>
    <w:rsid w:val="00AE1B31"/>
    <w:rsid w:val="00AE30D3"/>
    <w:rsid w:val="00AE4197"/>
    <w:rsid w:val="00AE452D"/>
    <w:rsid w:val="00AE4938"/>
    <w:rsid w:val="00AE4F8D"/>
    <w:rsid w:val="00AE51EC"/>
    <w:rsid w:val="00AE58C8"/>
    <w:rsid w:val="00AE7A05"/>
    <w:rsid w:val="00AF0545"/>
    <w:rsid w:val="00AF065E"/>
    <w:rsid w:val="00AF07E6"/>
    <w:rsid w:val="00AF145F"/>
    <w:rsid w:val="00AF1AC0"/>
    <w:rsid w:val="00AF20EB"/>
    <w:rsid w:val="00AF242A"/>
    <w:rsid w:val="00AF2E49"/>
    <w:rsid w:val="00AF3B3A"/>
    <w:rsid w:val="00AF3F14"/>
    <w:rsid w:val="00AF4066"/>
    <w:rsid w:val="00AF484A"/>
    <w:rsid w:val="00AF4E62"/>
    <w:rsid w:val="00AF4FEF"/>
    <w:rsid w:val="00AF6479"/>
    <w:rsid w:val="00AF64D7"/>
    <w:rsid w:val="00AF6A04"/>
    <w:rsid w:val="00AF6C5C"/>
    <w:rsid w:val="00AF7E09"/>
    <w:rsid w:val="00B014C5"/>
    <w:rsid w:val="00B01B03"/>
    <w:rsid w:val="00B033E6"/>
    <w:rsid w:val="00B0341A"/>
    <w:rsid w:val="00B03725"/>
    <w:rsid w:val="00B0375A"/>
    <w:rsid w:val="00B03B1C"/>
    <w:rsid w:val="00B03F79"/>
    <w:rsid w:val="00B0402D"/>
    <w:rsid w:val="00B04202"/>
    <w:rsid w:val="00B0448D"/>
    <w:rsid w:val="00B048C8"/>
    <w:rsid w:val="00B05340"/>
    <w:rsid w:val="00B05D8B"/>
    <w:rsid w:val="00B05EB6"/>
    <w:rsid w:val="00B0615C"/>
    <w:rsid w:val="00B06645"/>
    <w:rsid w:val="00B06BD9"/>
    <w:rsid w:val="00B07702"/>
    <w:rsid w:val="00B078E3"/>
    <w:rsid w:val="00B07BC7"/>
    <w:rsid w:val="00B10487"/>
    <w:rsid w:val="00B10EF9"/>
    <w:rsid w:val="00B12CF1"/>
    <w:rsid w:val="00B13072"/>
    <w:rsid w:val="00B134B8"/>
    <w:rsid w:val="00B13551"/>
    <w:rsid w:val="00B13D09"/>
    <w:rsid w:val="00B13DC8"/>
    <w:rsid w:val="00B13F09"/>
    <w:rsid w:val="00B15112"/>
    <w:rsid w:val="00B15AE2"/>
    <w:rsid w:val="00B16013"/>
    <w:rsid w:val="00B16652"/>
    <w:rsid w:val="00B16F67"/>
    <w:rsid w:val="00B1754A"/>
    <w:rsid w:val="00B207EC"/>
    <w:rsid w:val="00B2099E"/>
    <w:rsid w:val="00B21052"/>
    <w:rsid w:val="00B21095"/>
    <w:rsid w:val="00B21198"/>
    <w:rsid w:val="00B215CB"/>
    <w:rsid w:val="00B2196E"/>
    <w:rsid w:val="00B22633"/>
    <w:rsid w:val="00B227B5"/>
    <w:rsid w:val="00B22EF1"/>
    <w:rsid w:val="00B23529"/>
    <w:rsid w:val="00B23F9A"/>
    <w:rsid w:val="00B24052"/>
    <w:rsid w:val="00B2405D"/>
    <w:rsid w:val="00B241FF"/>
    <w:rsid w:val="00B24593"/>
    <w:rsid w:val="00B24EE7"/>
    <w:rsid w:val="00B257C0"/>
    <w:rsid w:val="00B25FF3"/>
    <w:rsid w:val="00B262DF"/>
    <w:rsid w:val="00B26A0C"/>
    <w:rsid w:val="00B270AF"/>
    <w:rsid w:val="00B2768C"/>
    <w:rsid w:val="00B279F2"/>
    <w:rsid w:val="00B27CC3"/>
    <w:rsid w:val="00B306C7"/>
    <w:rsid w:val="00B31783"/>
    <w:rsid w:val="00B3185B"/>
    <w:rsid w:val="00B318F0"/>
    <w:rsid w:val="00B31D3B"/>
    <w:rsid w:val="00B32FFE"/>
    <w:rsid w:val="00B33300"/>
    <w:rsid w:val="00B338E4"/>
    <w:rsid w:val="00B34BFF"/>
    <w:rsid w:val="00B34D88"/>
    <w:rsid w:val="00B35354"/>
    <w:rsid w:val="00B35EFA"/>
    <w:rsid w:val="00B35FBF"/>
    <w:rsid w:val="00B36539"/>
    <w:rsid w:val="00B371FF"/>
    <w:rsid w:val="00B376EC"/>
    <w:rsid w:val="00B379B8"/>
    <w:rsid w:val="00B41636"/>
    <w:rsid w:val="00B41BBD"/>
    <w:rsid w:val="00B41DEF"/>
    <w:rsid w:val="00B41F41"/>
    <w:rsid w:val="00B421DD"/>
    <w:rsid w:val="00B423AC"/>
    <w:rsid w:val="00B4322C"/>
    <w:rsid w:val="00B44910"/>
    <w:rsid w:val="00B450FF"/>
    <w:rsid w:val="00B455FB"/>
    <w:rsid w:val="00B45CBA"/>
    <w:rsid w:val="00B46956"/>
    <w:rsid w:val="00B46FCC"/>
    <w:rsid w:val="00B47A15"/>
    <w:rsid w:val="00B47A30"/>
    <w:rsid w:val="00B47B3A"/>
    <w:rsid w:val="00B506D2"/>
    <w:rsid w:val="00B50859"/>
    <w:rsid w:val="00B5120C"/>
    <w:rsid w:val="00B51C37"/>
    <w:rsid w:val="00B521B9"/>
    <w:rsid w:val="00B5232D"/>
    <w:rsid w:val="00B523DD"/>
    <w:rsid w:val="00B526D2"/>
    <w:rsid w:val="00B52E5B"/>
    <w:rsid w:val="00B535A5"/>
    <w:rsid w:val="00B5476A"/>
    <w:rsid w:val="00B54CB5"/>
    <w:rsid w:val="00B552A3"/>
    <w:rsid w:val="00B55A9C"/>
    <w:rsid w:val="00B55AB1"/>
    <w:rsid w:val="00B55E4A"/>
    <w:rsid w:val="00B565D7"/>
    <w:rsid w:val="00B566D4"/>
    <w:rsid w:val="00B56A5A"/>
    <w:rsid w:val="00B5727C"/>
    <w:rsid w:val="00B57E19"/>
    <w:rsid w:val="00B607FC"/>
    <w:rsid w:val="00B60EBE"/>
    <w:rsid w:val="00B61218"/>
    <w:rsid w:val="00B614AE"/>
    <w:rsid w:val="00B61745"/>
    <w:rsid w:val="00B61F23"/>
    <w:rsid w:val="00B621C1"/>
    <w:rsid w:val="00B62422"/>
    <w:rsid w:val="00B633DA"/>
    <w:rsid w:val="00B63787"/>
    <w:rsid w:val="00B63E71"/>
    <w:rsid w:val="00B64413"/>
    <w:rsid w:val="00B648E6"/>
    <w:rsid w:val="00B6518E"/>
    <w:rsid w:val="00B6586D"/>
    <w:rsid w:val="00B65DCA"/>
    <w:rsid w:val="00B66009"/>
    <w:rsid w:val="00B66897"/>
    <w:rsid w:val="00B669A9"/>
    <w:rsid w:val="00B67264"/>
    <w:rsid w:val="00B67AC6"/>
    <w:rsid w:val="00B7074E"/>
    <w:rsid w:val="00B708B8"/>
    <w:rsid w:val="00B70A75"/>
    <w:rsid w:val="00B70D48"/>
    <w:rsid w:val="00B70FCC"/>
    <w:rsid w:val="00B71751"/>
    <w:rsid w:val="00B71BAD"/>
    <w:rsid w:val="00B7215F"/>
    <w:rsid w:val="00B73019"/>
    <w:rsid w:val="00B73464"/>
    <w:rsid w:val="00B73854"/>
    <w:rsid w:val="00B73D5D"/>
    <w:rsid w:val="00B742C4"/>
    <w:rsid w:val="00B74639"/>
    <w:rsid w:val="00B75378"/>
    <w:rsid w:val="00B768AA"/>
    <w:rsid w:val="00B76C02"/>
    <w:rsid w:val="00B77877"/>
    <w:rsid w:val="00B8015B"/>
    <w:rsid w:val="00B80F3B"/>
    <w:rsid w:val="00B811FB"/>
    <w:rsid w:val="00B81459"/>
    <w:rsid w:val="00B82651"/>
    <w:rsid w:val="00B82F0A"/>
    <w:rsid w:val="00B844AC"/>
    <w:rsid w:val="00B8471B"/>
    <w:rsid w:val="00B849E9"/>
    <w:rsid w:val="00B85665"/>
    <w:rsid w:val="00B85DD3"/>
    <w:rsid w:val="00B871D8"/>
    <w:rsid w:val="00B877C8"/>
    <w:rsid w:val="00B87B16"/>
    <w:rsid w:val="00B87EB3"/>
    <w:rsid w:val="00B9023F"/>
    <w:rsid w:val="00B903B3"/>
    <w:rsid w:val="00B90A6E"/>
    <w:rsid w:val="00B90C31"/>
    <w:rsid w:val="00B91071"/>
    <w:rsid w:val="00B919FB"/>
    <w:rsid w:val="00B91D9B"/>
    <w:rsid w:val="00B91E3B"/>
    <w:rsid w:val="00B921E0"/>
    <w:rsid w:val="00B92656"/>
    <w:rsid w:val="00B9267E"/>
    <w:rsid w:val="00B928B3"/>
    <w:rsid w:val="00B928C8"/>
    <w:rsid w:val="00B929AF"/>
    <w:rsid w:val="00B92D71"/>
    <w:rsid w:val="00B93B0F"/>
    <w:rsid w:val="00B93EE0"/>
    <w:rsid w:val="00B961B4"/>
    <w:rsid w:val="00B975A1"/>
    <w:rsid w:val="00B97DF2"/>
    <w:rsid w:val="00BA02C3"/>
    <w:rsid w:val="00BA05C5"/>
    <w:rsid w:val="00BA09B7"/>
    <w:rsid w:val="00BA09C1"/>
    <w:rsid w:val="00BA0AB7"/>
    <w:rsid w:val="00BA0CD8"/>
    <w:rsid w:val="00BA14F8"/>
    <w:rsid w:val="00BA18FA"/>
    <w:rsid w:val="00BA1AB8"/>
    <w:rsid w:val="00BA2080"/>
    <w:rsid w:val="00BA223D"/>
    <w:rsid w:val="00BA28F9"/>
    <w:rsid w:val="00BA2C9B"/>
    <w:rsid w:val="00BA3105"/>
    <w:rsid w:val="00BA3431"/>
    <w:rsid w:val="00BA5534"/>
    <w:rsid w:val="00BA5ADB"/>
    <w:rsid w:val="00BA62A9"/>
    <w:rsid w:val="00BA6E58"/>
    <w:rsid w:val="00BA71FD"/>
    <w:rsid w:val="00BA7339"/>
    <w:rsid w:val="00BA73AE"/>
    <w:rsid w:val="00BA7518"/>
    <w:rsid w:val="00BA7D84"/>
    <w:rsid w:val="00BB03FC"/>
    <w:rsid w:val="00BB0400"/>
    <w:rsid w:val="00BB08C6"/>
    <w:rsid w:val="00BB15C8"/>
    <w:rsid w:val="00BB16DE"/>
    <w:rsid w:val="00BB17A4"/>
    <w:rsid w:val="00BB22B1"/>
    <w:rsid w:val="00BB2A67"/>
    <w:rsid w:val="00BB35A7"/>
    <w:rsid w:val="00BB393A"/>
    <w:rsid w:val="00BB3C6E"/>
    <w:rsid w:val="00BB3E02"/>
    <w:rsid w:val="00BB448E"/>
    <w:rsid w:val="00BB44FB"/>
    <w:rsid w:val="00BB4FEF"/>
    <w:rsid w:val="00BB523C"/>
    <w:rsid w:val="00BB554D"/>
    <w:rsid w:val="00BB59F9"/>
    <w:rsid w:val="00BB5F22"/>
    <w:rsid w:val="00BB6C81"/>
    <w:rsid w:val="00BB714C"/>
    <w:rsid w:val="00BB7AFC"/>
    <w:rsid w:val="00BC08FD"/>
    <w:rsid w:val="00BC1178"/>
    <w:rsid w:val="00BC1D86"/>
    <w:rsid w:val="00BC2A71"/>
    <w:rsid w:val="00BC2FFD"/>
    <w:rsid w:val="00BC33DB"/>
    <w:rsid w:val="00BC38FC"/>
    <w:rsid w:val="00BC5246"/>
    <w:rsid w:val="00BC5768"/>
    <w:rsid w:val="00BC5DCF"/>
    <w:rsid w:val="00BC6539"/>
    <w:rsid w:val="00BC6B8B"/>
    <w:rsid w:val="00BD0E01"/>
    <w:rsid w:val="00BD2A79"/>
    <w:rsid w:val="00BD3944"/>
    <w:rsid w:val="00BD3C96"/>
    <w:rsid w:val="00BD418E"/>
    <w:rsid w:val="00BD43A0"/>
    <w:rsid w:val="00BD4A1F"/>
    <w:rsid w:val="00BD527D"/>
    <w:rsid w:val="00BD6A76"/>
    <w:rsid w:val="00BD6B6E"/>
    <w:rsid w:val="00BD6DA4"/>
    <w:rsid w:val="00BD6E4A"/>
    <w:rsid w:val="00BD7052"/>
    <w:rsid w:val="00BE07BD"/>
    <w:rsid w:val="00BE09DE"/>
    <w:rsid w:val="00BE0E2E"/>
    <w:rsid w:val="00BE23EF"/>
    <w:rsid w:val="00BE4324"/>
    <w:rsid w:val="00BE45FA"/>
    <w:rsid w:val="00BE5754"/>
    <w:rsid w:val="00BE6483"/>
    <w:rsid w:val="00BE70CA"/>
    <w:rsid w:val="00BE769A"/>
    <w:rsid w:val="00BE76CC"/>
    <w:rsid w:val="00BF006C"/>
    <w:rsid w:val="00BF0256"/>
    <w:rsid w:val="00BF0D3D"/>
    <w:rsid w:val="00BF1CBE"/>
    <w:rsid w:val="00BF21E0"/>
    <w:rsid w:val="00BF259D"/>
    <w:rsid w:val="00BF289F"/>
    <w:rsid w:val="00BF294B"/>
    <w:rsid w:val="00BF3177"/>
    <w:rsid w:val="00BF319D"/>
    <w:rsid w:val="00BF3381"/>
    <w:rsid w:val="00BF3638"/>
    <w:rsid w:val="00BF38DB"/>
    <w:rsid w:val="00BF3C54"/>
    <w:rsid w:val="00BF40CE"/>
    <w:rsid w:val="00BF4748"/>
    <w:rsid w:val="00BF4A35"/>
    <w:rsid w:val="00BF4B53"/>
    <w:rsid w:val="00BF5970"/>
    <w:rsid w:val="00BF5AA5"/>
    <w:rsid w:val="00BF5BB3"/>
    <w:rsid w:val="00BF5FD7"/>
    <w:rsid w:val="00BF7338"/>
    <w:rsid w:val="00BF7C8E"/>
    <w:rsid w:val="00C008C0"/>
    <w:rsid w:val="00C00CD3"/>
    <w:rsid w:val="00C00E9F"/>
    <w:rsid w:val="00C0104B"/>
    <w:rsid w:val="00C013E3"/>
    <w:rsid w:val="00C015A7"/>
    <w:rsid w:val="00C02745"/>
    <w:rsid w:val="00C02A6D"/>
    <w:rsid w:val="00C02B7A"/>
    <w:rsid w:val="00C02CC8"/>
    <w:rsid w:val="00C034A4"/>
    <w:rsid w:val="00C06627"/>
    <w:rsid w:val="00C06809"/>
    <w:rsid w:val="00C069D2"/>
    <w:rsid w:val="00C07052"/>
    <w:rsid w:val="00C07908"/>
    <w:rsid w:val="00C10021"/>
    <w:rsid w:val="00C10B32"/>
    <w:rsid w:val="00C11145"/>
    <w:rsid w:val="00C115EC"/>
    <w:rsid w:val="00C11AE7"/>
    <w:rsid w:val="00C13DFB"/>
    <w:rsid w:val="00C13E58"/>
    <w:rsid w:val="00C13E5D"/>
    <w:rsid w:val="00C14B41"/>
    <w:rsid w:val="00C152F0"/>
    <w:rsid w:val="00C1569C"/>
    <w:rsid w:val="00C157AC"/>
    <w:rsid w:val="00C15C39"/>
    <w:rsid w:val="00C16237"/>
    <w:rsid w:val="00C1682A"/>
    <w:rsid w:val="00C1698B"/>
    <w:rsid w:val="00C16DC6"/>
    <w:rsid w:val="00C1720E"/>
    <w:rsid w:val="00C17651"/>
    <w:rsid w:val="00C1795A"/>
    <w:rsid w:val="00C201F2"/>
    <w:rsid w:val="00C20434"/>
    <w:rsid w:val="00C212FA"/>
    <w:rsid w:val="00C21311"/>
    <w:rsid w:val="00C21527"/>
    <w:rsid w:val="00C21773"/>
    <w:rsid w:val="00C21CCF"/>
    <w:rsid w:val="00C239CF"/>
    <w:rsid w:val="00C23AA9"/>
    <w:rsid w:val="00C24146"/>
    <w:rsid w:val="00C242BB"/>
    <w:rsid w:val="00C24C66"/>
    <w:rsid w:val="00C24F5D"/>
    <w:rsid w:val="00C25345"/>
    <w:rsid w:val="00C25B3D"/>
    <w:rsid w:val="00C25B89"/>
    <w:rsid w:val="00C25DEA"/>
    <w:rsid w:val="00C25FAC"/>
    <w:rsid w:val="00C30678"/>
    <w:rsid w:val="00C30913"/>
    <w:rsid w:val="00C30EF3"/>
    <w:rsid w:val="00C311A1"/>
    <w:rsid w:val="00C3138F"/>
    <w:rsid w:val="00C31745"/>
    <w:rsid w:val="00C317C7"/>
    <w:rsid w:val="00C318A3"/>
    <w:rsid w:val="00C322F2"/>
    <w:rsid w:val="00C32C12"/>
    <w:rsid w:val="00C32D35"/>
    <w:rsid w:val="00C33015"/>
    <w:rsid w:val="00C3362B"/>
    <w:rsid w:val="00C336F7"/>
    <w:rsid w:val="00C33FE0"/>
    <w:rsid w:val="00C3416D"/>
    <w:rsid w:val="00C35175"/>
    <w:rsid w:val="00C36079"/>
    <w:rsid w:val="00C36792"/>
    <w:rsid w:val="00C374E6"/>
    <w:rsid w:val="00C4026D"/>
    <w:rsid w:val="00C407C7"/>
    <w:rsid w:val="00C40942"/>
    <w:rsid w:val="00C40FAD"/>
    <w:rsid w:val="00C41E6B"/>
    <w:rsid w:val="00C42293"/>
    <w:rsid w:val="00C426D1"/>
    <w:rsid w:val="00C43721"/>
    <w:rsid w:val="00C438F6"/>
    <w:rsid w:val="00C43D52"/>
    <w:rsid w:val="00C43DB1"/>
    <w:rsid w:val="00C4445F"/>
    <w:rsid w:val="00C449F1"/>
    <w:rsid w:val="00C44AB8"/>
    <w:rsid w:val="00C462B3"/>
    <w:rsid w:val="00C46827"/>
    <w:rsid w:val="00C4688B"/>
    <w:rsid w:val="00C469F6"/>
    <w:rsid w:val="00C471DE"/>
    <w:rsid w:val="00C473EA"/>
    <w:rsid w:val="00C473F9"/>
    <w:rsid w:val="00C5066A"/>
    <w:rsid w:val="00C50E9B"/>
    <w:rsid w:val="00C5247F"/>
    <w:rsid w:val="00C5278A"/>
    <w:rsid w:val="00C52848"/>
    <w:rsid w:val="00C5397F"/>
    <w:rsid w:val="00C54CC6"/>
    <w:rsid w:val="00C54F09"/>
    <w:rsid w:val="00C5566A"/>
    <w:rsid w:val="00C55B92"/>
    <w:rsid w:val="00C55BC1"/>
    <w:rsid w:val="00C57271"/>
    <w:rsid w:val="00C57649"/>
    <w:rsid w:val="00C60910"/>
    <w:rsid w:val="00C60C99"/>
    <w:rsid w:val="00C60DA0"/>
    <w:rsid w:val="00C61834"/>
    <w:rsid w:val="00C61CA3"/>
    <w:rsid w:val="00C61F8A"/>
    <w:rsid w:val="00C620DE"/>
    <w:rsid w:val="00C6210A"/>
    <w:rsid w:val="00C62862"/>
    <w:rsid w:val="00C628A3"/>
    <w:rsid w:val="00C62A45"/>
    <w:rsid w:val="00C632B5"/>
    <w:rsid w:val="00C635C9"/>
    <w:rsid w:val="00C640B5"/>
    <w:rsid w:val="00C64175"/>
    <w:rsid w:val="00C643F8"/>
    <w:rsid w:val="00C64814"/>
    <w:rsid w:val="00C64AF0"/>
    <w:rsid w:val="00C65656"/>
    <w:rsid w:val="00C656F4"/>
    <w:rsid w:val="00C675B1"/>
    <w:rsid w:val="00C67F8C"/>
    <w:rsid w:val="00C7034C"/>
    <w:rsid w:val="00C704EB"/>
    <w:rsid w:val="00C70750"/>
    <w:rsid w:val="00C70877"/>
    <w:rsid w:val="00C7087C"/>
    <w:rsid w:val="00C70EC5"/>
    <w:rsid w:val="00C70F1B"/>
    <w:rsid w:val="00C71395"/>
    <w:rsid w:val="00C714EA"/>
    <w:rsid w:val="00C7175F"/>
    <w:rsid w:val="00C71F5E"/>
    <w:rsid w:val="00C723E5"/>
    <w:rsid w:val="00C73052"/>
    <w:rsid w:val="00C730AE"/>
    <w:rsid w:val="00C73F19"/>
    <w:rsid w:val="00C744D1"/>
    <w:rsid w:val="00C74A63"/>
    <w:rsid w:val="00C757DB"/>
    <w:rsid w:val="00C76AB9"/>
    <w:rsid w:val="00C76B62"/>
    <w:rsid w:val="00C8015C"/>
    <w:rsid w:val="00C80A88"/>
    <w:rsid w:val="00C80CAF"/>
    <w:rsid w:val="00C80F56"/>
    <w:rsid w:val="00C81109"/>
    <w:rsid w:val="00C81832"/>
    <w:rsid w:val="00C818FB"/>
    <w:rsid w:val="00C82565"/>
    <w:rsid w:val="00C8266D"/>
    <w:rsid w:val="00C8300A"/>
    <w:rsid w:val="00C83752"/>
    <w:rsid w:val="00C83ABF"/>
    <w:rsid w:val="00C85AFF"/>
    <w:rsid w:val="00C85B93"/>
    <w:rsid w:val="00C8615B"/>
    <w:rsid w:val="00C86503"/>
    <w:rsid w:val="00C8723A"/>
    <w:rsid w:val="00C87AEA"/>
    <w:rsid w:val="00C907DD"/>
    <w:rsid w:val="00C90ECD"/>
    <w:rsid w:val="00C910DA"/>
    <w:rsid w:val="00C9157F"/>
    <w:rsid w:val="00C915B8"/>
    <w:rsid w:val="00C91E97"/>
    <w:rsid w:val="00C92313"/>
    <w:rsid w:val="00C92638"/>
    <w:rsid w:val="00C9291F"/>
    <w:rsid w:val="00C9340D"/>
    <w:rsid w:val="00C93F22"/>
    <w:rsid w:val="00C9466F"/>
    <w:rsid w:val="00C94DB4"/>
    <w:rsid w:val="00C952B1"/>
    <w:rsid w:val="00C95FDD"/>
    <w:rsid w:val="00C960C2"/>
    <w:rsid w:val="00C9652D"/>
    <w:rsid w:val="00C9673C"/>
    <w:rsid w:val="00C96897"/>
    <w:rsid w:val="00C96CBE"/>
    <w:rsid w:val="00C96DD7"/>
    <w:rsid w:val="00C96E64"/>
    <w:rsid w:val="00C97020"/>
    <w:rsid w:val="00C9719A"/>
    <w:rsid w:val="00C97204"/>
    <w:rsid w:val="00C974B5"/>
    <w:rsid w:val="00C9768C"/>
    <w:rsid w:val="00CA08C0"/>
    <w:rsid w:val="00CA0B18"/>
    <w:rsid w:val="00CA1BEA"/>
    <w:rsid w:val="00CA1EB4"/>
    <w:rsid w:val="00CA2424"/>
    <w:rsid w:val="00CA254E"/>
    <w:rsid w:val="00CA29C8"/>
    <w:rsid w:val="00CA381B"/>
    <w:rsid w:val="00CA3D71"/>
    <w:rsid w:val="00CA4347"/>
    <w:rsid w:val="00CA4BB3"/>
    <w:rsid w:val="00CA5C45"/>
    <w:rsid w:val="00CA606B"/>
    <w:rsid w:val="00CA622A"/>
    <w:rsid w:val="00CA75A2"/>
    <w:rsid w:val="00CA7CF6"/>
    <w:rsid w:val="00CB008C"/>
    <w:rsid w:val="00CB02F6"/>
    <w:rsid w:val="00CB0378"/>
    <w:rsid w:val="00CB23DC"/>
    <w:rsid w:val="00CB240B"/>
    <w:rsid w:val="00CB263B"/>
    <w:rsid w:val="00CB28FA"/>
    <w:rsid w:val="00CB2B79"/>
    <w:rsid w:val="00CB2D5B"/>
    <w:rsid w:val="00CB38EE"/>
    <w:rsid w:val="00CB3D50"/>
    <w:rsid w:val="00CB4536"/>
    <w:rsid w:val="00CB5267"/>
    <w:rsid w:val="00CB5F87"/>
    <w:rsid w:val="00CB6024"/>
    <w:rsid w:val="00CB67DB"/>
    <w:rsid w:val="00CB6B50"/>
    <w:rsid w:val="00CB6CA8"/>
    <w:rsid w:val="00CB6E30"/>
    <w:rsid w:val="00CB7302"/>
    <w:rsid w:val="00CC082B"/>
    <w:rsid w:val="00CC0B01"/>
    <w:rsid w:val="00CC160E"/>
    <w:rsid w:val="00CC190D"/>
    <w:rsid w:val="00CC1965"/>
    <w:rsid w:val="00CC21E6"/>
    <w:rsid w:val="00CC2370"/>
    <w:rsid w:val="00CC26AF"/>
    <w:rsid w:val="00CC365B"/>
    <w:rsid w:val="00CC5537"/>
    <w:rsid w:val="00CC5568"/>
    <w:rsid w:val="00CC58EA"/>
    <w:rsid w:val="00CC7177"/>
    <w:rsid w:val="00CC749C"/>
    <w:rsid w:val="00CC79FA"/>
    <w:rsid w:val="00CC7A9A"/>
    <w:rsid w:val="00CD0297"/>
    <w:rsid w:val="00CD1463"/>
    <w:rsid w:val="00CD1665"/>
    <w:rsid w:val="00CD31F0"/>
    <w:rsid w:val="00CD3EF8"/>
    <w:rsid w:val="00CD481A"/>
    <w:rsid w:val="00CD4E0C"/>
    <w:rsid w:val="00CD54DF"/>
    <w:rsid w:val="00CD54FA"/>
    <w:rsid w:val="00CD62C7"/>
    <w:rsid w:val="00CD65CF"/>
    <w:rsid w:val="00CD675C"/>
    <w:rsid w:val="00CD6857"/>
    <w:rsid w:val="00CD69D9"/>
    <w:rsid w:val="00CD7525"/>
    <w:rsid w:val="00CE03D2"/>
    <w:rsid w:val="00CE1202"/>
    <w:rsid w:val="00CE120F"/>
    <w:rsid w:val="00CE1835"/>
    <w:rsid w:val="00CE19ED"/>
    <w:rsid w:val="00CE242E"/>
    <w:rsid w:val="00CE2559"/>
    <w:rsid w:val="00CE2ABA"/>
    <w:rsid w:val="00CE3113"/>
    <w:rsid w:val="00CE3832"/>
    <w:rsid w:val="00CE46BB"/>
    <w:rsid w:val="00CE4C2E"/>
    <w:rsid w:val="00CE4CB6"/>
    <w:rsid w:val="00CE4E57"/>
    <w:rsid w:val="00CE525D"/>
    <w:rsid w:val="00CE58BD"/>
    <w:rsid w:val="00CE7AC8"/>
    <w:rsid w:val="00CE7BAE"/>
    <w:rsid w:val="00CE7D84"/>
    <w:rsid w:val="00CE7F25"/>
    <w:rsid w:val="00CE7F8B"/>
    <w:rsid w:val="00CF0083"/>
    <w:rsid w:val="00CF01F6"/>
    <w:rsid w:val="00CF0B83"/>
    <w:rsid w:val="00CF0EF1"/>
    <w:rsid w:val="00CF197C"/>
    <w:rsid w:val="00CF30F9"/>
    <w:rsid w:val="00CF3A5D"/>
    <w:rsid w:val="00CF3D4D"/>
    <w:rsid w:val="00CF4634"/>
    <w:rsid w:val="00CF465E"/>
    <w:rsid w:val="00CF4B2E"/>
    <w:rsid w:val="00CF51AD"/>
    <w:rsid w:val="00CF5F65"/>
    <w:rsid w:val="00CF69F2"/>
    <w:rsid w:val="00CF6B7E"/>
    <w:rsid w:val="00CF6C1C"/>
    <w:rsid w:val="00CF6F1B"/>
    <w:rsid w:val="00CF7743"/>
    <w:rsid w:val="00D01375"/>
    <w:rsid w:val="00D01419"/>
    <w:rsid w:val="00D01795"/>
    <w:rsid w:val="00D026C3"/>
    <w:rsid w:val="00D03943"/>
    <w:rsid w:val="00D03D7C"/>
    <w:rsid w:val="00D04F02"/>
    <w:rsid w:val="00D0611A"/>
    <w:rsid w:val="00D06A8D"/>
    <w:rsid w:val="00D06DC4"/>
    <w:rsid w:val="00D07DB3"/>
    <w:rsid w:val="00D107D3"/>
    <w:rsid w:val="00D10FF1"/>
    <w:rsid w:val="00D121FA"/>
    <w:rsid w:val="00D127BA"/>
    <w:rsid w:val="00D12865"/>
    <w:rsid w:val="00D12BA6"/>
    <w:rsid w:val="00D135D3"/>
    <w:rsid w:val="00D13946"/>
    <w:rsid w:val="00D13CB8"/>
    <w:rsid w:val="00D13FAB"/>
    <w:rsid w:val="00D142C9"/>
    <w:rsid w:val="00D14526"/>
    <w:rsid w:val="00D14763"/>
    <w:rsid w:val="00D14DE0"/>
    <w:rsid w:val="00D1596C"/>
    <w:rsid w:val="00D160DB"/>
    <w:rsid w:val="00D1631A"/>
    <w:rsid w:val="00D16896"/>
    <w:rsid w:val="00D16C3C"/>
    <w:rsid w:val="00D16D89"/>
    <w:rsid w:val="00D16EC9"/>
    <w:rsid w:val="00D1738B"/>
    <w:rsid w:val="00D205B3"/>
    <w:rsid w:val="00D205D3"/>
    <w:rsid w:val="00D20B3C"/>
    <w:rsid w:val="00D21F42"/>
    <w:rsid w:val="00D22928"/>
    <w:rsid w:val="00D2294B"/>
    <w:rsid w:val="00D237B9"/>
    <w:rsid w:val="00D23AC2"/>
    <w:rsid w:val="00D23F78"/>
    <w:rsid w:val="00D2436D"/>
    <w:rsid w:val="00D24CF8"/>
    <w:rsid w:val="00D25623"/>
    <w:rsid w:val="00D26131"/>
    <w:rsid w:val="00D263AE"/>
    <w:rsid w:val="00D2713A"/>
    <w:rsid w:val="00D274E5"/>
    <w:rsid w:val="00D277F3"/>
    <w:rsid w:val="00D27B6A"/>
    <w:rsid w:val="00D31056"/>
    <w:rsid w:val="00D318A2"/>
    <w:rsid w:val="00D31E15"/>
    <w:rsid w:val="00D32058"/>
    <w:rsid w:val="00D32072"/>
    <w:rsid w:val="00D322EA"/>
    <w:rsid w:val="00D3253A"/>
    <w:rsid w:val="00D3366B"/>
    <w:rsid w:val="00D33AD2"/>
    <w:rsid w:val="00D350A8"/>
    <w:rsid w:val="00D35173"/>
    <w:rsid w:val="00D356CA"/>
    <w:rsid w:val="00D357D7"/>
    <w:rsid w:val="00D35AD8"/>
    <w:rsid w:val="00D36964"/>
    <w:rsid w:val="00D370CC"/>
    <w:rsid w:val="00D373B6"/>
    <w:rsid w:val="00D37498"/>
    <w:rsid w:val="00D37C42"/>
    <w:rsid w:val="00D41447"/>
    <w:rsid w:val="00D416C8"/>
    <w:rsid w:val="00D42BB7"/>
    <w:rsid w:val="00D42C4F"/>
    <w:rsid w:val="00D43A74"/>
    <w:rsid w:val="00D4519A"/>
    <w:rsid w:val="00D45605"/>
    <w:rsid w:val="00D45641"/>
    <w:rsid w:val="00D45A3E"/>
    <w:rsid w:val="00D45E5B"/>
    <w:rsid w:val="00D468BF"/>
    <w:rsid w:val="00D47A3A"/>
    <w:rsid w:val="00D47B2F"/>
    <w:rsid w:val="00D50451"/>
    <w:rsid w:val="00D51388"/>
    <w:rsid w:val="00D514E1"/>
    <w:rsid w:val="00D52047"/>
    <w:rsid w:val="00D52384"/>
    <w:rsid w:val="00D5262C"/>
    <w:rsid w:val="00D52976"/>
    <w:rsid w:val="00D5315D"/>
    <w:rsid w:val="00D538F5"/>
    <w:rsid w:val="00D53DD3"/>
    <w:rsid w:val="00D53E70"/>
    <w:rsid w:val="00D5426D"/>
    <w:rsid w:val="00D5442E"/>
    <w:rsid w:val="00D545B0"/>
    <w:rsid w:val="00D54B27"/>
    <w:rsid w:val="00D54D99"/>
    <w:rsid w:val="00D5512F"/>
    <w:rsid w:val="00D55655"/>
    <w:rsid w:val="00D55C36"/>
    <w:rsid w:val="00D55D4A"/>
    <w:rsid w:val="00D55FB3"/>
    <w:rsid w:val="00D56EDD"/>
    <w:rsid w:val="00D57282"/>
    <w:rsid w:val="00D578C3"/>
    <w:rsid w:val="00D57D37"/>
    <w:rsid w:val="00D60E95"/>
    <w:rsid w:val="00D62101"/>
    <w:rsid w:val="00D6251B"/>
    <w:rsid w:val="00D642F2"/>
    <w:rsid w:val="00D64321"/>
    <w:rsid w:val="00D64371"/>
    <w:rsid w:val="00D64B16"/>
    <w:rsid w:val="00D65415"/>
    <w:rsid w:val="00D65545"/>
    <w:rsid w:val="00D657C2"/>
    <w:rsid w:val="00D66AE9"/>
    <w:rsid w:val="00D66DF8"/>
    <w:rsid w:val="00D7063E"/>
    <w:rsid w:val="00D70743"/>
    <w:rsid w:val="00D708F1"/>
    <w:rsid w:val="00D70B3F"/>
    <w:rsid w:val="00D7155C"/>
    <w:rsid w:val="00D716A8"/>
    <w:rsid w:val="00D71752"/>
    <w:rsid w:val="00D71A47"/>
    <w:rsid w:val="00D71F07"/>
    <w:rsid w:val="00D723A9"/>
    <w:rsid w:val="00D727FE"/>
    <w:rsid w:val="00D75515"/>
    <w:rsid w:val="00D75FC6"/>
    <w:rsid w:val="00D75FD7"/>
    <w:rsid w:val="00D76E25"/>
    <w:rsid w:val="00D776D4"/>
    <w:rsid w:val="00D779A4"/>
    <w:rsid w:val="00D77E55"/>
    <w:rsid w:val="00D80495"/>
    <w:rsid w:val="00D80AAB"/>
    <w:rsid w:val="00D80C1B"/>
    <w:rsid w:val="00D81116"/>
    <w:rsid w:val="00D811E3"/>
    <w:rsid w:val="00D8208D"/>
    <w:rsid w:val="00D82322"/>
    <w:rsid w:val="00D82AF2"/>
    <w:rsid w:val="00D84EA7"/>
    <w:rsid w:val="00D85F21"/>
    <w:rsid w:val="00D85FCB"/>
    <w:rsid w:val="00D85FEE"/>
    <w:rsid w:val="00D873EA"/>
    <w:rsid w:val="00D87790"/>
    <w:rsid w:val="00D90343"/>
    <w:rsid w:val="00D904AB"/>
    <w:rsid w:val="00D905FE"/>
    <w:rsid w:val="00D906BA"/>
    <w:rsid w:val="00D90DC3"/>
    <w:rsid w:val="00D90FE6"/>
    <w:rsid w:val="00D91AFB"/>
    <w:rsid w:val="00D91C9F"/>
    <w:rsid w:val="00D93115"/>
    <w:rsid w:val="00D933EB"/>
    <w:rsid w:val="00D939DF"/>
    <w:rsid w:val="00D93A7E"/>
    <w:rsid w:val="00D949EA"/>
    <w:rsid w:val="00D9506B"/>
    <w:rsid w:val="00D95F7E"/>
    <w:rsid w:val="00D9604D"/>
    <w:rsid w:val="00D9617B"/>
    <w:rsid w:val="00D96646"/>
    <w:rsid w:val="00D96729"/>
    <w:rsid w:val="00D9677B"/>
    <w:rsid w:val="00D96B3E"/>
    <w:rsid w:val="00D96EE2"/>
    <w:rsid w:val="00D96FC7"/>
    <w:rsid w:val="00D970F9"/>
    <w:rsid w:val="00D97D7A"/>
    <w:rsid w:val="00DA00E3"/>
    <w:rsid w:val="00DA0A4E"/>
    <w:rsid w:val="00DA0A63"/>
    <w:rsid w:val="00DA18AE"/>
    <w:rsid w:val="00DA192E"/>
    <w:rsid w:val="00DA1CD8"/>
    <w:rsid w:val="00DA2DBC"/>
    <w:rsid w:val="00DA3238"/>
    <w:rsid w:val="00DA3631"/>
    <w:rsid w:val="00DA415A"/>
    <w:rsid w:val="00DA41F8"/>
    <w:rsid w:val="00DA51F9"/>
    <w:rsid w:val="00DA58BD"/>
    <w:rsid w:val="00DA591E"/>
    <w:rsid w:val="00DA6219"/>
    <w:rsid w:val="00DA6CA0"/>
    <w:rsid w:val="00DA6EEB"/>
    <w:rsid w:val="00DA7A8D"/>
    <w:rsid w:val="00DB114D"/>
    <w:rsid w:val="00DB1271"/>
    <w:rsid w:val="00DB12C2"/>
    <w:rsid w:val="00DB1EF4"/>
    <w:rsid w:val="00DB2126"/>
    <w:rsid w:val="00DB2154"/>
    <w:rsid w:val="00DB21D4"/>
    <w:rsid w:val="00DB2E62"/>
    <w:rsid w:val="00DB2EDB"/>
    <w:rsid w:val="00DB2F99"/>
    <w:rsid w:val="00DB3069"/>
    <w:rsid w:val="00DB317B"/>
    <w:rsid w:val="00DB3975"/>
    <w:rsid w:val="00DB3AF5"/>
    <w:rsid w:val="00DB4348"/>
    <w:rsid w:val="00DB45BF"/>
    <w:rsid w:val="00DB4AA9"/>
    <w:rsid w:val="00DB4AB4"/>
    <w:rsid w:val="00DB4E8E"/>
    <w:rsid w:val="00DB5BB1"/>
    <w:rsid w:val="00DB5DB7"/>
    <w:rsid w:val="00DB7025"/>
    <w:rsid w:val="00DB70B8"/>
    <w:rsid w:val="00DB78F0"/>
    <w:rsid w:val="00DB7C73"/>
    <w:rsid w:val="00DC02EF"/>
    <w:rsid w:val="00DC0AC3"/>
    <w:rsid w:val="00DC186C"/>
    <w:rsid w:val="00DC1CE1"/>
    <w:rsid w:val="00DC3072"/>
    <w:rsid w:val="00DC397F"/>
    <w:rsid w:val="00DC5716"/>
    <w:rsid w:val="00DC5F93"/>
    <w:rsid w:val="00DC6407"/>
    <w:rsid w:val="00DC66AE"/>
    <w:rsid w:val="00DC690B"/>
    <w:rsid w:val="00DC6B66"/>
    <w:rsid w:val="00DC6CF3"/>
    <w:rsid w:val="00DC6F39"/>
    <w:rsid w:val="00DC736F"/>
    <w:rsid w:val="00DC77FC"/>
    <w:rsid w:val="00DD05AE"/>
    <w:rsid w:val="00DD0B31"/>
    <w:rsid w:val="00DD0CC7"/>
    <w:rsid w:val="00DD0E5F"/>
    <w:rsid w:val="00DD1597"/>
    <w:rsid w:val="00DD176D"/>
    <w:rsid w:val="00DD1D43"/>
    <w:rsid w:val="00DD23AA"/>
    <w:rsid w:val="00DD2C65"/>
    <w:rsid w:val="00DD30BA"/>
    <w:rsid w:val="00DD3251"/>
    <w:rsid w:val="00DD4101"/>
    <w:rsid w:val="00DD46BD"/>
    <w:rsid w:val="00DD49D4"/>
    <w:rsid w:val="00DD4B64"/>
    <w:rsid w:val="00DD50D2"/>
    <w:rsid w:val="00DD53E6"/>
    <w:rsid w:val="00DD56E2"/>
    <w:rsid w:val="00DD6768"/>
    <w:rsid w:val="00DD7839"/>
    <w:rsid w:val="00DE051A"/>
    <w:rsid w:val="00DE08CD"/>
    <w:rsid w:val="00DE0A3A"/>
    <w:rsid w:val="00DE0C4D"/>
    <w:rsid w:val="00DE1455"/>
    <w:rsid w:val="00DE15A3"/>
    <w:rsid w:val="00DE1937"/>
    <w:rsid w:val="00DE2AE9"/>
    <w:rsid w:val="00DE2FDE"/>
    <w:rsid w:val="00DE30EA"/>
    <w:rsid w:val="00DE33DC"/>
    <w:rsid w:val="00DE3A1A"/>
    <w:rsid w:val="00DE3A69"/>
    <w:rsid w:val="00DE46F1"/>
    <w:rsid w:val="00DE4798"/>
    <w:rsid w:val="00DE54F4"/>
    <w:rsid w:val="00DE5B9D"/>
    <w:rsid w:val="00DE5D99"/>
    <w:rsid w:val="00DE63F4"/>
    <w:rsid w:val="00DE69CF"/>
    <w:rsid w:val="00DE6C61"/>
    <w:rsid w:val="00DE70EB"/>
    <w:rsid w:val="00DE7492"/>
    <w:rsid w:val="00DE7C24"/>
    <w:rsid w:val="00DF01D9"/>
    <w:rsid w:val="00DF0212"/>
    <w:rsid w:val="00DF04C4"/>
    <w:rsid w:val="00DF0565"/>
    <w:rsid w:val="00DF145D"/>
    <w:rsid w:val="00DF1DF9"/>
    <w:rsid w:val="00DF2296"/>
    <w:rsid w:val="00DF23CF"/>
    <w:rsid w:val="00DF2828"/>
    <w:rsid w:val="00DF3102"/>
    <w:rsid w:val="00DF3433"/>
    <w:rsid w:val="00DF36B8"/>
    <w:rsid w:val="00DF3AC0"/>
    <w:rsid w:val="00DF4A7E"/>
    <w:rsid w:val="00DF53D6"/>
    <w:rsid w:val="00DF5711"/>
    <w:rsid w:val="00DF5AB9"/>
    <w:rsid w:val="00DF5C96"/>
    <w:rsid w:val="00DF5C97"/>
    <w:rsid w:val="00DF6059"/>
    <w:rsid w:val="00DF6490"/>
    <w:rsid w:val="00DF677B"/>
    <w:rsid w:val="00DF6F9E"/>
    <w:rsid w:val="00E00A30"/>
    <w:rsid w:val="00E00C51"/>
    <w:rsid w:val="00E01823"/>
    <w:rsid w:val="00E01C6D"/>
    <w:rsid w:val="00E01E6C"/>
    <w:rsid w:val="00E0251B"/>
    <w:rsid w:val="00E031BC"/>
    <w:rsid w:val="00E039D4"/>
    <w:rsid w:val="00E03CB6"/>
    <w:rsid w:val="00E03CE7"/>
    <w:rsid w:val="00E03F6C"/>
    <w:rsid w:val="00E046A2"/>
    <w:rsid w:val="00E04C13"/>
    <w:rsid w:val="00E05C6A"/>
    <w:rsid w:val="00E06444"/>
    <w:rsid w:val="00E069A5"/>
    <w:rsid w:val="00E07882"/>
    <w:rsid w:val="00E10901"/>
    <w:rsid w:val="00E112D9"/>
    <w:rsid w:val="00E11A2E"/>
    <w:rsid w:val="00E133BF"/>
    <w:rsid w:val="00E135FC"/>
    <w:rsid w:val="00E14395"/>
    <w:rsid w:val="00E14A60"/>
    <w:rsid w:val="00E14FB7"/>
    <w:rsid w:val="00E157FB"/>
    <w:rsid w:val="00E15E21"/>
    <w:rsid w:val="00E162C5"/>
    <w:rsid w:val="00E1707C"/>
    <w:rsid w:val="00E17C05"/>
    <w:rsid w:val="00E207C4"/>
    <w:rsid w:val="00E20C72"/>
    <w:rsid w:val="00E20CF3"/>
    <w:rsid w:val="00E20E18"/>
    <w:rsid w:val="00E217AE"/>
    <w:rsid w:val="00E22B82"/>
    <w:rsid w:val="00E2370F"/>
    <w:rsid w:val="00E262C2"/>
    <w:rsid w:val="00E26898"/>
    <w:rsid w:val="00E26EB6"/>
    <w:rsid w:val="00E26F0F"/>
    <w:rsid w:val="00E273AE"/>
    <w:rsid w:val="00E275C3"/>
    <w:rsid w:val="00E275E6"/>
    <w:rsid w:val="00E27D49"/>
    <w:rsid w:val="00E30211"/>
    <w:rsid w:val="00E30704"/>
    <w:rsid w:val="00E30728"/>
    <w:rsid w:val="00E327AE"/>
    <w:rsid w:val="00E32ADB"/>
    <w:rsid w:val="00E32E00"/>
    <w:rsid w:val="00E3306A"/>
    <w:rsid w:val="00E330FD"/>
    <w:rsid w:val="00E33688"/>
    <w:rsid w:val="00E33B29"/>
    <w:rsid w:val="00E33BF4"/>
    <w:rsid w:val="00E33EC5"/>
    <w:rsid w:val="00E342E1"/>
    <w:rsid w:val="00E34800"/>
    <w:rsid w:val="00E34C8B"/>
    <w:rsid w:val="00E35770"/>
    <w:rsid w:val="00E35E41"/>
    <w:rsid w:val="00E35F0C"/>
    <w:rsid w:val="00E36A67"/>
    <w:rsid w:val="00E36CE9"/>
    <w:rsid w:val="00E37CA6"/>
    <w:rsid w:val="00E4074B"/>
    <w:rsid w:val="00E40967"/>
    <w:rsid w:val="00E40F95"/>
    <w:rsid w:val="00E4144E"/>
    <w:rsid w:val="00E41B63"/>
    <w:rsid w:val="00E41C05"/>
    <w:rsid w:val="00E426F0"/>
    <w:rsid w:val="00E42CED"/>
    <w:rsid w:val="00E42FAF"/>
    <w:rsid w:val="00E43506"/>
    <w:rsid w:val="00E43CEE"/>
    <w:rsid w:val="00E440EA"/>
    <w:rsid w:val="00E4483A"/>
    <w:rsid w:val="00E450DC"/>
    <w:rsid w:val="00E4562C"/>
    <w:rsid w:val="00E45A6F"/>
    <w:rsid w:val="00E45A86"/>
    <w:rsid w:val="00E45F03"/>
    <w:rsid w:val="00E46330"/>
    <w:rsid w:val="00E46398"/>
    <w:rsid w:val="00E46435"/>
    <w:rsid w:val="00E465E8"/>
    <w:rsid w:val="00E467BD"/>
    <w:rsid w:val="00E46A69"/>
    <w:rsid w:val="00E46BFC"/>
    <w:rsid w:val="00E478E0"/>
    <w:rsid w:val="00E47B99"/>
    <w:rsid w:val="00E502CC"/>
    <w:rsid w:val="00E511CC"/>
    <w:rsid w:val="00E51B6F"/>
    <w:rsid w:val="00E52A1F"/>
    <w:rsid w:val="00E52B28"/>
    <w:rsid w:val="00E53569"/>
    <w:rsid w:val="00E53977"/>
    <w:rsid w:val="00E53A98"/>
    <w:rsid w:val="00E53F64"/>
    <w:rsid w:val="00E54102"/>
    <w:rsid w:val="00E5413E"/>
    <w:rsid w:val="00E54149"/>
    <w:rsid w:val="00E54F4E"/>
    <w:rsid w:val="00E55CD7"/>
    <w:rsid w:val="00E55D3F"/>
    <w:rsid w:val="00E5688E"/>
    <w:rsid w:val="00E57143"/>
    <w:rsid w:val="00E57342"/>
    <w:rsid w:val="00E578B8"/>
    <w:rsid w:val="00E57FAD"/>
    <w:rsid w:val="00E610E2"/>
    <w:rsid w:val="00E61100"/>
    <w:rsid w:val="00E61E47"/>
    <w:rsid w:val="00E62CC4"/>
    <w:rsid w:val="00E63AC8"/>
    <w:rsid w:val="00E63C8D"/>
    <w:rsid w:val="00E64168"/>
    <w:rsid w:val="00E64D52"/>
    <w:rsid w:val="00E64F62"/>
    <w:rsid w:val="00E650DC"/>
    <w:rsid w:val="00E66E0E"/>
    <w:rsid w:val="00E67513"/>
    <w:rsid w:val="00E67650"/>
    <w:rsid w:val="00E67AAA"/>
    <w:rsid w:val="00E67D9E"/>
    <w:rsid w:val="00E7011D"/>
    <w:rsid w:val="00E7037D"/>
    <w:rsid w:val="00E70388"/>
    <w:rsid w:val="00E7062A"/>
    <w:rsid w:val="00E71266"/>
    <w:rsid w:val="00E7252D"/>
    <w:rsid w:val="00E72534"/>
    <w:rsid w:val="00E72A66"/>
    <w:rsid w:val="00E7344A"/>
    <w:rsid w:val="00E73498"/>
    <w:rsid w:val="00E73EA1"/>
    <w:rsid w:val="00E744E7"/>
    <w:rsid w:val="00E74616"/>
    <w:rsid w:val="00E75192"/>
    <w:rsid w:val="00E75239"/>
    <w:rsid w:val="00E7544A"/>
    <w:rsid w:val="00E756A2"/>
    <w:rsid w:val="00E7620D"/>
    <w:rsid w:val="00E764B8"/>
    <w:rsid w:val="00E76E64"/>
    <w:rsid w:val="00E8083B"/>
    <w:rsid w:val="00E809C7"/>
    <w:rsid w:val="00E80B70"/>
    <w:rsid w:val="00E810ED"/>
    <w:rsid w:val="00E81304"/>
    <w:rsid w:val="00E814D5"/>
    <w:rsid w:val="00E81999"/>
    <w:rsid w:val="00E81C28"/>
    <w:rsid w:val="00E8283C"/>
    <w:rsid w:val="00E82C5D"/>
    <w:rsid w:val="00E82FEC"/>
    <w:rsid w:val="00E83660"/>
    <w:rsid w:val="00E83AD7"/>
    <w:rsid w:val="00E84859"/>
    <w:rsid w:val="00E85062"/>
    <w:rsid w:val="00E856F5"/>
    <w:rsid w:val="00E8682E"/>
    <w:rsid w:val="00E873A3"/>
    <w:rsid w:val="00E878FF"/>
    <w:rsid w:val="00E87DE0"/>
    <w:rsid w:val="00E90274"/>
    <w:rsid w:val="00E90507"/>
    <w:rsid w:val="00E90773"/>
    <w:rsid w:val="00E90AC8"/>
    <w:rsid w:val="00E9139E"/>
    <w:rsid w:val="00E91484"/>
    <w:rsid w:val="00E92363"/>
    <w:rsid w:val="00E9334B"/>
    <w:rsid w:val="00E9360A"/>
    <w:rsid w:val="00E93790"/>
    <w:rsid w:val="00E9382F"/>
    <w:rsid w:val="00E93894"/>
    <w:rsid w:val="00E93D87"/>
    <w:rsid w:val="00E9528F"/>
    <w:rsid w:val="00E95C11"/>
    <w:rsid w:val="00E967BB"/>
    <w:rsid w:val="00E96DD7"/>
    <w:rsid w:val="00E971F8"/>
    <w:rsid w:val="00EA0BCD"/>
    <w:rsid w:val="00EA0DF6"/>
    <w:rsid w:val="00EA1575"/>
    <w:rsid w:val="00EA15A7"/>
    <w:rsid w:val="00EA1B2A"/>
    <w:rsid w:val="00EA245E"/>
    <w:rsid w:val="00EA299A"/>
    <w:rsid w:val="00EA2A95"/>
    <w:rsid w:val="00EA2D2C"/>
    <w:rsid w:val="00EA2D4F"/>
    <w:rsid w:val="00EA4726"/>
    <w:rsid w:val="00EA4BD2"/>
    <w:rsid w:val="00EA52CA"/>
    <w:rsid w:val="00EA5F9C"/>
    <w:rsid w:val="00EA6119"/>
    <w:rsid w:val="00EA62DB"/>
    <w:rsid w:val="00EA6E36"/>
    <w:rsid w:val="00EB0AD1"/>
    <w:rsid w:val="00EB16A3"/>
    <w:rsid w:val="00EB16C9"/>
    <w:rsid w:val="00EB16E9"/>
    <w:rsid w:val="00EB177F"/>
    <w:rsid w:val="00EB231C"/>
    <w:rsid w:val="00EB2629"/>
    <w:rsid w:val="00EB296C"/>
    <w:rsid w:val="00EB3839"/>
    <w:rsid w:val="00EB42DD"/>
    <w:rsid w:val="00EB527D"/>
    <w:rsid w:val="00EB53B0"/>
    <w:rsid w:val="00EB5B78"/>
    <w:rsid w:val="00EB5BBC"/>
    <w:rsid w:val="00EB5D27"/>
    <w:rsid w:val="00EB5F24"/>
    <w:rsid w:val="00EB60AD"/>
    <w:rsid w:val="00EB6392"/>
    <w:rsid w:val="00EC1974"/>
    <w:rsid w:val="00EC2118"/>
    <w:rsid w:val="00EC231F"/>
    <w:rsid w:val="00EC298A"/>
    <w:rsid w:val="00EC2D30"/>
    <w:rsid w:val="00EC3001"/>
    <w:rsid w:val="00EC30D4"/>
    <w:rsid w:val="00EC362E"/>
    <w:rsid w:val="00EC3D6D"/>
    <w:rsid w:val="00EC46FA"/>
    <w:rsid w:val="00EC494D"/>
    <w:rsid w:val="00EC4BC2"/>
    <w:rsid w:val="00EC4CAD"/>
    <w:rsid w:val="00EC5633"/>
    <w:rsid w:val="00EC5752"/>
    <w:rsid w:val="00EC59D0"/>
    <w:rsid w:val="00EC60FF"/>
    <w:rsid w:val="00EC7291"/>
    <w:rsid w:val="00EC792C"/>
    <w:rsid w:val="00ED023B"/>
    <w:rsid w:val="00ED1A10"/>
    <w:rsid w:val="00ED1CA4"/>
    <w:rsid w:val="00ED1FE4"/>
    <w:rsid w:val="00ED2042"/>
    <w:rsid w:val="00ED23B6"/>
    <w:rsid w:val="00ED2688"/>
    <w:rsid w:val="00ED26CF"/>
    <w:rsid w:val="00ED2894"/>
    <w:rsid w:val="00ED2BDD"/>
    <w:rsid w:val="00ED3BE0"/>
    <w:rsid w:val="00ED3EF7"/>
    <w:rsid w:val="00ED4348"/>
    <w:rsid w:val="00ED5AC6"/>
    <w:rsid w:val="00ED66AA"/>
    <w:rsid w:val="00ED7428"/>
    <w:rsid w:val="00EE00B4"/>
    <w:rsid w:val="00EE022A"/>
    <w:rsid w:val="00EE061B"/>
    <w:rsid w:val="00EE0C9F"/>
    <w:rsid w:val="00EE160F"/>
    <w:rsid w:val="00EE1690"/>
    <w:rsid w:val="00EE1AA6"/>
    <w:rsid w:val="00EE1B74"/>
    <w:rsid w:val="00EE1C9F"/>
    <w:rsid w:val="00EE1D85"/>
    <w:rsid w:val="00EE2679"/>
    <w:rsid w:val="00EE29D4"/>
    <w:rsid w:val="00EE2C0B"/>
    <w:rsid w:val="00EE2ECB"/>
    <w:rsid w:val="00EE3D31"/>
    <w:rsid w:val="00EE4633"/>
    <w:rsid w:val="00EE4702"/>
    <w:rsid w:val="00EE4F24"/>
    <w:rsid w:val="00EE52BC"/>
    <w:rsid w:val="00EE6776"/>
    <w:rsid w:val="00EE6EFE"/>
    <w:rsid w:val="00EF0880"/>
    <w:rsid w:val="00EF0943"/>
    <w:rsid w:val="00EF0C6D"/>
    <w:rsid w:val="00EF0E3A"/>
    <w:rsid w:val="00EF12E1"/>
    <w:rsid w:val="00EF16C1"/>
    <w:rsid w:val="00EF1919"/>
    <w:rsid w:val="00EF21AB"/>
    <w:rsid w:val="00EF272E"/>
    <w:rsid w:val="00EF2814"/>
    <w:rsid w:val="00EF2AE8"/>
    <w:rsid w:val="00EF2B8F"/>
    <w:rsid w:val="00EF39BA"/>
    <w:rsid w:val="00EF4098"/>
    <w:rsid w:val="00EF4CCD"/>
    <w:rsid w:val="00EF533D"/>
    <w:rsid w:val="00EF5445"/>
    <w:rsid w:val="00EF5633"/>
    <w:rsid w:val="00EF566E"/>
    <w:rsid w:val="00EF5B7A"/>
    <w:rsid w:val="00EF60DC"/>
    <w:rsid w:val="00EF6271"/>
    <w:rsid w:val="00EF6F45"/>
    <w:rsid w:val="00EF78A8"/>
    <w:rsid w:val="00EF7C78"/>
    <w:rsid w:val="00EF7CC6"/>
    <w:rsid w:val="00EF7D0C"/>
    <w:rsid w:val="00F00246"/>
    <w:rsid w:val="00F01392"/>
    <w:rsid w:val="00F01403"/>
    <w:rsid w:val="00F01616"/>
    <w:rsid w:val="00F01948"/>
    <w:rsid w:val="00F025E2"/>
    <w:rsid w:val="00F02959"/>
    <w:rsid w:val="00F03405"/>
    <w:rsid w:val="00F03FE5"/>
    <w:rsid w:val="00F04071"/>
    <w:rsid w:val="00F04ED3"/>
    <w:rsid w:val="00F053D8"/>
    <w:rsid w:val="00F0549A"/>
    <w:rsid w:val="00F058D5"/>
    <w:rsid w:val="00F05A77"/>
    <w:rsid w:val="00F05EBE"/>
    <w:rsid w:val="00F062D6"/>
    <w:rsid w:val="00F06411"/>
    <w:rsid w:val="00F0657A"/>
    <w:rsid w:val="00F06D82"/>
    <w:rsid w:val="00F06EC8"/>
    <w:rsid w:val="00F1064C"/>
    <w:rsid w:val="00F1115F"/>
    <w:rsid w:val="00F122F3"/>
    <w:rsid w:val="00F123DD"/>
    <w:rsid w:val="00F129BE"/>
    <w:rsid w:val="00F13280"/>
    <w:rsid w:val="00F13889"/>
    <w:rsid w:val="00F13983"/>
    <w:rsid w:val="00F14422"/>
    <w:rsid w:val="00F15A14"/>
    <w:rsid w:val="00F16885"/>
    <w:rsid w:val="00F16931"/>
    <w:rsid w:val="00F16BE4"/>
    <w:rsid w:val="00F16C6A"/>
    <w:rsid w:val="00F16C6C"/>
    <w:rsid w:val="00F16DB4"/>
    <w:rsid w:val="00F1711D"/>
    <w:rsid w:val="00F177A5"/>
    <w:rsid w:val="00F178C3"/>
    <w:rsid w:val="00F201A1"/>
    <w:rsid w:val="00F20619"/>
    <w:rsid w:val="00F20EE9"/>
    <w:rsid w:val="00F210AB"/>
    <w:rsid w:val="00F21175"/>
    <w:rsid w:val="00F2189F"/>
    <w:rsid w:val="00F2206D"/>
    <w:rsid w:val="00F2272E"/>
    <w:rsid w:val="00F22C89"/>
    <w:rsid w:val="00F230E0"/>
    <w:rsid w:val="00F238EA"/>
    <w:rsid w:val="00F23A7E"/>
    <w:rsid w:val="00F23DDE"/>
    <w:rsid w:val="00F26324"/>
    <w:rsid w:val="00F26DBC"/>
    <w:rsid w:val="00F27C2E"/>
    <w:rsid w:val="00F27FF3"/>
    <w:rsid w:val="00F306CC"/>
    <w:rsid w:val="00F30C03"/>
    <w:rsid w:val="00F310BF"/>
    <w:rsid w:val="00F313E2"/>
    <w:rsid w:val="00F3192C"/>
    <w:rsid w:val="00F31A48"/>
    <w:rsid w:val="00F31F05"/>
    <w:rsid w:val="00F32109"/>
    <w:rsid w:val="00F327D1"/>
    <w:rsid w:val="00F327E4"/>
    <w:rsid w:val="00F32EB8"/>
    <w:rsid w:val="00F3319A"/>
    <w:rsid w:val="00F34704"/>
    <w:rsid w:val="00F34971"/>
    <w:rsid w:val="00F34ECB"/>
    <w:rsid w:val="00F357B3"/>
    <w:rsid w:val="00F35B19"/>
    <w:rsid w:val="00F37DD3"/>
    <w:rsid w:val="00F37F32"/>
    <w:rsid w:val="00F400DE"/>
    <w:rsid w:val="00F4024D"/>
    <w:rsid w:val="00F409A4"/>
    <w:rsid w:val="00F41091"/>
    <w:rsid w:val="00F41ACD"/>
    <w:rsid w:val="00F42737"/>
    <w:rsid w:val="00F42BB4"/>
    <w:rsid w:val="00F42C83"/>
    <w:rsid w:val="00F42F7B"/>
    <w:rsid w:val="00F438AB"/>
    <w:rsid w:val="00F43C32"/>
    <w:rsid w:val="00F447DA"/>
    <w:rsid w:val="00F4519B"/>
    <w:rsid w:val="00F45448"/>
    <w:rsid w:val="00F454F1"/>
    <w:rsid w:val="00F4562B"/>
    <w:rsid w:val="00F45A7F"/>
    <w:rsid w:val="00F46481"/>
    <w:rsid w:val="00F46DAA"/>
    <w:rsid w:val="00F46EDC"/>
    <w:rsid w:val="00F470D8"/>
    <w:rsid w:val="00F5047C"/>
    <w:rsid w:val="00F50D25"/>
    <w:rsid w:val="00F5147C"/>
    <w:rsid w:val="00F5148A"/>
    <w:rsid w:val="00F522F9"/>
    <w:rsid w:val="00F541C7"/>
    <w:rsid w:val="00F54213"/>
    <w:rsid w:val="00F54597"/>
    <w:rsid w:val="00F54CE2"/>
    <w:rsid w:val="00F558DE"/>
    <w:rsid w:val="00F55E22"/>
    <w:rsid w:val="00F55F08"/>
    <w:rsid w:val="00F56638"/>
    <w:rsid w:val="00F57E38"/>
    <w:rsid w:val="00F600C9"/>
    <w:rsid w:val="00F60C75"/>
    <w:rsid w:val="00F60E91"/>
    <w:rsid w:val="00F61329"/>
    <w:rsid w:val="00F61407"/>
    <w:rsid w:val="00F616D3"/>
    <w:rsid w:val="00F620AB"/>
    <w:rsid w:val="00F626F7"/>
    <w:rsid w:val="00F62E01"/>
    <w:rsid w:val="00F6396C"/>
    <w:rsid w:val="00F64006"/>
    <w:rsid w:val="00F64423"/>
    <w:rsid w:val="00F64CAA"/>
    <w:rsid w:val="00F64EE9"/>
    <w:rsid w:val="00F6658C"/>
    <w:rsid w:val="00F66A30"/>
    <w:rsid w:val="00F67137"/>
    <w:rsid w:val="00F67482"/>
    <w:rsid w:val="00F703DE"/>
    <w:rsid w:val="00F70460"/>
    <w:rsid w:val="00F70794"/>
    <w:rsid w:val="00F70F52"/>
    <w:rsid w:val="00F70F54"/>
    <w:rsid w:val="00F71047"/>
    <w:rsid w:val="00F713ED"/>
    <w:rsid w:val="00F715F5"/>
    <w:rsid w:val="00F71D2A"/>
    <w:rsid w:val="00F723A5"/>
    <w:rsid w:val="00F72931"/>
    <w:rsid w:val="00F733C6"/>
    <w:rsid w:val="00F73470"/>
    <w:rsid w:val="00F739BE"/>
    <w:rsid w:val="00F73BD5"/>
    <w:rsid w:val="00F73D39"/>
    <w:rsid w:val="00F73EC6"/>
    <w:rsid w:val="00F743DF"/>
    <w:rsid w:val="00F746CF"/>
    <w:rsid w:val="00F74C2E"/>
    <w:rsid w:val="00F74FD3"/>
    <w:rsid w:val="00F75114"/>
    <w:rsid w:val="00F75224"/>
    <w:rsid w:val="00F755E3"/>
    <w:rsid w:val="00F76B4C"/>
    <w:rsid w:val="00F7729A"/>
    <w:rsid w:val="00F77690"/>
    <w:rsid w:val="00F8045D"/>
    <w:rsid w:val="00F80C60"/>
    <w:rsid w:val="00F817B9"/>
    <w:rsid w:val="00F81BC8"/>
    <w:rsid w:val="00F820C6"/>
    <w:rsid w:val="00F82B75"/>
    <w:rsid w:val="00F82BD3"/>
    <w:rsid w:val="00F83856"/>
    <w:rsid w:val="00F83E01"/>
    <w:rsid w:val="00F84358"/>
    <w:rsid w:val="00F84D9C"/>
    <w:rsid w:val="00F85A66"/>
    <w:rsid w:val="00F85AE3"/>
    <w:rsid w:val="00F85B51"/>
    <w:rsid w:val="00F85BE9"/>
    <w:rsid w:val="00F85EBD"/>
    <w:rsid w:val="00F86F0B"/>
    <w:rsid w:val="00F876E1"/>
    <w:rsid w:val="00F87DA8"/>
    <w:rsid w:val="00F9071C"/>
    <w:rsid w:val="00F917B7"/>
    <w:rsid w:val="00F91A24"/>
    <w:rsid w:val="00F92019"/>
    <w:rsid w:val="00F92B66"/>
    <w:rsid w:val="00F92FE5"/>
    <w:rsid w:val="00F93307"/>
    <w:rsid w:val="00F93887"/>
    <w:rsid w:val="00F941D5"/>
    <w:rsid w:val="00F944C0"/>
    <w:rsid w:val="00F94F2D"/>
    <w:rsid w:val="00F95B31"/>
    <w:rsid w:val="00F96001"/>
    <w:rsid w:val="00F963DC"/>
    <w:rsid w:val="00F96795"/>
    <w:rsid w:val="00F97025"/>
    <w:rsid w:val="00F9744C"/>
    <w:rsid w:val="00F97C23"/>
    <w:rsid w:val="00FA02DC"/>
    <w:rsid w:val="00FA03D5"/>
    <w:rsid w:val="00FA0454"/>
    <w:rsid w:val="00FA0B27"/>
    <w:rsid w:val="00FA1999"/>
    <w:rsid w:val="00FA20C2"/>
    <w:rsid w:val="00FA2DAF"/>
    <w:rsid w:val="00FA2EAC"/>
    <w:rsid w:val="00FA2F5C"/>
    <w:rsid w:val="00FA33FC"/>
    <w:rsid w:val="00FA341E"/>
    <w:rsid w:val="00FA4402"/>
    <w:rsid w:val="00FA5008"/>
    <w:rsid w:val="00FA5486"/>
    <w:rsid w:val="00FA58EC"/>
    <w:rsid w:val="00FA5AD9"/>
    <w:rsid w:val="00FA5D59"/>
    <w:rsid w:val="00FA5F3D"/>
    <w:rsid w:val="00FA5F6F"/>
    <w:rsid w:val="00FA6069"/>
    <w:rsid w:val="00FA6B1D"/>
    <w:rsid w:val="00FA710E"/>
    <w:rsid w:val="00FA77F2"/>
    <w:rsid w:val="00FB05A1"/>
    <w:rsid w:val="00FB06C0"/>
    <w:rsid w:val="00FB0EE0"/>
    <w:rsid w:val="00FB11DA"/>
    <w:rsid w:val="00FB1972"/>
    <w:rsid w:val="00FB1A01"/>
    <w:rsid w:val="00FB20AF"/>
    <w:rsid w:val="00FB2EC0"/>
    <w:rsid w:val="00FB2FC4"/>
    <w:rsid w:val="00FB3119"/>
    <w:rsid w:val="00FB3682"/>
    <w:rsid w:val="00FB4580"/>
    <w:rsid w:val="00FB4DFE"/>
    <w:rsid w:val="00FB4F49"/>
    <w:rsid w:val="00FB51A1"/>
    <w:rsid w:val="00FB5E99"/>
    <w:rsid w:val="00FB7066"/>
    <w:rsid w:val="00FB710B"/>
    <w:rsid w:val="00FB723D"/>
    <w:rsid w:val="00FB7575"/>
    <w:rsid w:val="00FB7647"/>
    <w:rsid w:val="00FB78AB"/>
    <w:rsid w:val="00FB7CE8"/>
    <w:rsid w:val="00FB7D68"/>
    <w:rsid w:val="00FC0691"/>
    <w:rsid w:val="00FC07F3"/>
    <w:rsid w:val="00FC0E4F"/>
    <w:rsid w:val="00FC132F"/>
    <w:rsid w:val="00FC1595"/>
    <w:rsid w:val="00FC1CD6"/>
    <w:rsid w:val="00FC20AA"/>
    <w:rsid w:val="00FC32FB"/>
    <w:rsid w:val="00FC3480"/>
    <w:rsid w:val="00FC3C4A"/>
    <w:rsid w:val="00FC49F2"/>
    <w:rsid w:val="00FC4D9A"/>
    <w:rsid w:val="00FC55F7"/>
    <w:rsid w:val="00FC578E"/>
    <w:rsid w:val="00FC5DAD"/>
    <w:rsid w:val="00FC6BAB"/>
    <w:rsid w:val="00FC6D4D"/>
    <w:rsid w:val="00FC6E93"/>
    <w:rsid w:val="00FC761E"/>
    <w:rsid w:val="00FC7BA0"/>
    <w:rsid w:val="00FD013A"/>
    <w:rsid w:val="00FD06C5"/>
    <w:rsid w:val="00FD08B6"/>
    <w:rsid w:val="00FD0B70"/>
    <w:rsid w:val="00FD11C1"/>
    <w:rsid w:val="00FD1943"/>
    <w:rsid w:val="00FD1E40"/>
    <w:rsid w:val="00FD227E"/>
    <w:rsid w:val="00FD27D3"/>
    <w:rsid w:val="00FD2938"/>
    <w:rsid w:val="00FD2EA3"/>
    <w:rsid w:val="00FD3159"/>
    <w:rsid w:val="00FD330D"/>
    <w:rsid w:val="00FD3436"/>
    <w:rsid w:val="00FD39D8"/>
    <w:rsid w:val="00FD3E33"/>
    <w:rsid w:val="00FD4268"/>
    <w:rsid w:val="00FD487A"/>
    <w:rsid w:val="00FD5AD3"/>
    <w:rsid w:val="00FD5AF2"/>
    <w:rsid w:val="00FD5CAB"/>
    <w:rsid w:val="00FD5F3C"/>
    <w:rsid w:val="00FD76CD"/>
    <w:rsid w:val="00FE01C8"/>
    <w:rsid w:val="00FE1F35"/>
    <w:rsid w:val="00FE26F7"/>
    <w:rsid w:val="00FE2856"/>
    <w:rsid w:val="00FE29DF"/>
    <w:rsid w:val="00FE333E"/>
    <w:rsid w:val="00FE3838"/>
    <w:rsid w:val="00FE44AD"/>
    <w:rsid w:val="00FE467B"/>
    <w:rsid w:val="00FE4EF8"/>
    <w:rsid w:val="00FE5661"/>
    <w:rsid w:val="00FE5D65"/>
    <w:rsid w:val="00FE6654"/>
    <w:rsid w:val="00FE694B"/>
    <w:rsid w:val="00FE6E55"/>
    <w:rsid w:val="00FE7960"/>
    <w:rsid w:val="00FE7AE0"/>
    <w:rsid w:val="00FE7CDC"/>
    <w:rsid w:val="00FF0437"/>
    <w:rsid w:val="00FF08B4"/>
    <w:rsid w:val="00FF0977"/>
    <w:rsid w:val="00FF21E2"/>
    <w:rsid w:val="00FF2562"/>
    <w:rsid w:val="00FF27BD"/>
    <w:rsid w:val="00FF3216"/>
    <w:rsid w:val="00FF3416"/>
    <w:rsid w:val="00FF3F6E"/>
    <w:rsid w:val="00FF3FB7"/>
    <w:rsid w:val="00FF4112"/>
    <w:rsid w:val="00FF446E"/>
    <w:rsid w:val="00FF4DBB"/>
    <w:rsid w:val="00FF5051"/>
    <w:rsid w:val="00FF50D9"/>
    <w:rsid w:val="00FF56A5"/>
    <w:rsid w:val="00FF572B"/>
    <w:rsid w:val="00FF5CFF"/>
    <w:rsid w:val="00FF5E4B"/>
    <w:rsid w:val="00FF686E"/>
    <w:rsid w:val="00FF6991"/>
    <w:rsid w:val="00FF7964"/>
    <w:rsid w:val="00FF7C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23E475"/>
  <w15:docId w15:val="{3FD09C3E-D8F8-4B59-9B58-B4A430AF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BFF"/>
    <w:rPr>
      <w:rFonts w:ascii="Arial" w:hAnsi="Arial"/>
      <w:spacing w:val="-5"/>
      <w:lang w:eastAsia="en-US"/>
    </w:rPr>
  </w:style>
  <w:style w:type="paragraph" w:styleId="Heading1">
    <w:name w:val="heading 1"/>
    <w:basedOn w:val="Normal"/>
    <w:next w:val="Normal"/>
    <w:link w:val="Heading1Char"/>
    <w:uiPriority w:val="99"/>
    <w:qFormat/>
    <w:rsid w:val="000F4D6A"/>
    <w:pPr>
      <w:keepNext/>
      <w:outlineLvl w:val="0"/>
    </w:pPr>
    <w:rPr>
      <w:rFonts w:ascii="Times New Roman" w:hAnsi="Times New Roman"/>
      <w:b/>
      <w:spacing w:val="0"/>
      <w:sz w:val="24"/>
      <w:szCs w:val="24"/>
    </w:rPr>
  </w:style>
  <w:style w:type="paragraph" w:styleId="Heading2">
    <w:name w:val="heading 2"/>
    <w:basedOn w:val="Normal"/>
    <w:next w:val="Normal"/>
    <w:link w:val="Heading2Char"/>
    <w:uiPriority w:val="99"/>
    <w:qFormat/>
    <w:rsid w:val="000F4D6A"/>
    <w:pPr>
      <w:keepNext/>
      <w:outlineLvl w:val="1"/>
    </w:pPr>
    <w:rPr>
      <w:rFonts w:ascii="Times New Roman" w:hAnsi="Times New Roman"/>
      <w:b/>
      <w:spacing w:val="0"/>
      <w:szCs w:val="24"/>
      <w:lang w:val="en-US"/>
    </w:rPr>
  </w:style>
  <w:style w:type="paragraph" w:styleId="Heading3">
    <w:name w:val="heading 3"/>
    <w:basedOn w:val="Normal"/>
    <w:next w:val="Normal"/>
    <w:link w:val="Heading3Char"/>
    <w:uiPriority w:val="99"/>
    <w:qFormat/>
    <w:rsid w:val="000F4D6A"/>
    <w:pPr>
      <w:keepNext/>
      <w:outlineLvl w:val="2"/>
    </w:pPr>
    <w:rPr>
      <w:rFonts w:ascii="Times New Roman" w:hAnsi="Times New Roman"/>
      <w:b/>
      <w:spacing w:val="0"/>
      <w:sz w:val="22"/>
      <w:szCs w:val="24"/>
      <w:u w:val="single"/>
    </w:rPr>
  </w:style>
  <w:style w:type="paragraph" w:styleId="Heading4">
    <w:name w:val="heading 4"/>
    <w:basedOn w:val="Normal"/>
    <w:next w:val="Normal"/>
    <w:link w:val="Heading4Char"/>
    <w:uiPriority w:val="99"/>
    <w:qFormat/>
    <w:rsid w:val="000F4D6A"/>
    <w:pPr>
      <w:keepNext/>
      <w:outlineLvl w:val="3"/>
    </w:pPr>
    <w:rPr>
      <w:rFonts w:ascii="Times New Roman" w:hAnsi="Times New Roman"/>
      <w:b/>
      <w:bCs/>
      <w:spacing w:val="0"/>
      <w:sz w:val="22"/>
      <w:szCs w:val="24"/>
    </w:rPr>
  </w:style>
  <w:style w:type="paragraph" w:styleId="Heading5">
    <w:name w:val="heading 5"/>
    <w:basedOn w:val="Normal"/>
    <w:next w:val="Normal"/>
    <w:link w:val="Heading5Char"/>
    <w:uiPriority w:val="99"/>
    <w:qFormat/>
    <w:rsid w:val="000F4D6A"/>
    <w:pPr>
      <w:keepNext/>
      <w:tabs>
        <w:tab w:val="left" w:pos="1418"/>
      </w:tabs>
      <w:ind w:left="1418"/>
      <w:outlineLvl w:val="4"/>
    </w:pPr>
    <w:rPr>
      <w:rFonts w:cs="Arial"/>
      <w:b/>
      <w:bCs/>
      <w:spacing w:val="0"/>
      <w:szCs w:val="24"/>
    </w:rPr>
  </w:style>
  <w:style w:type="paragraph" w:styleId="Heading6">
    <w:name w:val="heading 6"/>
    <w:basedOn w:val="Normal"/>
    <w:next w:val="Normal"/>
    <w:link w:val="Heading6Char"/>
    <w:uiPriority w:val="99"/>
    <w:qFormat/>
    <w:rsid w:val="000F4D6A"/>
    <w:pPr>
      <w:spacing w:before="240" w:after="60"/>
      <w:outlineLvl w:val="5"/>
    </w:pPr>
    <w:rPr>
      <w:rFonts w:ascii="Times New Roman" w:hAnsi="Times New Roman"/>
      <w:b/>
      <w:bCs/>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4D6A"/>
    <w:rPr>
      <w:rFonts w:cs="Times New Roman"/>
      <w:b/>
      <w:sz w:val="24"/>
      <w:szCs w:val="24"/>
      <w:lang w:val="en-GB" w:eastAsia="en-US" w:bidi="ar-SA"/>
    </w:rPr>
  </w:style>
  <w:style w:type="character" w:customStyle="1" w:styleId="Heading2Char">
    <w:name w:val="Heading 2 Char"/>
    <w:basedOn w:val="DefaultParagraphFont"/>
    <w:link w:val="Heading2"/>
    <w:uiPriority w:val="99"/>
    <w:semiHidden/>
    <w:locked/>
    <w:rsid w:val="00527770"/>
    <w:rPr>
      <w:rFonts w:ascii="Cambria" w:hAnsi="Cambria" w:cs="Times New Roman"/>
      <w:b/>
      <w:bCs/>
      <w:i/>
      <w:iCs/>
      <w:spacing w:val="-5"/>
      <w:sz w:val="28"/>
      <w:szCs w:val="28"/>
      <w:lang w:eastAsia="en-US"/>
    </w:rPr>
  </w:style>
  <w:style w:type="character" w:customStyle="1" w:styleId="Heading3Char">
    <w:name w:val="Heading 3 Char"/>
    <w:basedOn w:val="DefaultParagraphFont"/>
    <w:link w:val="Heading3"/>
    <w:uiPriority w:val="99"/>
    <w:semiHidden/>
    <w:locked/>
    <w:rsid w:val="00527770"/>
    <w:rPr>
      <w:rFonts w:ascii="Cambria" w:hAnsi="Cambria" w:cs="Times New Roman"/>
      <w:b/>
      <w:bCs/>
      <w:spacing w:val="-5"/>
      <w:sz w:val="26"/>
      <w:szCs w:val="26"/>
      <w:lang w:eastAsia="en-US"/>
    </w:rPr>
  </w:style>
  <w:style w:type="character" w:customStyle="1" w:styleId="Heading4Char">
    <w:name w:val="Heading 4 Char"/>
    <w:basedOn w:val="DefaultParagraphFont"/>
    <w:link w:val="Heading4"/>
    <w:uiPriority w:val="99"/>
    <w:semiHidden/>
    <w:locked/>
    <w:rsid w:val="00527770"/>
    <w:rPr>
      <w:rFonts w:ascii="Calibri" w:hAnsi="Calibri" w:cs="Times New Roman"/>
      <w:b/>
      <w:bCs/>
      <w:spacing w:val="-5"/>
      <w:sz w:val="28"/>
      <w:szCs w:val="28"/>
      <w:lang w:eastAsia="en-US"/>
    </w:rPr>
  </w:style>
  <w:style w:type="character" w:customStyle="1" w:styleId="Heading5Char">
    <w:name w:val="Heading 5 Char"/>
    <w:basedOn w:val="DefaultParagraphFont"/>
    <w:link w:val="Heading5"/>
    <w:uiPriority w:val="99"/>
    <w:semiHidden/>
    <w:locked/>
    <w:rsid w:val="00527770"/>
    <w:rPr>
      <w:rFonts w:ascii="Calibri" w:hAnsi="Calibri" w:cs="Times New Roman"/>
      <w:b/>
      <w:bCs/>
      <w:i/>
      <w:iCs/>
      <w:spacing w:val="-5"/>
      <w:sz w:val="26"/>
      <w:szCs w:val="26"/>
      <w:lang w:eastAsia="en-US"/>
    </w:rPr>
  </w:style>
  <w:style w:type="character" w:customStyle="1" w:styleId="Heading6Char">
    <w:name w:val="Heading 6 Char"/>
    <w:basedOn w:val="DefaultParagraphFont"/>
    <w:link w:val="Heading6"/>
    <w:uiPriority w:val="99"/>
    <w:semiHidden/>
    <w:locked/>
    <w:rsid w:val="00527770"/>
    <w:rPr>
      <w:rFonts w:ascii="Calibri" w:hAnsi="Calibri" w:cs="Times New Roman"/>
      <w:b/>
      <w:bCs/>
      <w:spacing w:val="-5"/>
      <w:lang w:eastAsia="en-US"/>
    </w:rPr>
  </w:style>
  <w:style w:type="paragraph" w:styleId="Header">
    <w:name w:val="header"/>
    <w:basedOn w:val="Normal"/>
    <w:link w:val="HeaderChar"/>
    <w:uiPriority w:val="99"/>
    <w:rsid w:val="00FF3216"/>
    <w:pPr>
      <w:tabs>
        <w:tab w:val="center" w:pos="4153"/>
        <w:tab w:val="right" w:pos="8306"/>
      </w:tabs>
    </w:pPr>
  </w:style>
  <w:style w:type="character" w:customStyle="1" w:styleId="HeaderChar">
    <w:name w:val="Header Char"/>
    <w:basedOn w:val="DefaultParagraphFont"/>
    <w:link w:val="Header"/>
    <w:uiPriority w:val="99"/>
    <w:semiHidden/>
    <w:locked/>
    <w:rsid w:val="00445624"/>
    <w:rPr>
      <w:rFonts w:ascii="Arial" w:hAnsi="Arial" w:cs="Times New Roman"/>
      <w:spacing w:val="-5"/>
      <w:lang w:val="en-GB" w:eastAsia="en-US" w:bidi="ar-SA"/>
    </w:rPr>
  </w:style>
  <w:style w:type="paragraph" w:styleId="Footer">
    <w:name w:val="footer"/>
    <w:basedOn w:val="Normal"/>
    <w:link w:val="FooterChar"/>
    <w:uiPriority w:val="99"/>
    <w:rsid w:val="00FF3216"/>
    <w:pPr>
      <w:tabs>
        <w:tab w:val="center" w:pos="4153"/>
        <w:tab w:val="right" w:pos="8306"/>
      </w:tabs>
    </w:pPr>
  </w:style>
  <w:style w:type="character" w:customStyle="1" w:styleId="FooterChar">
    <w:name w:val="Footer Char"/>
    <w:basedOn w:val="DefaultParagraphFont"/>
    <w:link w:val="Footer"/>
    <w:uiPriority w:val="99"/>
    <w:semiHidden/>
    <w:locked/>
    <w:rsid w:val="00527770"/>
    <w:rPr>
      <w:rFonts w:ascii="Arial" w:hAnsi="Arial" w:cs="Times New Roman"/>
      <w:spacing w:val="-5"/>
      <w:sz w:val="20"/>
      <w:szCs w:val="20"/>
      <w:lang w:eastAsia="en-US"/>
    </w:rPr>
  </w:style>
  <w:style w:type="paragraph" w:customStyle="1" w:styleId="FooterAssetFinanceflyers">
    <w:name w:val="Footer (Asset Finance flyers)"/>
    <w:basedOn w:val="Normal"/>
    <w:uiPriority w:val="99"/>
    <w:rsid w:val="00B82651"/>
    <w:pPr>
      <w:suppressAutoHyphens/>
      <w:autoSpaceDE w:val="0"/>
      <w:autoSpaceDN w:val="0"/>
      <w:adjustRightInd w:val="0"/>
      <w:spacing w:line="200" w:lineRule="atLeast"/>
      <w:jc w:val="both"/>
      <w:textAlignment w:val="center"/>
    </w:pPr>
    <w:rPr>
      <w:rFonts w:ascii="Bliss 2 Regular" w:hAnsi="Bliss 2 Regular" w:cs="Bliss 2 Regular"/>
      <w:color w:val="006792"/>
      <w:sz w:val="16"/>
      <w:szCs w:val="16"/>
    </w:rPr>
  </w:style>
  <w:style w:type="character" w:styleId="PageNumber">
    <w:name w:val="page number"/>
    <w:basedOn w:val="DefaultParagraphFont"/>
    <w:uiPriority w:val="99"/>
    <w:rsid w:val="004A3CFB"/>
    <w:rPr>
      <w:rFonts w:cs="Times New Roman"/>
    </w:rPr>
  </w:style>
  <w:style w:type="paragraph" w:styleId="BodyText">
    <w:name w:val="Body Text"/>
    <w:basedOn w:val="Normal"/>
    <w:link w:val="BodyTextChar"/>
    <w:uiPriority w:val="99"/>
    <w:rsid w:val="000F4D6A"/>
    <w:rPr>
      <w:rFonts w:ascii="Times New Roman" w:hAnsi="Times New Roman"/>
      <w:spacing w:val="0"/>
      <w:sz w:val="24"/>
      <w:szCs w:val="24"/>
      <w:lang w:val="en-US"/>
    </w:rPr>
  </w:style>
  <w:style w:type="character" w:customStyle="1" w:styleId="BodyTextChar">
    <w:name w:val="Body Text Char"/>
    <w:basedOn w:val="DefaultParagraphFont"/>
    <w:link w:val="BodyText"/>
    <w:uiPriority w:val="99"/>
    <w:locked/>
    <w:rsid w:val="004E4D52"/>
    <w:rPr>
      <w:rFonts w:cs="Times New Roman"/>
      <w:sz w:val="24"/>
      <w:szCs w:val="24"/>
      <w:lang w:val="en-US" w:eastAsia="en-US" w:bidi="ar-SA"/>
    </w:rPr>
  </w:style>
  <w:style w:type="paragraph" w:styleId="BodyText2">
    <w:name w:val="Body Text 2"/>
    <w:basedOn w:val="Normal"/>
    <w:link w:val="BodyText2Char"/>
    <w:uiPriority w:val="99"/>
    <w:rsid w:val="000F4D6A"/>
    <w:rPr>
      <w:rFonts w:ascii="Times New Roman" w:hAnsi="Times New Roman"/>
      <w:spacing w:val="0"/>
      <w:sz w:val="22"/>
      <w:szCs w:val="24"/>
    </w:rPr>
  </w:style>
  <w:style w:type="character" w:customStyle="1" w:styleId="BodyText2Char">
    <w:name w:val="Body Text 2 Char"/>
    <w:basedOn w:val="DefaultParagraphFont"/>
    <w:link w:val="BodyText2"/>
    <w:uiPriority w:val="99"/>
    <w:locked/>
    <w:rsid w:val="00EE2ECB"/>
    <w:rPr>
      <w:rFonts w:cs="Times New Roman"/>
      <w:sz w:val="24"/>
      <w:szCs w:val="24"/>
      <w:lang w:val="en-GB" w:eastAsia="en-US" w:bidi="ar-SA"/>
    </w:rPr>
  </w:style>
  <w:style w:type="character" w:styleId="Hyperlink">
    <w:name w:val="Hyperlink"/>
    <w:basedOn w:val="DefaultParagraphFont"/>
    <w:uiPriority w:val="99"/>
    <w:rsid w:val="000F4D6A"/>
    <w:rPr>
      <w:rFonts w:cs="Times New Roman"/>
      <w:color w:val="0000FF"/>
      <w:u w:val="single"/>
    </w:rPr>
  </w:style>
  <w:style w:type="paragraph" w:styleId="BodyText3">
    <w:name w:val="Body Text 3"/>
    <w:basedOn w:val="Normal"/>
    <w:link w:val="BodyText3Char"/>
    <w:uiPriority w:val="99"/>
    <w:rsid w:val="000F4D6A"/>
    <w:rPr>
      <w:rFonts w:ascii="Times New Roman" w:hAnsi="Times New Roman"/>
      <w:i/>
      <w:iCs/>
      <w:spacing w:val="0"/>
      <w:sz w:val="22"/>
      <w:szCs w:val="24"/>
    </w:rPr>
  </w:style>
  <w:style w:type="character" w:customStyle="1" w:styleId="BodyText3Char">
    <w:name w:val="Body Text 3 Char"/>
    <w:basedOn w:val="DefaultParagraphFont"/>
    <w:link w:val="BodyText3"/>
    <w:uiPriority w:val="99"/>
    <w:semiHidden/>
    <w:locked/>
    <w:rsid w:val="00527770"/>
    <w:rPr>
      <w:rFonts w:ascii="Arial" w:hAnsi="Arial" w:cs="Times New Roman"/>
      <w:spacing w:val="-5"/>
      <w:sz w:val="16"/>
      <w:szCs w:val="16"/>
      <w:lang w:eastAsia="en-US"/>
    </w:rPr>
  </w:style>
  <w:style w:type="character" w:styleId="FollowedHyperlink">
    <w:name w:val="FollowedHyperlink"/>
    <w:basedOn w:val="DefaultParagraphFont"/>
    <w:uiPriority w:val="99"/>
    <w:rsid w:val="000F4D6A"/>
    <w:rPr>
      <w:rFonts w:cs="Times New Roman"/>
      <w:color w:val="800080"/>
      <w:u w:val="single"/>
    </w:rPr>
  </w:style>
  <w:style w:type="character" w:styleId="Emphasis">
    <w:name w:val="Emphasis"/>
    <w:basedOn w:val="DefaultParagraphFont"/>
    <w:uiPriority w:val="99"/>
    <w:qFormat/>
    <w:rsid w:val="000F4D6A"/>
    <w:rPr>
      <w:rFonts w:cs="Times New Roman"/>
      <w:i/>
      <w:iCs/>
    </w:rPr>
  </w:style>
  <w:style w:type="paragraph" w:styleId="BalloonText">
    <w:name w:val="Balloon Text"/>
    <w:basedOn w:val="Normal"/>
    <w:link w:val="BalloonTextChar"/>
    <w:uiPriority w:val="99"/>
    <w:semiHidden/>
    <w:rsid w:val="000F4D6A"/>
    <w:rPr>
      <w:rFonts w:ascii="Tahoma" w:hAnsi="Tahoma" w:cs="Tahoma"/>
      <w:spacing w:val="0"/>
      <w:sz w:val="16"/>
      <w:szCs w:val="16"/>
    </w:rPr>
  </w:style>
  <w:style w:type="character" w:customStyle="1" w:styleId="BalloonTextChar">
    <w:name w:val="Balloon Text Char"/>
    <w:basedOn w:val="DefaultParagraphFont"/>
    <w:link w:val="BalloonText"/>
    <w:uiPriority w:val="99"/>
    <w:semiHidden/>
    <w:locked/>
    <w:rsid w:val="00527770"/>
    <w:rPr>
      <w:rFonts w:cs="Times New Roman"/>
      <w:spacing w:val="-5"/>
      <w:sz w:val="2"/>
      <w:lang w:eastAsia="en-US"/>
    </w:rPr>
  </w:style>
  <w:style w:type="paragraph" w:styleId="BodyTextIndent">
    <w:name w:val="Body Text Indent"/>
    <w:basedOn w:val="Normal"/>
    <w:link w:val="BodyTextIndentChar"/>
    <w:uiPriority w:val="99"/>
    <w:rsid w:val="000F4D6A"/>
    <w:pPr>
      <w:autoSpaceDE w:val="0"/>
      <w:autoSpaceDN w:val="0"/>
      <w:adjustRightInd w:val="0"/>
      <w:ind w:left="720"/>
      <w:jc w:val="both"/>
    </w:pPr>
    <w:rPr>
      <w:rFonts w:cs="Arial"/>
      <w:b/>
      <w:bCs/>
      <w:color w:val="FF0000"/>
      <w:spacing w:val="0"/>
      <w:sz w:val="24"/>
      <w:szCs w:val="24"/>
      <w:lang w:eastAsia="en-GB"/>
    </w:rPr>
  </w:style>
  <w:style w:type="character" w:customStyle="1" w:styleId="BodyTextIndentChar">
    <w:name w:val="Body Text Indent Char"/>
    <w:basedOn w:val="DefaultParagraphFont"/>
    <w:link w:val="BodyTextIndent"/>
    <w:uiPriority w:val="99"/>
    <w:semiHidden/>
    <w:locked/>
    <w:rsid w:val="00527770"/>
    <w:rPr>
      <w:rFonts w:ascii="Arial" w:hAnsi="Arial" w:cs="Times New Roman"/>
      <w:spacing w:val="-5"/>
      <w:sz w:val="20"/>
      <w:szCs w:val="20"/>
      <w:lang w:eastAsia="en-US"/>
    </w:rPr>
  </w:style>
  <w:style w:type="character" w:customStyle="1" w:styleId="normaltext1">
    <w:name w:val="normaltext1"/>
    <w:basedOn w:val="DefaultParagraphFont"/>
    <w:uiPriority w:val="99"/>
    <w:rsid w:val="000F4D6A"/>
    <w:rPr>
      <w:rFonts w:ascii="Arial" w:hAnsi="Arial" w:cs="Arial"/>
      <w:color w:val="666666"/>
      <w:sz w:val="13"/>
      <w:szCs w:val="13"/>
    </w:rPr>
  </w:style>
  <w:style w:type="character" w:customStyle="1" w:styleId="enquiry1">
    <w:name w:val="enquiry1"/>
    <w:basedOn w:val="DefaultParagraphFont"/>
    <w:uiPriority w:val="99"/>
    <w:rsid w:val="000F4D6A"/>
    <w:rPr>
      <w:rFonts w:ascii="Verdana" w:hAnsi="Verdana" w:cs="Times New Roman"/>
      <w:color w:val="333366"/>
      <w:sz w:val="15"/>
      <w:szCs w:val="15"/>
      <w:u w:val="none"/>
      <w:effect w:val="none"/>
    </w:rPr>
  </w:style>
  <w:style w:type="character" w:customStyle="1" w:styleId="EmailStyle42">
    <w:name w:val="EmailStyle42"/>
    <w:basedOn w:val="DefaultParagraphFont"/>
    <w:uiPriority w:val="99"/>
    <w:semiHidden/>
    <w:rsid w:val="000F4D6A"/>
    <w:rPr>
      <w:rFonts w:ascii="Arial" w:hAnsi="Arial" w:cs="Arial"/>
      <w:color w:val="000000"/>
      <w:sz w:val="20"/>
    </w:rPr>
  </w:style>
  <w:style w:type="character" w:customStyle="1" w:styleId="EmailStyle43">
    <w:name w:val="EmailStyle43"/>
    <w:basedOn w:val="DefaultParagraphFont"/>
    <w:uiPriority w:val="99"/>
    <w:semiHidden/>
    <w:rsid w:val="000F4D6A"/>
    <w:rPr>
      <w:rFonts w:ascii="Arial" w:hAnsi="Arial" w:cs="Arial"/>
      <w:color w:val="000080"/>
      <w:sz w:val="20"/>
    </w:rPr>
  </w:style>
  <w:style w:type="table" w:styleId="TableGrid">
    <w:name w:val="Table Grid"/>
    <w:basedOn w:val="TableNormal"/>
    <w:uiPriority w:val="99"/>
    <w:rsid w:val="000F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0F4D6A"/>
    <w:pPr>
      <w:spacing w:after="120" w:line="480" w:lineRule="auto"/>
      <w:ind w:left="283"/>
    </w:pPr>
    <w:rPr>
      <w:rFonts w:ascii="Times New Roman" w:hAnsi="Times New Roman"/>
      <w:spacing w:val="0"/>
      <w:sz w:val="24"/>
      <w:szCs w:val="24"/>
    </w:rPr>
  </w:style>
  <w:style w:type="character" w:customStyle="1" w:styleId="BodyTextIndent2Char">
    <w:name w:val="Body Text Indent 2 Char"/>
    <w:basedOn w:val="DefaultParagraphFont"/>
    <w:link w:val="BodyTextIndent2"/>
    <w:uiPriority w:val="99"/>
    <w:semiHidden/>
    <w:locked/>
    <w:rsid w:val="00527770"/>
    <w:rPr>
      <w:rFonts w:ascii="Arial" w:hAnsi="Arial" w:cs="Times New Roman"/>
      <w:spacing w:val="-5"/>
      <w:sz w:val="20"/>
      <w:szCs w:val="20"/>
      <w:lang w:eastAsia="en-US"/>
    </w:rPr>
  </w:style>
  <w:style w:type="character" w:customStyle="1" w:styleId="EmailStyle47">
    <w:name w:val="EmailStyle47"/>
    <w:basedOn w:val="DefaultParagraphFont"/>
    <w:uiPriority w:val="99"/>
    <w:semiHidden/>
    <w:rsid w:val="000F4D6A"/>
    <w:rPr>
      <w:rFonts w:ascii="Arial" w:hAnsi="Arial" w:cs="Arial"/>
      <w:color w:val="auto"/>
      <w:sz w:val="20"/>
      <w:szCs w:val="20"/>
    </w:rPr>
  </w:style>
  <w:style w:type="paragraph" w:styleId="NormalWeb">
    <w:name w:val="Normal (Web)"/>
    <w:basedOn w:val="Normal"/>
    <w:uiPriority w:val="99"/>
    <w:rsid w:val="009955B8"/>
    <w:pPr>
      <w:spacing w:before="100" w:beforeAutospacing="1" w:after="100" w:afterAutospacing="1"/>
    </w:pPr>
    <w:rPr>
      <w:rFonts w:ascii="Times New Roman" w:hAnsi="Times New Roman"/>
      <w:spacing w:val="0"/>
      <w:sz w:val="24"/>
      <w:szCs w:val="24"/>
      <w:lang w:eastAsia="en-GB"/>
    </w:rPr>
  </w:style>
  <w:style w:type="paragraph" w:customStyle="1" w:styleId="CharCharCharChar">
    <w:name w:val="Char Char Char Char"/>
    <w:basedOn w:val="Normal"/>
    <w:uiPriority w:val="99"/>
    <w:rsid w:val="00445624"/>
    <w:pPr>
      <w:spacing w:after="160" w:line="240" w:lineRule="exact"/>
    </w:pPr>
    <w:rPr>
      <w:rFonts w:ascii="Tahoma" w:hAnsi="Tahoma"/>
      <w:spacing w:val="0"/>
      <w:lang w:val="en-US"/>
    </w:rPr>
  </w:style>
  <w:style w:type="paragraph" w:styleId="FootnoteText">
    <w:name w:val="footnote text"/>
    <w:basedOn w:val="Normal"/>
    <w:link w:val="FootnoteTextChar"/>
    <w:uiPriority w:val="99"/>
    <w:semiHidden/>
    <w:rsid w:val="00061BE0"/>
    <w:rPr>
      <w:rFonts w:ascii="Times New Roman" w:hAnsi="Times New Roman"/>
      <w:spacing w:val="0"/>
      <w:lang w:eastAsia="ja-JP"/>
    </w:rPr>
  </w:style>
  <w:style w:type="character" w:customStyle="1" w:styleId="FootnoteTextChar">
    <w:name w:val="Footnote Text Char"/>
    <w:basedOn w:val="DefaultParagraphFont"/>
    <w:link w:val="FootnoteText"/>
    <w:uiPriority w:val="99"/>
    <w:semiHidden/>
    <w:locked/>
    <w:rsid w:val="00527770"/>
    <w:rPr>
      <w:rFonts w:ascii="Arial" w:hAnsi="Arial" w:cs="Times New Roman"/>
      <w:spacing w:val="-5"/>
      <w:sz w:val="20"/>
      <w:szCs w:val="20"/>
      <w:lang w:eastAsia="en-US"/>
    </w:rPr>
  </w:style>
  <w:style w:type="character" w:styleId="FootnoteReference">
    <w:name w:val="footnote reference"/>
    <w:basedOn w:val="DefaultParagraphFont"/>
    <w:uiPriority w:val="99"/>
    <w:semiHidden/>
    <w:rsid w:val="00061BE0"/>
    <w:rPr>
      <w:rFonts w:cs="Times New Roman"/>
      <w:vertAlign w:val="superscript"/>
    </w:rPr>
  </w:style>
  <w:style w:type="character" w:styleId="CommentReference">
    <w:name w:val="annotation reference"/>
    <w:basedOn w:val="DefaultParagraphFont"/>
    <w:uiPriority w:val="99"/>
    <w:semiHidden/>
    <w:rsid w:val="005A2A46"/>
    <w:rPr>
      <w:rFonts w:cs="Times New Roman"/>
      <w:sz w:val="16"/>
      <w:szCs w:val="16"/>
    </w:rPr>
  </w:style>
  <w:style w:type="paragraph" w:styleId="CommentText">
    <w:name w:val="annotation text"/>
    <w:basedOn w:val="Normal"/>
    <w:link w:val="CommentTextChar"/>
    <w:uiPriority w:val="99"/>
    <w:semiHidden/>
    <w:rsid w:val="005A2A46"/>
  </w:style>
  <w:style w:type="character" w:customStyle="1" w:styleId="CommentTextChar">
    <w:name w:val="Comment Text Char"/>
    <w:basedOn w:val="DefaultParagraphFont"/>
    <w:link w:val="CommentText"/>
    <w:uiPriority w:val="99"/>
    <w:semiHidden/>
    <w:locked/>
    <w:rsid w:val="00527770"/>
    <w:rPr>
      <w:rFonts w:ascii="Arial" w:hAnsi="Arial" w:cs="Times New Roman"/>
      <w:spacing w:val="-5"/>
      <w:sz w:val="20"/>
      <w:szCs w:val="20"/>
      <w:lang w:eastAsia="en-US"/>
    </w:rPr>
  </w:style>
  <w:style w:type="paragraph" w:styleId="CommentSubject">
    <w:name w:val="annotation subject"/>
    <w:basedOn w:val="CommentText"/>
    <w:next w:val="CommentText"/>
    <w:link w:val="CommentSubjectChar"/>
    <w:uiPriority w:val="99"/>
    <w:semiHidden/>
    <w:rsid w:val="005A2A46"/>
    <w:rPr>
      <w:b/>
      <w:bCs/>
    </w:rPr>
  </w:style>
  <w:style w:type="character" w:customStyle="1" w:styleId="CommentSubjectChar">
    <w:name w:val="Comment Subject Char"/>
    <w:basedOn w:val="CommentTextChar"/>
    <w:link w:val="CommentSubject"/>
    <w:uiPriority w:val="99"/>
    <w:semiHidden/>
    <w:locked/>
    <w:rsid w:val="00527770"/>
    <w:rPr>
      <w:rFonts w:ascii="Arial" w:hAnsi="Arial" w:cs="Times New Roman"/>
      <w:b/>
      <w:bCs/>
      <w:spacing w:val="-5"/>
      <w:sz w:val="20"/>
      <w:szCs w:val="20"/>
      <w:lang w:eastAsia="en-US"/>
    </w:rPr>
  </w:style>
  <w:style w:type="paragraph" w:customStyle="1" w:styleId="1">
    <w:name w:val="1"/>
    <w:basedOn w:val="Normal"/>
    <w:rsid w:val="00BA5534"/>
    <w:pPr>
      <w:tabs>
        <w:tab w:val="left" w:pos="1425"/>
      </w:tabs>
      <w:ind w:right="53"/>
      <w:jc w:val="both"/>
    </w:pPr>
    <w:rPr>
      <w:rFonts w:eastAsia="SimSun"/>
      <w:color w:val="FF6600"/>
      <w:spacing w:val="0"/>
      <w:sz w:val="22"/>
      <w:szCs w:val="16"/>
      <w:lang w:eastAsia="zh-CN"/>
    </w:rPr>
  </w:style>
  <w:style w:type="paragraph" w:styleId="ListBullet">
    <w:name w:val="List Bullet"/>
    <w:basedOn w:val="Normal"/>
    <w:uiPriority w:val="2"/>
    <w:qFormat/>
    <w:rsid w:val="00034CB5"/>
    <w:pPr>
      <w:numPr>
        <w:numId w:val="6"/>
      </w:numPr>
      <w:tabs>
        <w:tab w:val="clear" w:pos="570"/>
        <w:tab w:val="num" w:pos="360"/>
      </w:tabs>
      <w:ind w:left="360" w:hanging="360"/>
    </w:pPr>
  </w:style>
  <w:style w:type="character" w:customStyle="1" w:styleId="searchword">
    <w:name w:val="searchword"/>
    <w:basedOn w:val="DefaultParagraphFont"/>
    <w:uiPriority w:val="99"/>
    <w:rsid w:val="00EE1C9F"/>
    <w:rPr>
      <w:rFonts w:cs="Times New Roman"/>
    </w:rPr>
  </w:style>
  <w:style w:type="paragraph" w:customStyle="1" w:styleId="body">
    <w:name w:val="body"/>
    <w:basedOn w:val="Normal"/>
    <w:link w:val="bodyChar"/>
    <w:uiPriority w:val="99"/>
    <w:rsid w:val="00E03CB6"/>
    <w:pPr>
      <w:jc w:val="both"/>
    </w:pPr>
    <w:rPr>
      <w:rFonts w:cs="Arial"/>
      <w:noProof/>
      <w:sz w:val="22"/>
      <w:szCs w:val="22"/>
    </w:rPr>
  </w:style>
  <w:style w:type="character" w:customStyle="1" w:styleId="bodyChar">
    <w:name w:val="body Char"/>
    <w:basedOn w:val="DefaultParagraphFont"/>
    <w:link w:val="body"/>
    <w:uiPriority w:val="99"/>
    <w:locked/>
    <w:rsid w:val="00E03CB6"/>
    <w:rPr>
      <w:rFonts w:ascii="Arial" w:hAnsi="Arial" w:cs="Arial"/>
      <w:noProof/>
      <w:spacing w:val="-5"/>
      <w:sz w:val="22"/>
      <w:szCs w:val="22"/>
      <w:lang w:val="en-GB" w:eastAsia="en-US" w:bidi="ar-SA"/>
    </w:rPr>
  </w:style>
  <w:style w:type="paragraph" w:styleId="BodyTextIndent3">
    <w:name w:val="Body Text Indent 3"/>
    <w:basedOn w:val="Normal"/>
    <w:link w:val="BodyTextIndent3Char"/>
    <w:uiPriority w:val="99"/>
    <w:rsid w:val="006239B7"/>
    <w:pPr>
      <w:tabs>
        <w:tab w:val="left" w:pos="567"/>
        <w:tab w:val="left" w:pos="1134"/>
        <w:tab w:val="left" w:pos="1701"/>
      </w:tabs>
      <w:ind w:left="1134" w:hanging="564"/>
    </w:pPr>
    <w:rPr>
      <w:spacing w:val="0"/>
      <w:sz w:val="22"/>
      <w:lang w:eastAsia="en-GB"/>
    </w:rPr>
  </w:style>
  <w:style w:type="character" w:customStyle="1" w:styleId="BodyTextIndent3Char">
    <w:name w:val="Body Text Indent 3 Char"/>
    <w:basedOn w:val="DefaultParagraphFont"/>
    <w:link w:val="BodyTextIndent3"/>
    <w:uiPriority w:val="99"/>
    <w:semiHidden/>
    <w:locked/>
    <w:rsid w:val="00527770"/>
    <w:rPr>
      <w:rFonts w:ascii="Arial" w:hAnsi="Arial" w:cs="Times New Roman"/>
      <w:spacing w:val="-5"/>
      <w:sz w:val="16"/>
      <w:szCs w:val="16"/>
      <w:lang w:eastAsia="en-US"/>
    </w:rPr>
  </w:style>
  <w:style w:type="paragraph" w:customStyle="1" w:styleId="introduction">
    <w:name w:val="introduction"/>
    <w:basedOn w:val="Normal"/>
    <w:uiPriority w:val="99"/>
    <w:rsid w:val="005C7F10"/>
    <w:pPr>
      <w:spacing w:before="100" w:beforeAutospacing="1" w:after="100" w:afterAutospacing="1"/>
    </w:pPr>
    <w:rPr>
      <w:rFonts w:ascii="Times New Roman" w:hAnsi="Times New Roman"/>
      <w:spacing w:val="0"/>
      <w:sz w:val="24"/>
      <w:szCs w:val="24"/>
      <w:lang w:val="en-US"/>
    </w:rPr>
  </w:style>
  <w:style w:type="paragraph" w:styleId="ListParagraph">
    <w:name w:val="List Paragraph"/>
    <w:basedOn w:val="Normal"/>
    <w:uiPriority w:val="34"/>
    <w:qFormat/>
    <w:rsid w:val="00AC3E1A"/>
    <w:pPr>
      <w:ind w:left="720"/>
    </w:pPr>
  </w:style>
  <w:style w:type="paragraph" w:customStyle="1" w:styleId="subhead">
    <w:name w:val="subhead"/>
    <w:basedOn w:val="Normal"/>
    <w:link w:val="subheadChar"/>
    <w:uiPriority w:val="99"/>
    <w:rsid w:val="00F9071C"/>
    <w:pPr>
      <w:spacing w:before="270" w:after="180"/>
      <w:jc w:val="both"/>
    </w:pPr>
    <w:rPr>
      <w:rFonts w:cs="Arial"/>
      <w:b/>
      <w:noProof/>
      <w:spacing w:val="0"/>
      <w:sz w:val="22"/>
      <w:szCs w:val="22"/>
    </w:rPr>
  </w:style>
  <w:style w:type="character" w:customStyle="1" w:styleId="subheadChar">
    <w:name w:val="subhead Char"/>
    <w:basedOn w:val="DefaultParagraphFont"/>
    <w:link w:val="subhead"/>
    <w:uiPriority w:val="99"/>
    <w:locked/>
    <w:rsid w:val="00F9071C"/>
    <w:rPr>
      <w:rFonts w:ascii="Arial" w:hAnsi="Arial" w:cs="Arial"/>
      <w:b/>
      <w:noProof/>
      <w:sz w:val="22"/>
      <w:szCs w:val="22"/>
      <w:lang w:eastAsia="en-US"/>
    </w:rPr>
  </w:style>
  <w:style w:type="paragraph" w:customStyle="1" w:styleId="Default">
    <w:name w:val="Default"/>
    <w:rsid w:val="00464459"/>
    <w:pPr>
      <w:autoSpaceDE w:val="0"/>
      <w:autoSpaceDN w:val="0"/>
      <w:adjustRightInd w:val="0"/>
    </w:pPr>
    <w:rPr>
      <w:rFonts w:ascii="Verdana" w:hAnsi="Verdana" w:cs="Verdana"/>
      <w:color w:val="000000"/>
      <w:sz w:val="24"/>
      <w:szCs w:val="24"/>
    </w:rPr>
  </w:style>
  <w:style w:type="paragraph" w:styleId="TOC2">
    <w:name w:val="toc 2"/>
    <w:basedOn w:val="Normal"/>
    <w:next w:val="Normal"/>
    <w:autoRedefine/>
    <w:uiPriority w:val="39"/>
    <w:locked/>
    <w:rsid w:val="00673F84"/>
    <w:pPr>
      <w:tabs>
        <w:tab w:val="left" w:pos="880"/>
        <w:tab w:val="right" w:leader="dot" w:pos="8302"/>
      </w:tabs>
      <w:spacing w:after="100"/>
      <w:ind w:left="720" w:hanging="520"/>
    </w:pPr>
    <w:rPr>
      <w:noProof/>
      <w:color w:val="0D0D0D" w:themeColor="text1" w:themeTint="F2"/>
      <w:sz w:val="18"/>
    </w:rPr>
  </w:style>
  <w:style w:type="paragraph" w:customStyle="1" w:styleId="ChapterHeading">
    <w:name w:val="Chapter Heading"/>
    <w:basedOn w:val="Normal"/>
    <w:uiPriority w:val="99"/>
    <w:semiHidden/>
    <w:rsid w:val="00692C21"/>
    <w:pPr>
      <w:pageBreakBefore/>
      <w:numPr>
        <w:numId w:val="45"/>
      </w:numPr>
      <w:spacing w:before="120" w:after="120"/>
      <w:jc w:val="both"/>
    </w:pPr>
    <w:rPr>
      <w:rFonts w:ascii="Calibri" w:hAnsi="Calibri" w:cs="Arial"/>
      <w:b/>
      <w:noProof/>
      <w:sz w:val="36"/>
      <w:szCs w:val="36"/>
    </w:rPr>
  </w:style>
  <w:style w:type="paragraph" w:customStyle="1" w:styleId="Subheading">
    <w:name w:val="Subheading"/>
    <w:basedOn w:val="BodyText"/>
    <w:uiPriority w:val="99"/>
    <w:semiHidden/>
    <w:rsid w:val="00692C21"/>
    <w:pPr>
      <w:numPr>
        <w:ilvl w:val="1"/>
        <w:numId w:val="45"/>
      </w:numPr>
      <w:spacing w:before="270" w:after="180"/>
      <w:jc w:val="both"/>
    </w:pPr>
    <w:rPr>
      <w:rFonts w:ascii="Arial" w:hAnsi="Arial" w:cs="Arial"/>
      <w:b/>
      <w:noProof/>
      <w:sz w:val="22"/>
      <w:szCs w:val="22"/>
      <w:lang w:val="en-GB"/>
    </w:rPr>
  </w:style>
  <w:style w:type="paragraph" w:styleId="ListNumber">
    <w:name w:val="List Number"/>
    <w:basedOn w:val="Normal"/>
    <w:uiPriority w:val="99"/>
    <w:semiHidden/>
    <w:unhideWhenUsed/>
    <w:rsid w:val="00D80AAB"/>
    <w:pPr>
      <w:numPr>
        <w:numId w:val="49"/>
      </w:numPr>
      <w:contextualSpacing/>
    </w:pPr>
  </w:style>
  <w:style w:type="table" w:customStyle="1" w:styleId="DefaultTable5">
    <w:name w:val="Default Table5"/>
    <w:basedOn w:val="TableNormal"/>
    <w:uiPriority w:val="99"/>
    <w:rsid w:val="00801A69"/>
    <w:rPr>
      <w:rFonts w:ascii="Arial" w:eastAsia="Arial" w:hAnsi="Arial"/>
      <w:lang w:val="en-AU" w:eastAsia="en-US"/>
    </w:rPr>
    <w:tblPr>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113" w:type="dxa"/>
      </w:tblCellMar>
    </w:tblPr>
    <w:tblStylePr w:type="firstRow">
      <w:rPr>
        <w:b/>
        <w:color w:val="FFFFFF"/>
      </w:rPr>
      <w:tblPr/>
      <w:tcPr>
        <w:shd w:val="clear" w:color="auto" w:fill="252D59"/>
      </w:tcPr>
    </w:tblStylePr>
    <w:tblStylePr w:type="firstCol">
      <w:rPr>
        <w:color w:val="F2F2F2"/>
      </w:rPr>
      <w:tblPr/>
      <w:tcPr>
        <w:shd w:val="clear" w:color="auto" w:fill="C9CEE8"/>
      </w:tcPr>
    </w:tblStylePr>
  </w:style>
  <w:style w:type="paragraph" w:customStyle="1" w:styleId="BulletTypeA">
    <w:name w:val="Bullet Type A"/>
    <w:basedOn w:val="ListBullet"/>
    <w:rsid w:val="00BA7339"/>
    <w:pPr>
      <w:tabs>
        <w:tab w:val="clear" w:pos="360"/>
      </w:tabs>
      <w:spacing w:after="120"/>
      <w:ind w:left="2724"/>
      <w:jc w:val="both"/>
    </w:pPr>
    <w:rPr>
      <w:rFonts w:ascii="Optima LT Std" w:eastAsiaTheme="minorHAnsi" w:hAnsi="Optima LT Std" w:cstheme="minorBidi"/>
      <w:spacing w:val="0"/>
    </w:rPr>
  </w:style>
  <w:style w:type="table" w:customStyle="1" w:styleId="DefaultTable">
    <w:name w:val="Default Table"/>
    <w:basedOn w:val="TableNormal"/>
    <w:uiPriority w:val="99"/>
    <w:rsid w:val="00104F9B"/>
    <w:rPr>
      <w:rFonts w:ascii="Arial" w:eastAsia="Arial" w:hAnsi="Arial"/>
      <w:lang w:val="en-AU" w:eastAsia="en-US"/>
    </w:rPr>
    <w:tblPr>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113" w:type="dxa"/>
      </w:tblCellMar>
    </w:tblPr>
    <w:tblStylePr w:type="firstRow">
      <w:rPr>
        <w:b/>
        <w:color w:val="FFFFFF"/>
      </w:rPr>
      <w:tblPr/>
      <w:tcPr>
        <w:shd w:val="clear" w:color="auto" w:fill="252D59"/>
      </w:tcPr>
    </w:tblStylePr>
    <w:tblStylePr w:type="firstCol">
      <w:rPr>
        <w:color w:val="F2F2F2"/>
      </w:rPr>
      <w:tblPr/>
      <w:tcPr>
        <w:shd w:val="clear" w:color="auto" w:fill="C9CE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5652">
      <w:bodyDiv w:val="1"/>
      <w:marLeft w:val="0"/>
      <w:marRight w:val="0"/>
      <w:marTop w:val="0"/>
      <w:marBottom w:val="0"/>
      <w:divBdr>
        <w:top w:val="none" w:sz="0" w:space="0" w:color="auto"/>
        <w:left w:val="none" w:sz="0" w:space="0" w:color="auto"/>
        <w:bottom w:val="none" w:sz="0" w:space="0" w:color="auto"/>
        <w:right w:val="none" w:sz="0" w:space="0" w:color="auto"/>
      </w:divBdr>
    </w:div>
    <w:div w:id="414596554">
      <w:bodyDiv w:val="1"/>
      <w:marLeft w:val="0"/>
      <w:marRight w:val="0"/>
      <w:marTop w:val="0"/>
      <w:marBottom w:val="0"/>
      <w:divBdr>
        <w:top w:val="none" w:sz="0" w:space="0" w:color="auto"/>
        <w:left w:val="none" w:sz="0" w:space="0" w:color="auto"/>
        <w:bottom w:val="none" w:sz="0" w:space="0" w:color="auto"/>
        <w:right w:val="none" w:sz="0" w:space="0" w:color="auto"/>
      </w:divBdr>
    </w:div>
    <w:div w:id="513307921">
      <w:marLeft w:val="0"/>
      <w:marRight w:val="0"/>
      <w:marTop w:val="0"/>
      <w:marBottom w:val="0"/>
      <w:divBdr>
        <w:top w:val="none" w:sz="0" w:space="0" w:color="auto"/>
        <w:left w:val="none" w:sz="0" w:space="0" w:color="auto"/>
        <w:bottom w:val="none" w:sz="0" w:space="0" w:color="auto"/>
        <w:right w:val="none" w:sz="0" w:space="0" w:color="auto"/>
      </w:divBdr>
    </w:div>
    <w:div w:id="513307922">
      <w:marLeft w:val="0"/>
      <w:marRight w:val="0"/>
      <w:marTop w:val="0"/>
      <w:marBottom w:val="0"/>
      <w:divBdr>
        <w:top w:val="none" w:sz="0" w:space="0" w:color="auto"/>
        <w:left w:val="none" w:sz="0" w:space="0" w:color="auto"/>
        <w:bottom w:val="none" w:sz="0" w:space="0" w:color="auto"/>
        <w:right w:val="none" w:sz="0" w:space="0" w:color="auto"/>
      </w:divBdr>
    </w:div>
    <w:div w:id="513307923">
      <w:marLeft w:val="0"/>
      <w:marRight w:val="0"/>
      <w:marTop w:val="0"/>
      <w:marBottom w:val="0"/>
      <w:divBdr>
        <w:top w:val="none" w:sz="0" w:space="0" w:color="auto"/>
        <w:left w:val="none" w:sz="0" w:space="0" w:color="auto"/>
        <w:bottom w:val="none" w:sz="0" w:space="0" w:color="auto"/>
        <w:right w:val="none" w:sz="0" w:space="0" w:color="auto"/>
      </w:divBdr>
    </w:div>
    <w:div w:id="513307924">
      <w:marLeft w:val="0"/>
      <w:marRight w:val="0"/>
      <w:marTop w:val="0"/>
      <w:marBottom w:val="0"/>
      <w:divBdr>
        <w:top w:val="none" w:sz="0" w:space="0" w:color="auto"/>
        <w:left w:val="none" w:sz="0" w:space="0" w:color="auto"/>
        <w:bottom w:val="none" w:sz="0" w:space="0" w:color="auto"/>
        <w:right w:val="none" w:sz="0" w:space="0" w:color="auto"/>
      </w:divBdr>
    </w:div>
    <w:div w:id="513307925">
      <w:marLeft w:val="0"/>
      <w:marRight w:val="0"/>
      <w:marTop w:val="0"/>
      <w:marBottom w:val="0"/>
      <w:divBdr>
        <w:top w:val="none" w:sz="0" w:space="0" w:color="auto"/>
        <w:left w:val="none" w:sz="0" w:space="0" w:color="auto"/>
        <w:bottom w:val="none" w:sz="0" w:space="0" w:color="auto"/>
        <w:right w:val="none" w:sz="0" w:space="0" w:color="auto"/>
      </w:divBdr>
    </w:div>
    <w:div w:id="743725906">
      <w:bodyDiv w:val="1"/>
      <w:marLeft w:val="0"/>
      <w:marRight w:val="0"/>
      <w:marTop w:val="0"/>
      <w:marBottom w:val="0"/>
      <w:divBdr>
        <w:top w:val="none" w:sz="0" w:space="0" w:color="auto"/>
        <w:left w:val="none" w:sz="0" w:space="0" w:color="auto"/>
        <w:bottom w:val="none" w:sz="0" w:space="0" w:color="auto"/>
        <w:right w:val="none" w:sz="0" w:space="0" w:color="auto"/>
      </w:divBdr>
    </w:div>
    <w:div w:id="786117634">
      <w:bodyDiv w:val="1"/>
      <w:marLeft w:val="0"/>
      <w:marRight w:val="0"/>
      <w:marTop w:val="0"/>
      <w:marBottom w:val="0"/>
      <w:divBdr>
        <w:top w:val="none" w:sz="0" w:space="0" w:color="auto"/>
        <w:left w:val="none" w:sz="0" w:space="0" w:color="auto"/>
        <w:bottom w:val="none" w:sz="0" w:space="0" w:color="auto"/>
        <w:right w:val="none" w:sz="0" w:space="0" w:color="auto"/>
      </w:divBdr>
    </w:div>
    <w:div w:id="891696631">
      <w:bodyDiv w:val="1"/>
      <w:marLeft w:val="0"/>
      <w:marRight w:val="0"/>
      <w:marTop w:val="0"/>
      <w:marBottom w:val="0"/>
      <w:divBdr>
        <w:top w:val="none" w:sz="0" w:space="0" w:color="auto"/>
        <w:left w:val="none" w:sz="0" w:space="0" w:color="auto"/>
        <w:bottom w:val="none" w:sz="0" w:space="0" w:color="auto"/>
        <w:right w:val="none" w:sz="0" w:space="0" w:color="auto"/>
      </w:divBdr>
    </w:div>
    <w:div w:id="1089690834">
      <w:bodyDiv w:val="1"/>
      <w:marLeft w:val="0"/>
      <w:marRight w:val="0"/>
      <w:marTop w:val="0"/>
      <w:marBottom w:val="0"/>
      <w:divBdr>
        <w:top w:val="none" w:sz="0" w:space="0" w:color="auto"/>
        <w:left w:val="none" w:sz="0" w:space="0" w:color="auto"/>
        <w:bottom w:val="none" w:sz="0" w:space="0" w:color="auto"/>
        <w:right w:val="none" w:sz="0" w:space="0" w:color="auto"/>
      </w:divBdr>
    </w:div>
    <w:div w:id="1199053721">
      <w:bodyDiv w:val="1"/>
      <w:marLeft w:val="0"/>
      <w:marRight w:val="0"/>
      <w:marTop w:val="0"/>
      <w:marBottom w:val="0"/>
      <w:divBdr>
        <w:top w:val="none" w:sz="0" w:space="0" w:color="auto"/>
        <w:left w:val="none" w:sz="0" w:space="0" w:color="auto"/>
        <w:bottom w:val="none" w:sz="0" w:space="0" w:color="auto"/>
        <w:right w:val="none" w:sz="0" w:space="0" w:color="auto"/>
      </w:divBdr>
    </w:div>
    <w:div w:id="1554275504">
      <w:bodyDiv w:val="1"/>
      <w:marLeft w:val="0"/>
      <w:marRight w:val="0"/>
      <w:marTop w:val="0"/>
      <w:marBottom w:val="0"/>
      <w:divBdr>
        <w:top w:val="none" w:sz="0" w:space="0" w:color="auto"/>
        <w:left w:val="none" w:sz="0" w:space="0" w:color="auto"/>
        <w:bottom w:val="none" w:sz="0" w:space="0" w:color="auto"/>
        <w:right w:val="none" w:sz="0" w:space="0" w:color="auto"/>
      </w:divBdr>
    </w:div>
    <w:div w:id="161705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hyperlink" Target="mailto:t&amp;cteam@scotborders.gov.uk" TargetMode="External"/><Relationship Id="rId30"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HQ-DATA-02\Crfin$\FIN-T&amp;C\TREASURY%20MANAGEMENT%20(SR)\TREASURY%20REPORTING\PRUDENTIAL%20INDICATORS\2023-24\31st%20December\Prudential%20Indicators%20-%202023-24%20-%20qtr%203%202301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Q-DATA-02\Crfin$\FIN-T&amp;C\TREASURY%20MANAGEMENT%20(SR)\TREASURY%20REPORTING\PRUDENTIAL%20INDICATORS\2024-25\TMSS\30%20Yr%20Summary%20Table%2031Jan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Projected External  Debt and the Operational Boundary (PI-7a)</a:t>
            </a:r>
          </a:p>
        </c:rich>
      </c:tx>
      <c:overlay val="1"/>
    </c:title>
    <c:autoTitleDeleted val="0"/>
    <c:plotArea>
      <c:layout>
        <c:manualLayout>
          <c:layoutTarget val="inner"/>
          <c:xMode val="edge"/>
          <c:yMode val="edge"/>
          <c:x val="7.3284652888064586E-2"/>
          <c:y val="0.13423365808172616"/>
          <c:w val="0.90097494421126867"/>
          <c:h val="0.70489836311905618"/>
        </c:manualLayout>
      </c:layout>
      <c:barChart>
        <c:barDir val="col"/>
        <c:grouping val="clustered"/>
        <c:varyColors val="0"/>
        <c:ser>
          <c:idx val="0"/>
          <c:order val="0"/>
          <c:tx>
            <c:strRef>
              <c:f>Charts!$B$7</c:f>
              <c:strCache>
                <c:ptCount val="1"/>
                <c:pt idx="0">
                  <c:v>External Debt</c:v>
                </c:pt>
              </c:strCache>
            </c:strRef>
          </c:tx>
          <c:spPr>
            <a:solidFill>
              <a:srgbClr val="00B050"/>
            </a:solidFill>
          </c:spPr>
          <c:invertIfNegative val="0"/>
          <c:dLbls>
            <c:spPr>
              <a:noFill/>
              <a:ln>
                <a:noFill/>
              </a:ln>
              <a:effectLst/>
            </c:spPr>
            <c:txPr>
              <a:bodyPr/>
              <a:lstStyle/>
              <a:p>
                <a:pPr>
                  <a:defRPr b="1">
                    <a:solidFill>
                      <a:schemeClr val="tx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Charts!$D$6:$N$6</c:f>
              <c:strCache>
                <c:ptCount val="11"/>
                <c:pt idx="0">
                  <c:v>2023/24</c:v>
                </c:pt>
                <c:pt idx="1">
                  <c:v>2024/25</c:v>
                </c:pt>
                <c:pt idx="2">
                  <c:v>2025/26</c:v>
                </c:pt>
                <c:pt idx="3">
                  <c:v>2026/27</c:v>
                </c:pt>
                <c:pt idx="4">
                  <c:v>2027/28</c:v>
                </c:pt>
                <c:pt idx="5">
                  <c:v>2028/29</c:v>
                </c:pt>
                <c:pt idx="6">
                  <c:v>2029/30</c:v>
                </c:pt>
                <c:pt idx="7">
                  <c:v>2030/31</c:v>
                </c:pt>
                <c:pt idx="8">
                  <c:v>2031/32</c:v>
                </c:pt>
                <c:pt idx="9">
                  <c:v>2032/33</c:v>
                </c:pt>
                <c:pt idx="10">
                  <c:v>2033/34</c:v>
                </c:pt>
              </c:strCache>
            </c:strRef>
          </c:cat>
          <c:val>
            <c:numRef>
              <c:f>Charts!$D$7:$N$7</c:f>
              <c:numCache>
                <c:formatCode>0.0</c:formatCode>
                <c:ptCount val="11"/>
                <c:pt idx="0">
                  <c:v>348.6</c:v>
                </c:pt>
                <c:pt idx="1">
                  <c:v>399.6577756654234</c:v>
                </c:pt>
                <c:pt idx="2">
                  <c:v>449.6</c:v>
                </c:pt>
                <c:pt idx="3">
                  <c:v>478.5</c:v>
                </c:pt>
                <c:pt idx="4">
                  <c:v>498.2</c:v>
                </c:pt>
                <c:pt idx="5">
                  <c:v>490.4</c:v>
                </c:pt>
                <c:pt idx="6">
                  <c:v>479.1</c:v>
                </c:pt>
                <c:pt idx="7">
                  <c:v>462.2</c:v>
                </c:pt>
                <c:pt idx="8">
                  <c:v>447.7</c:v>
                </c:pt>
                <c:pt idx="9">
                  <c:v>435.6</c:v>
                </c:pt>
                <c:pt idx="10">
                  <c:v>424</c:v>
                </c:pt>
              </c:numCache>
            </c:numRef>
          </c:val>
          <c:extLst>
            <c:ext xmlns:c16="http://schemas.microsoft.com/office/drawing/2014/chart" uri="{C3380CC4-5D6E-409C-BE32-E72D297353CC}">
              <c16:uniqueId val="{00000000-1E19-47FF-A653-0ECF44C09795}"/>
            </c:ext>
          </c:extLst>
        </c:ser>
        <c:dLbls>
          <c:showLegendKey val="0"/>
          <c:showVal val="0"/>
          <c:showCatName val="0"/>
          <c:showSerName val="0"/>
          <c:showPercent val="0"/>
          <c:showBubbleSize val="0"/>
        </c:dLbls>
        <c:gapWidth val="150"/>
        <c:axId val="333019008"/>
        <c:axId val="333020544"/>
      </c:barChart>
      <c:lineChart>
        <c:grouping val="standard"/>
        <c:varyColors val="0"/>
        <c:ser>
          <c:idx val="1"/>
          <c:order val="1"/>
          <c:tx>
            <c:strRef>
              <c:f>Charts!$B$8</c:f>
              <c:strCache>
                <c:ptCount val="1"/>
                <c:pt idx="0">
                  <c:v>Operational Limit for External Debt</c:v>
                </c:pt>
              </c:strCache>
            </c:strRef>
          </c:tx>
          <c:spPr>
            <a:ln w="47625">
              <a:solidFill>
                <a:schemeClr val="tx2">
                  <a:lumMod val="60000"/>
                  <a:lumOff val="40000"/>
                </a:schemeClr>
              </a:solidFill>
            </a:ln>
          </c:spPr>
          <c:marker>
            <c:symbol val="none"/>
          </c:marker>
          <c:dLbls>
            <c:dLbl>
              <c:idx val="1"/>
              <c:layout>
                <c:manualLayout>
                  <c:x val="-3.0837004405286344E-2"/>
                  <c:y val="-3.2738087566064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19-47FF-A653-0ECF44C09795}"/>
                </c:ext>
              </c:extLst>
            </c:dLbl>
            <c:dLbl>
              <c:idx val="2"/>
              <c:layout>
                <c:manualLayout>
                  <c:x val="-2.3494860499265784E-2"/>
                  <c:y val="-3.57142773447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19-47FF-A653-0ECF44C09795}"/>
                </c:ext>
              </c:extLst>
            </c:dLbl>
            <c:dLbl>
              <c:idx val="3"/>
              <c:layout>
                <c:manualLayout>
                  <c:x val="-2.9368575624082231E-2"/>
                  <c:y val="-4.7619036459730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19-47FF-A653-0ECF44C09795}"/>
                </c:ext>
              </c:extLst>
            </c:dLbl>
            <c:dLbl>
              <c:idx val="4"/>
              <c:layout>
                <c:manualLayout>
                  <c:x val="-2.6431718061674117E-2"/>
                  <c:y val="-5.059522623846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19-47FF-A653-0ECF44C09795}"/>
                </c:ext>
              </c:extLst>
            </c:dLbl>
            <c:dLbl>
              <c:idx val="5"/>
              <c:layout>
                <c:manualLayout>
                  <c:x val="-3.5242290748898682E-2"/>
                  <c:y val="-4.166665690226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19-47FF-A653-0ECF44C09795}"/>
                </c:ext>
              </c:extLst>
            </c:dLbl>
            <c:spPr>
              <a:noFill/>
              <a:ln>
                <a:noFill/>
              </a:ln>
              <a:effectLst/>
            </c:spPr>
            <c:txPr>
              <a:bodyPr rot="0" vert="horz" anchor="b" anchorCtr="0"/>
              <a:lstStyle/>
              <a:p>
                <a:pPr>
                  <a:defRPr b="1">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Charts!$D$6:$N$6</c:f>
              <c:strCache>
                <c:ptCount val="11"/>
                <c:pt idx="0">
                  <c:v>2023/24</c:v>
                </c:pt>
                <c:pt idx="1">
                  <c:v>2024/25</c:v>
                </c:pt>
                <c:pt idx="2">
                  <c:v>2025/26</c:v>
                </c:pt>
                <c:pt idx="3">
                  <c:v>2026/27</c:v>
                </c:pt>
                <c:pt idx="4">
                  <c:v>2027/28</c:v>
                </c:pt>
                <c:pt idx="5">
                  <c:v>2028/29</c:v>
                </c:pt>
                <c:pt idx="6">
                  <c:v>2029/30</c:v>
                </c:pt>
                <c:pt idx="7">
                  <c:v>2030/31</c:v>
                </c:pt>
                <c:pt idx="8">
                  <c:v>2031/32</c:v>
                </c:pt>
                <c:pt idx="9">
                  <c:v>2032/33</c:v>
                </c:pt>
                <c:pt idx="10">
                  <c:v>2033/34</c:v>
                </c:pt>
              </c:strCache>
            </c:strRef>
          </c:cat>
          <c:val>
            <c:numRef>
              <c:f>Charts!$D$8:$N$8</c:f>
              <c:numCache>
                <c:formatCode>0.0</c:formatCode>
                <c:ptCount val="11"/>
                <c:pt idx="0">
                  <c:v>486.76667089</c:v>
                </c:pt>
                <c:pt idx="1">
                  <c:v>497.7107756654234</c:v>
                </c:pt>
                <c:pt idx="2">
                  <c:v>519.07742665426815</c:v>
                </c:pt>
                <c:pt idx="3">
                  <c:v>515.69638294778736</c:v>
                </c:pt>
                <c:pt idx="4">
                  <c:v>502.79830206298743</c:v>
                </c:pt>
                <c:pt idx="5">
                  <c:v>493.84551671267889</c:v>
                </c:pt>
                <c:pt idx="6">
                  <c:v>482.50023645578938</c:v>
                </c:pt>
                <c:pt idx="7">
                  <c:v>465.61238392246014</c:v>
                </c:pt>
                <c:pt idx="8">
                  <c:v>459.92072956767271</c:v>
                </c:pt>
                <c:pt idx="9">
                  <c:v>456.64888411633683</c:v>
                </c:pt>
                <c:pt idx="10">
                  <c:v>445.02929063191328</c:v>
                </c:pt>
              </c:numCache>
            </c:numRef>
          </c:val>
          <c:smooth val="0"/>
          <c:extLst>
            <c:ext xmlns:c16="http://schemas.microsoft.com/office/drawing/2014/chart" uri="{C3380CC4-5D6E-409C-BE32-E72D297353CC}">
              <c16:uniqueId val="{00000006-1E19-47FF-A653-0ECF44C09795}"/>
            </c:ext>
          </c:extLst>
        </c:ser>
        <c:dLbls>
          <c:showLegendKey val="0"/>
          <c:showVal val="0"/>
          <c:showCatName val="0"/>
          <c:showSerName val="0"/>
          <c:showPercent val="0"/>
          <c:showBubbleSize val="0"/>
        </c:dLbls>
        <c:marker val="1"/>
        <c:smooth val="0"/>
        <c:axId val="333019008"/>
        <c:axId val="333020544"/>
      </c:lineChart>
      <c:catAx>
        <c:axId val="333019008"/>
        <c:scaling>
          <c:orientation val="minMax"/>
        </c:scaling>
        <c:delete val="0"/>
        <c:axPos val="b"/>
        <c:numFmt formatCode="General" sourceLinked="0"/>
        <c:majorTickMark val="out"/>
        <c:minorTickMark val="none"/>
        <c:tickLblPos val="nextTo"/>
        <c:crossAx val="333020544"/>
        <c:crosses val="autoZero"/>
        <c:auto val="1"/>
        <c:lblAlgn val="ctr"/>
        <c:lblOffset val="100"/>
        <c:noMultiLvlLbl val="0"/>
      </c:catAx>
      <c:valAx>
        <c:axId val="333020544"/>
        <c:scaling>
          <c:orientation val="minMax"/>
          <c:max val="550"/>
          <c:min val="200"/>
        </c:scaling>
        <c:delete val="0"/>
        <c:axPos val="l"/>
        <c:majorGridlines/>
        <c:minorGridlines/>
        <c:title>
          <c:tx>
            <c:rich>
              <a:bodyPr rot="-5400000" vert="horz"/>
              <a:lstStyle/>
              <a:p>
                <a:pPr>
                  <a:defRPr sz="1200"/>
                </a:pPr>
                <a:r>
                  <a:rPr lang="en-US" sz="1200"/>
                  <a:t>£'m</a:t>
                </a:r>
              </a:p>
            </c:rich>
          </c:tx>
          <c:overlay val="0"/>
        </c:title>
        <c:numFmt formatCode="0.0" sourceLinked="1"/>
        <c:majorTickMark val="out"/>
        <c:minorTickMark val="none"/>
        <c:tickLblPos val="nextTo"/>
        <c:crossAx val="333019008"/>
        <c:crosses val="autoZero"/>
        <c:crossBetween val="between"/>
      </c:valAx>
    </c:plotArea>
    <c:legend>
      <c:legendPos val="r"/>
      <c:layout>
        <c:manualLayout>
          <c:xMode val="edge"/>
          <c:yMode val="edge"/>
          <c:x val="2.8707435799599931E-2"/>
          <c:y val="0.91046730632093498"/>
          <c:w val="0.78039682264386556"/>
          <c:h val="6.299351729623235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Capital Financing Requirement and the Authorised Limit (PI-8a)</a:t>
            </a:r>
          </a:p>
        </c:rich>
      </c:tx>
      <c:overlay val="1"/>
    </c:title>
    <c:autoTitleDeleted val="0"/>
    <c:plotArea>
      <c:layout>
        <c:manualLayout>
          <c:layoutTarget val="inner"/>
          <c:xMode val="edge"/>
          <c:yMode val="edge"/>
          <c:x val="8.8084914495820177E-2"/>
          <c:y val="0.13423365808172616"/>
          <c:w val="0.87454322614959468"/>
          <c:h val="0.70489836311905618"/>
        </c:manualLayout>
      </c:layout>
      <c:lineChart>
        <c:grouping val="standard"/>
        <c:varyColors val="0"/>
        <c:ser>
          <c:idx val="0"/>
          <c:order val="0"/>
          <c:tx>
            <c:strRef>
              <c:f>Charts!$B$48</c:f>
              <c:strCache>
                <c:ptCount val="1"/>
                <c:pt idx="0">
                  <c:v>Authorised Limit for External Debt</c:v>
                </c:pt>
              </c:strCache>
            </c:strRef>
          </c:tx>
          <c:spPr>
            <a:ln w="44450"/>
          </c:spPr>
          <c:marker>
            <c:symbol val="none"/>
          </c:marker>
          <c:dLbls>
            <c:dLbl>
              <c:idx val="0"/>
              <c:layout>
                <c:manualLayout>
                  <c:x val="-2.3494860499265784E-2"/>
                  <c:y val="-6.2499985353396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6-4794-A955-2FAC22D4C46D}"/>
                </c:ext>
              </c:extLst>
            </c:dLbl>
            <c:dLbl>
              <c:idx val="1"/>
              <c:layout>
                <c:manualLayout>
                  <c:x val="-2.9368575624082231E-2"/>
                  <c:y val="-4.7619036459730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6-4794-A955-2FAC22D4C46D}"/>
                </c:ext>
              </c:extLst>
            </c:dLbl>
            <c:dLbl>
              <c:idx val="2"/>
              <c:layout>
                <c:manualLayout>
                  <c:x val="-3.0837004405286344E-2"/>
                  <c:y val="-3.57142773447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6-4794-A955-2FAC22D4C46D}"/>
                </c:ext>
              </c:extLst>
            </c:dLbl>
            <c:dLbl>
              <c:idx val="3"/>
              <c:layout>
                <c:manualLayout>
                  <c:x val="-2.643171806167401E-2"/>
                  <c:y val="-3.57142773447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6-4794-A955-2FAC22D4C46D}"/>
                </c:ext>
              </c:extLst>
            </c:dLbl>
            <c:dLbl>
              <c:idx val="4"/>
              <c:layout>
                <c:manualLayout>
                  <c:x val="-3.9609049960457998E-2"/>
                  <c:y val="-4.166665690226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46-4794-A955-2FAC22D4C46D}"/>
                </c:ext>
              </c:extLst>
            </c:dLbl>
            <c:dLbl>
              <c:idx val="5"/>
              <c:layout>
                <c:manualLayout>
                  <c:x val="-3.2023289665211063E-2"/>
                  <c:y val="-4.166665690226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46-4794-A955-2FAC22D4C46D}"/>
                </c:ext>
              </c:extLst>
            </c:dLbl>
            <c:dLbl>
              <c:idx val="6"/>
              <c:layout>
                <c:manualLayout>
                  <c:x val="0"/>
                  <c:y val="-3.2738087566064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46-4794-A955-2FAC22D4C46D}"/>
                </c:ext>
              </c:extLst>
            </c:dLbl>
            <c:dLbl>
              <c:idx val="7"/>
              <c:layout>
                <c:manualLayout>
                  <c:x val="1.4367816091954023E-3"/>
                  <c:y val="-3.5714277344798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46-4794-A955-2FAC22D4C46D}"/>
                </c:ext>
              </c:extLst>
            </c:dLbl>
            <c:dLbl>
              <c:idx val="8"/>
              <c:layout>
                <c:manualLayout>
                  <c:x val="4.3103448275862068E-3"/>
                  <c:y val="-2.678570800859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46-4794-A955-2FAC22D4C46D}"/>
                </c:ext>
              </c:extLst>
            </c:dLbl>
            <c:dLbl>
              <c:idx val="9"/>
              <c:layout>
                <c:manualLayout>
                  <c:x val="0"/>
                  <c:y val="-3.57142773447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46-4794-A955-2FAC22D4C46D}"/>
                </c:ext>
              </c:extLst>
            </c:dLbl>
            <c:spPr>
              <a:noFill/>
              <a:ln>
                <a:noFill/>
              </a:ln>
              <a:effectLst/>
            </c:spPr>
            <c:txPr>
              <a:bodyPr/>
              <a:lstStyle/>
              <a:p>
                <a:pPr>
                  <a:defRPr b="1">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Charts!$D$47:$N$47</c:f>
              <c:strCache>
                <c:ptCount val="11"/>
                <c:pt idx="0">
                  <c:v>2023/24</c:v>
                </c:pt>
                <c:pt idx="1">
                  <c:v>2024/25</c:v>
                </c:pt>
                <c:pt idx="2">
                  <c:v>2025/26</c:v>
                </c:pt>
                <c:pt idx="3">
                  <c:v>2026/27</c:v>
                </c:pt>
                <c:pt idx="4">
                  <c:v>2027/28</c:v>
                </c:pt>
                <c:pt idx="5">
                  <c:v>2028/29</c:v>
                </c:pt>
                <c:pt idx="6">
                  <c:v>2029/30</c:v>
                </c:pt>
                <c:pt idx="7">
                  <c:v>2030/31</c:v>
                </c:pt>
                <c:pt idx="8">
                  <c:v>2031/32</c:v>
                </c:pt>
                <c:pt idx="9">
                  <c:v>2032/33</c:v>
                </c:pt>
                <c:pt idx="10">
                  <c:v>2033/34</c:v>
                </c:pt>
              </c:strCache>
            </c:strRef>
          </c:cat>
          <c:val>
            <c:numRef>
              <c:f>Charts!$D$48:$N$48</c:f>
              <c:numCache>
                <c:formatCode>_-* #,##0.0_-;\-* #,##0.0_-;_-* \-??_-;_-@_-</c:formatCode>
                <c:ptCount val="11"/>
                <c:pt idx="0">
                  <c:v>584.12000506799995</c:v>
                </c:pt>
                <c:pt idx="1">
                  <c:v>597.25293079850803</c:v>
                </c:pt>
                <c:pt idx="2">
                  <c:v>622.89291198512171</c:v>
                </c:pt>
                <c:pt idx="3">
                  <c:v>618.8356595373449</c:v>
                </c:pt>
                <c:pt idx="4">
                  <c:v>603.35796247558494</c:v>
                </c:pt>
                <c:pt idx="5">
                  <c:v>592.61462005521469</c:v>
                </c:pt>
                <c:pt idx="6">
                  <c:v>579.00028374694728</c:v>
                </c:pt>
                <c:pt idx="7">
                  <c:v>558.73486070695219</c:v>
                </c:pt>
                <c:pt idx="8">
                  <c:v>551.90487548120723</c:v>
                </c:pt>
                <c:pt idx="9">
                  <c:v>547.9786609396042</c:v>
                </c:pt>
                <c:pt idx="10">
                  <c:v>534.03514875829592</c:v>
                </c:pt>
              </c:numCache>
            </c:numRef>
          </c:val>
          <c:smooth val="0"/>
          <c:extLst>
            <c:ext xmlns:c16="http://schemas.microsoft.com/office/drawing/2014/chart" uri="{C3380CC4-5D6E-409C-BE32-E72D297353CC}">
              <c16:uniqueId val="{0000000A-3946-4794-A955-2FAC22D4C46D}"/>
            </c:ext>
          </c:extLst>
        </c:ser>
        <c:ser>
          <c:idx val="1"/>
          <c:order val="1"/>
          <c:tx>
            <c:strRef>
              <c:f>Charts!$B$49</c:f>
              <c:strCache>
                <c:ptCount val="1"/>
                <c:pt idx="0">
                  <c:v>Capital Financing Requirement</c:v>
                </c:pt>
              </c:strCache>
            </c:strRef>
          </c:tx>
          <c:spPr>
            <a:ln w="44450">
              <a:solidFill>
                <a:schemeClr val="accent6">
                  <a:lumMod val="75000"/>
                </a:schemeClr>
              </a:solidFill>
            </a:ln>
          </c:spPr>
          <c:marker>
            <c:symbol val="none"/>
          </c:marker>
          <c:dLbls>
            <c:dLbl>
              <c:idx val="0"/>
              <c:layout>
                <c:manualLayout>
                  <c:x val="-2.9368575624082231E-2"/>
                  <c:y val="5.357141601719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46-4794-A955-2FAC22D4C46D}"/>
                </c:ext>
              </c:extLst>
            </c:dLbl>
            <c:dLbl>
              <c:idx val="1"/>
              <c:layout>
                <c:manualLayout>
                  <c:x val="-3.0837004405286344E-2"/>
                  <c:y val="3.2738087566064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46-4794-A955-2FAC22D4C46D}"/>
                </c:ext>
              </c:extLst>
            </c:dLbl>
            <c:dLbl>
              <c:idx val="2"/>
              <c:layout>
                <c:manualLayout>
                  <c:x val="-3.0837004405286344E-2"/>
                  <c:y val="4.464284668099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46-4794-A955-2FAC22D4C46D}"/>
                </c:ext>
              </c:extLst>
            </c:dLbl>
            <c:dLbl>
              <c:idx val="3"/>
              <c:layout>
                <c:manualLayout>
                  <c:x val="-3.0837004405286344E-2"/>
                  <c:y val="3.8690467123531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46-4794-A955-2FAC22D4C46D}"/>
                </c:ext>
              </c:extLst>
            </c:dLbl>
            <c:dLbl>
              <c:idx val="4"/>
              <c:layout>
                <c:manualLayout>
                  <c:x val="-4.1116005873715125E-2"/>
                  <c:y val="4.7619036459730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46-4794-A955-2FAC22D4C46D}"/>
                </c:ext>
              </c:extLst>
            </c:dLbl>
            <c:dLbl>
              <c:idx val="5"/>
              <c:layout>
                <c:manualLayout>
                  <c:x val="-3.2023289665211063E-2"/>
                  <c:y val="3.571427734479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46-4794-A955-2FAC22D4C46D}"/>
                </c:ext>
              </c:extLst>
            </c:dLbl>
            <c:dLbl>
              <c:idx val="6"/>
              <c:layout>
                <c:manualLayout>
                  <c:x val="-1.4367816091954129E-2"/>
                  <c:y val="4.7619036459730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46-4794-A955-2FAC22D4C46D}"/>
                </c:ext>
              </c:extLst>
            </c:dLbl>
            <c:dLbl>
              <c:idx val="7"/>
              <c:layout>
                <c:manualLayout>
                  <c:x val="-1.7241379310344827E-2"/>
                  <c:y val="5.059522623846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46-4794-A955-2FAC22D4C46D}"/>
                </c:ext>
              </c:extLst>
            </c:dLbl>
            <c:dLbl>
              <c:idx val="8"/>
              <c:layout>
                <c:manualLayout>
                  <c:x val="-2.0114942528735632E-2"/>
                  <c:y val="4.166665690226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946-4794-A955-2FAC22D4C46D}"/>
                </c:ext>
              </c:extLst>
            </c:dLbl>
            <c:dLbl>
              <c:idx val="9"/>
              <c:layout>
                <c:manualLayout>
                  <c:x val="-4.3103448275863127E-3"/>
                  <c:y val="4.7619036459730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946-4794-A955-2FAC22D4C46D}"/>
                </c:ext>
              </c:extLst>
            </c:dLbl>
            <c:spPr>
              <a:noFill/>
              <a:ln>
                <a:noFill/>
              </a:ln>
              <a:effectLst/>
            </c:spPr>
            <c:txPr>
              <a:bodyPr rot="0" vert="horz" anchor="b" anchorCtr="0"/>
              <a:lstStyle/>
              <a:p>
                <a:pPr>
                  <a:defRPr b="1">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Charts!$D$47:$N$47</c:f>
              <c:strCache>
                <c:ptCount val="11"/>
                <c:pt idx="0">
                  <c:v>2023/24</c:v>
                </c:pt>
                <c:pt idx="1">
                  <c:v>2024/25</c:v>
                </c:pt>
                <c:pt idx="2">
                  <c:v>2025/26</c:v>
                </c:pt>
                <c:pt idx="3">
                  <c:v>2026/27</c:v>
                </c:pt>
                <c:pt idx="4">
                  <c:v>2027/28</c:v>
                </c:pt>
                <c:pt idx="5">
                  <c:v>2028/29</c:v>
                </c:pt>
                <c:pt idx="6">
                  <c:v>2029/30</c:v>
                </c:pt>
                <c:pt idx="7">
                  <c:v>2030/31</c:v>
                </c:pt>
                <c:pt idx="8">
                  <c:v>2031/32</c:v>
                </c:pt>
                <c:pt idx="9">
                  <c:v>2032/33</c:v>
                </c:pt>
                <c:pt idx="10">
                  <c:v>2033/34</c:v>
                </c:pt>
              </c:strCache>
            </c:strRef>
          </c:cat>
          <c:val>
            <c:numRef>
              <c:f>Charts!$D$49:$N$49</c:f>
              <c:numCache>
                <c:formatCode>_-* #,##0.0_-;\-* #,##0.0_-;_-* \-??_-;_-@_-</c:formatCode>
                <c:ptCount val="11"/>
                <c:pt idx="0">
                  <c:v>415.46106966189598</c:v>
                </c:pt>
                <c:pt idx="1">
                  <c:v>480.72192547979404</c:v>
                </c:pt>
                <c:pt idx="2">
                  <c:v>532.41141266950501</c:v>
                </c:pt>
                <c:pt idx="3">
                  <c:v>555.32696774916417</c:v>
                </c:pt>
                <c:pt idx="4">
                  <c:v>576.49232369021797</c:v>
                </c:pt>
                <c:pt idx="5">
                  <c:v>565.27763759215645</c:v>
                </c:pt>
                <c:pt idx="6">
                  <c:v>552.64896601100838</c:v>
                </c:pt>
                <c:pt idx="7">
                  <c:v>539.50092992324733</c:v>
                </c:pt>
                <c:pt idx="8">
                  <c:v>525.88929282304582</c:v>
                </c:pt>
                <c:pt idx="9">
                  <c:v>512.40403098370336</c:v>
                </c:pt>
                <c:pt idx="10">
                  <c:v>507.61502111127328</c:v>
                </c:pt>
              </c:numCache>
            </c:numRef>
          </c:val>
          <c:smooth val="0"/>
          <c:extLst>
            <c:ext xmlns:c16="http://schemas.microsoft.com/office/drawing/2014/chart" uri="{C3380CC4-5D6E-409C-BE32-E72D297353CC}">
              <c16:uniqueId val="{00000015-3946-4794-A955-2FAC22D4C46D}"/>
            </c:ext>
          </c:extLst>
        </c:ser>
        <c:dLbls>
          <c:showLegendKey val="0"/>
          <c:showVal val="0"/>
          <c:showCatName val="0"/>
          <c:showSerName val="0"/>
          <c:showPercent val="0"/>
          <c:showBubbleSize val="0"/>
        </c:dLbls>
        <c:smooth val="0"/>
        <c:axId val="333032832"/>
        <c:axId val="333046912"/>
      </c:lineChart>
      <c:catAx>
        <c:axId val="333032832"/>
        <c:scaling>
          <c:orientation val="minMax"/>
        </c:scaling>
        <c:delete val="0"/>
        <c:axPos val="b"/>
        <c:numFmt formatCode="General" sourceLinked="0"/>
        <c:majorTickMark val="out"/>
        <c:minorTickMark val="none"/>
        <c:tickLblPos val="nextTo"/>
        <c:crossAx val="333046912"/>
        <c:crosses val="autoZero"/>
        <c:auto val="1"/>
        <c:lblAlgn val="ctr"/>
        <c:lblOffset val="100"/>
        <c:noMultiLvlLbl val="0"/>
      </c:catAx>
      <c:valAx>
        <c:axId val="333046912"/>
        <c:scaling>
          <c:orientation val="minMax"/>
          <c:max val="700"/>
          <c:min val="350"/>
        </c:scaling>
        <c:delete val="0"/>
        <c:axPos val="l"/>
        <c:majorGridlines/>
        <c:minorGridlines/>
        <c:title>
          <c:tx>
            <c:rich>
              <a:bodyPr rot="-5400000" vert="horz"/>
              <a:lstStyle/>
              <a:p>
                <a:pPr>
                  <a:defRPr sz="1200"/>
                </a:pPr>
                <a:r>
                  <a:rPr lang="en-US" sz="1200"/>
                  <a:t>£'m</a:t>
                </a:r>
              </a:p>
            </c:rich>
          </c:tx>
          <c:overlay val="0"/>
        </c:title>
        <c:numFmt formatCode="_-* #,##0.0_-;\-* #,##0.0_-;_-* \-??_-;_-@_-" sourceLinked="1"/>
        <c:majorTickMark val="out"/>
        <c:minorTickMark val="none"/>
        <c:tickLblPos val="nextTo"/>
        <c:crossAx val="333032832"/>
        <c:crosses val="autoZero"/>
        <c:crossBetween val="between"/>
      </c:valAx>
    </c:plotArea>
    <c:legend>
      <c:legendPos val="r"/>
      <c:layout>
        <c:manualLayout>
          <c:xMode val="edge"/>
          <c:yMode val="edge"/>
          <c:x val="2.8707435799599931E-2"/>
          <c:y val="0.91046730632093498"/>
          <c:w val="0.78039682264386556"/>
          <c:h val="6.299351729623235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anose="020B0604020202020204" pitchFamily="34" charset="0"/>
                <a:cs typeface="Arial" panose="020B0604020202020204" pitchFamily="34" charset="0"/>
              </a:rPr>
              <a:t>30 Year Loans Charges Impact</a:t>
            </a:r>
          </a:p>
        </c:rich>
      </c:tx>
      <c:overlay val="1"/>
    </c:title>
    <c:autoTitleDeleted val="0"/>
    <c:plotArea>
      <c:layout>
        <c:manualLayout>
          <c:layoutTarget val="inner"/>
          <c:xMode val="edge"/>
          <c:yMode val="edge"/>
          <c:x val="8.393624552117708E-2"/>
          <c:y val="0.12388529791984958"/>
          <c:w val="0.88976388843510734"/>
          <c:h val="0.65330630313001925"/>
        </c:manualLayout>
      </c:layout>
      <c:lineChart>
        <c:grouping val="standard"/>
        <c:varyColors val="0"/>
        <c:ser>
          <c:idx val="0"/>
          <c:order val="0"/>
          <c:tx>
            <c:strRef>
              <c:f>Sheet2!$B$12</c:f>
              <c:strCache>
                <c:ptCount val="1"/>
                <c:pt idx="0">
                  <c:v>Gross Budget (£'000)</c:v>
                </c:pt>
              </c:strCache>
            </c:strRef>
          </c:tx>
          <c:cat>
            <c:strRef>
              <c:f>Sheet2!$C$10:$AG$10</c:f>
              <c:strCache>
                <c:ptCount val="31"/>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pt idx="27">
                  <c:v>2050/51</c:v>
                </c:pt>
                <c:pt idx="28">
                  <c:v>2051/52</c:v>
                </c:pt>
                <c:pt idx="29">
                  <c:v>2052/53</c:v>
                </c:pt>
                <c:pt idx="30">
                  <c:v>2053/54</c:v>
                </c:pt>
              </c:strCache>
            </c:strRef>
          </c:cat>
          <c:val>
            <c:numRef>
              <c:f>Sheet2!$C$12:$AG$12</c:f>
              <c:numCache>
                <c:formatCode>_-* #,##0_-;\-* #,##0_-;_-* "-"??_-;_-@_-</c:formatCode>
                <c:ptCount val="31"/>
                <c:pt idx="0">
                  <c:v>17520.238000000001</c:v>
                </c:pt>
                <c:pt idx="1">
                  <c:v>18185.332999999999</c:v>
                </c:pt>
                <c:pt idx="2">
                  <c:v>20907.891</c:v>
                </c:pt>
                <c:pt idx="3">
                  <c:v>23844.639999999999</c:v>
                </c:pt>
                <c:pt idx="4">
                  <c:v>25653.275000000001</c:v>
                </c:pt>
                <c:pt idx="5">
                  <c:v>26919.968000000001</c:v>
                </c:pt>
                <c:pt idx="6">
                  <c:v>29753.136999999999</c:v>
                </c:pt>
                <c:pt idx="7">
                  <c:v>29389.309000000001</c:v>
                </c:pt>
                <c:pt idx="8">
                  <c:v>29585.29</c:v>
                </c:pt>
                <c:pt idx="9">
                  <c:v>28820.668000000001</c:v>
                </c:pt>
                <c:pt idx="10">
                  <c:v>28820.668000000001</c:v>
                </c:pt>
                <c:pt idx="11">
                  <c:v>28820.668000000001</c:v>
                </c:pt>
                <c:pt idx="12">
                  <c:v>28820.668000000001</c:v>
                </c:pt>
                <c:pt idx="13">
                  <c:v>28820.668000000001</c:v>
                </c:pt>
                <c:pt idx="14">
                  <c:v>28820.668000000001</c:v>
                </c:pt>
                <c:pt idx="15">
                  <c:v>28820.668000000001</c:v>
                </c:pt>
                <c:pt idx="16">
                  <c:v>28820.668000000001</c:v>
                </c:pt>
                <c:pt idx="17">
                  <c:v>28820.668000000001</c:v>
                </c:pt>
                <c:pt idx="18">
                  <c:v>28820.668000000001</c:v>
                </c:pt>
                <c:pt idx="19">
                  <c:v>28820.668000000001</c:v>
                </c:pt>
                <c:pt idx="20">
                  <c:v>28820.668000000001</c:v>
                </c:pt>
                <c:pt idx="21">
                  <c:v>28820.668000000001</c:v>
                </c:pt>
                <c:pt idx="22">
                  <c:v>28820.668000000001</c:v>
                </c:pt>
                <c:pt idx="23">
                  <c:v>28820.668000000001</c:v>
                </c:pt>
                <c:pt idx="24">
                  <c:v>28820.668000000001</c:v>
                </c:pt>
                <c:pt idx="25">
                  <c:v>28820.668000000001</c:v>
                </c:pt>
                <c:pt idx="26">
                  <c:v>28820.668000000001</c:v>
                </c:pt>
                <c:pt idx="27">
                  <c:v>28820.668000000001</c:v>
                </c:pt>
                <c:pt idx="28">
                  <c:v>28820.668000000001</c:v>
                </c:pt>
                <c:pt idx="29">
                  <c:v>28820.668000000001</c:v>
                </c:pt>
                <c:pt idx="30">
                  <c:v>28820.668000000001</c:v>
                </c:pt>
              </c:numCache>
            </c:numRef>
          </c:val>
          <c:smooth val="0"/>
          <c:extLst>
            <c:ext xmlns:c16="http://schemas.microsoft.com/office/drawing/2014/chart" uri="{C3380CC4-5D6E-409C-BE32-E72D297353CC}">
              <c16:uniqueId val="{00000000-067B-4FDE-B160-3D52ECF19BD7}"/>
            </c:ext>
          </c:extLst>
        </c:ser>
        <c:ser>
          <c:idx val="1"/>
          <c:order val="1"/>
          <c:tx>
            <c:strRef>
              <c:f>Sheet2!$B$14</c:f>
              <c:strCache>
                <c:ptCount val="1"/>
                <c:pt idx="0">
                  <c:v>Projected Loans Charges Cost (£'000)</c:v>
                </c:pt>
              </c:strCache>
            </c:strRef>
          </c:tx>
          <c:cat>
            <c:strRef>
              <c:f>Sheet2!$C$10:$AG$10</c:f>
              <c:strCache>
                <c:ptCount val="31"/>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pt idx="17">
                  <c:v>2040/41</c:v>
                </c:pt>
                <c:pt idx="18">
                  <c:v>2041/42</c:v>
                </c:pt>
                <c:pt idx="19">
                  <c:v>2042/43</c:v>
                </c:pt>
                <c:pt idx="20">
                  <c:v>2043/44</c:v>
                </c:pt>
                <c:pt idx="21">
                  <c:v>2044/45</c:v>
                </c:pt>
                <c:pt idx="22">
                  <c:v>2045/46</c:v>
                </c:pt>
                <c:pt idx="23">
                  <c:v>2046/47</c:v>
                </c:pt>
                <c:pt idx="24">
                  <c:v>2047/48</c:v>
                </c:pt>
                <c:pt idx="25">
                  <c:v>2048/49</c:v>
                </c:pt>
                <c:pt idx="26">
                  <c:v>2049/50</c:v>
                </c:pt>
                <c:pt idx="27">
                  <c:v>2050/51</c:v>
                </c:pt>
                <c:pt idx="28">
                  <c:v>2051/52</c:v>
                </c:pt>
                <c:pt idx="29">
                  <c:v>2052/53</c:v>
                </c:pt>
                <c:pt idx="30">
                  <c:v>2053/54</c:v>
                </c:pt>
              </c:strCache>
            </c:strRef>
          </c:cat>
          <c:val>
            <c:numRef>
              <c:f>Sheet2!$C$14:$AG$14</c:f>
              <c:numCache>
                <c:formatCode>_-* #,##0_-;\-* #,##0_-;_-* "-"??_-;_-@_-</c:formatCode>
                <c:ptCount val="31"/>
                <c:pt idx="0">
                  <c:v>17520.238000000001</c:v>
                </c:pt>
                <c:pt idx="1">
                  <c:v>18185.332999999999</c:v>
                </c:pt>
                <c:pt idx="2">
                  <c:v>20907.891</c:v>
                </c:pt>
                <c:pt idx="3">
                  <c:v>23844.639999999999</c:v>
                </c:pt>
                <c:pt idx="4">
                  <c:v>25653.275000000001</c:v>
                </c:pt>
                <c:pt idx="5">
                  <c:v>26919.968000000001</c:v>
                </c:pt>
                <c:pt idx="6">
                  <c:v>29753.136999999999</c:v>
                </c:pt>
                <c:pt idx="7">
                  <c:v>29389.309000000001</c:v>
                </c:pt>
                <c:pt idx="8">
                  <c:v>29585.29</c:v>
                </c:pt>
                <c:pt idx="9">
                  <c:v>28820.668000000001</c:v>
                </c:pt>
                <c:pt idx="10">
                  <c:v>28284.405106608556</c:v>
                </c:pt>
                <c:pt idx="11">
                  <c:v>28096.621496571595</c:v>
                </c:pt>
                <c:pt idx="12">
                  <c:v>27025.527791584409</c:v>
                </c:pt>
                <c:pt idx="13">
                  <c:v>26711.742754406954</c:v>
                </c:pt>
                <c:pt idx="14">
                  <c:v>26758.173666566436</c:v>
                </c:pt>
                <c:pt idx="15">
                  <c:v>27158.372602737352</c:v>
                </c:pt>
                <c:pt idx="16">
                  <c:v>27044.697822573296</c:v>
                </c:pt>
                <c:pt idx="17">
                  <c:v>27090.627210965813</c:v>
                </c:pt>
                <c:pt idx="18">
                  <c:v>26453.865010244896</c:v>
                </c:pt>
                <c:pt idx="19">
                  <c:v>26736.325776662521</c:v>
                </c:pt>
                <c:pt idx="20">
                  <c:v>27120.631472178957</c:v>
                </c:pt>
                <c:pt idx="21">
                  <c:v>27123.683918122908</c:v>
                </c:pt>
                <c:pt idx="22">
                  <c:v>26994.235193838816</c:v>
                </c:pt>
                <c:pt idx="23">
                  <c:v>26380.418589691944</c:v>
                </c:pt>
                <c:pt idx="24">
                  <c:v>26369.915578453867</c:v>
                </c:pt>
                <c:pt idx="25">
                  <c:v>26376.257686979803</c:v>
                </c:pt>
                <c:pt idx="26">
                  <c:v>26817.560544478067</c:v>
                </c:pt>
                <c:pt idx="27">
                  <c:v>26315.660627600078</c:v>
                </c:pt>
                <c:pt idx="28">
                  <c:v>24799.014766882756</c:v>
                </c:pt>
                <c:pt idx="29">
                  <c:v>25213.461821805126</c:v>
                </c:pt>
                <c:pt idx="30">
                  <c:v>24739.382188754538</c:v>
                </c:pt>
              </c:numCache>
            </c:numRef>
          </c:val>
          <c:smooth val="0"/>
          <c:extLst>
            <c:ext xmlns:c16="http://schemas.microsoft.com/office/drawing/2014/chart" uri="{C3380CC4-5D6E-409C-BE32-E72D297353CC}">
              <c16:uniqueId val="{00000001-067B-4FDE-B160-3D52ECF19BD7}"/>
            </c:ext>
          </c:extLst>
        </c:ser>
        <c:dLbls>
          <c:showLegendKey val="0"/>
          <c:showVal val="0"/>
          <c:showCatName val="0"/>
          <c:showSerName val="0"/>
          <c:showPercent val="0"/>
          <c:showBubbleSize val="0"/>
        </c:dLbls>
        <c:marker val="1"/>
        <c:smooth val="0"/>
        <c:axId val="33503872"/>
        <c:axId val="33505664"/>
      </c:lineChart>
      <c:catAx>
        <c:axId val="33503872"/>
        <c:scaling>
          <c:orientation val="minMax"/>
        </c:scaling>
        <c:delete val="0"/>
        <c:axPos val="b"/>
        <c:numFmt formatCode="General" sourceLinked="0"/>
        <c:majorTickMark val="out"/>
        <c:minorTickMark val="none"/>
        <c:tickLblPos val="nextTo"/>
        <c:crossAx val="33505664"/>
        <c:crosses val="autoZero"/>
        <c:auto val="1"/>
        <c:lblAlgn val="ctr"/>
        <c:lblOffset val="100"/>
        <c:noMultiLvlLbl val="0"/>
      </c:catAx>
      <c:valAx>
        <c:axId val="33505664"/>
        <c:scaling>
          <c:orientation val="minMax"/>
          <c:min val="15000"/>
        </c:scaling>
        <c:delete val="0"/>
        <c:axPos val="l"/>
        <c:majorGridlines/>
        <c:title>
          <c:tx>
            <c:rich>
              <a:bodyPr rot="-5400000" vert="horz"/>
              <a:lstStyle/>
              <a:p>
                <a:pPr>
                  <a:defRPr/>
                </a:pPr>
                <a:r>
                  <a:rPr lang="en-US"/>
                  <a:t>£'000</a:t>
                </a:r>
              </a:p>
            </c:rich>
          </c:tx>
          <c:overlay val="0"/>
        </c:title>
        <c:numFmt formatCode="_-* #,##0_-;\-* #,##0_-;_-* &quot;-&quot;??_-;_-@_-" sourceLinked="1"/>
        <c:majorTickMark val="out"/>
        <c:minorTickMark val="none"/>
        <c:tickLblPos val="nextTo"/>
        <c:crossAx val="33503872"/>
        <c:crosses val="autoZero"/>
        <c:crossBetween val="between"/>
      </c:valAx>
    </c:plotArea>
    <c:legend>
      <c:legendPos val="r"/>
      <c:layout>
        <c:manualLayout>
          <c:xMode val="edge"/>
          <c:yMode val="edge"/>
          <c:x val="0.19717755197612746"/>
          <c:y val="0.91770419555764482"/>
          <c:w val="0.68663987540976468"/>
          <c:h val="4.7676185999138164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6AE4FE6AAEF3449C481B8823C521C7" ma:contentTypeVersion="11" ma:contentTypeDescription="Create a new document." ma:contentTypeScope="" ma:versionID="b3e6d20989768f2980abc285f3bd68d4">
  <xsd:schema xmlns:xsd="http://www.w3.org/2001/XMLSchema" xmlns:xs="http://www.w3.org/2001/XMLSchema" xmlns:p="http://schemas.microsoft.com/office/2006/metadata/properties" xmlns:ns2="e14ff54e-ce56-4336-b877-72244a3b650c" xmlns:ns3="6e3ada4f-8a20-43ab-a300-de46ce2785f6" targetNamespace="http://schemas.microsoft.com/office/2006/metadata/properties" ma:root="true" ma:fieldsID="e3897bd21af8d0c4cf4a3d4df206f511" ns2:_="" ns3:_="">
    <xsd:import namespace="e14ff54e-ce56-4336-b877-72244a3b650c"/>
    <xsd:import namespace="6e3ada4f-8a20-43ab-a300-de46ce278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ff54e-ce56-4336-b877-72244a3b6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6298c7-8ea1-4c8f-bb4d-5fe93b8392e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ada4f-8a20-43ab-a300-de46ce278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D7229C-B065-40A9-89AA-741D05982C92}">
  <ds:schemaRefs>
    <ds:schemaRef ds:uri="http://schemas.openxmlformats.org/officeDocument/2006/bibliography"/>
  </ds:schemaRefs>
</ds:datastoreItem>
</file>

<file path=customXml/itemProps2.xml><?xml version="1.0" encoding="utf-8"?>
<ds:datastoreItem xmlns:ds="http://schemas.openxmlformats.org/officeDocument/2006/customXml" ds:itemID="{D1EE1E51-1C88-42FA-BE82-BB06758F6B81}">
  <ds:schemaRefs>
    <ds:schemaRef ds:uri="http://schemas.microsoft.com/sharepoint/v3/contenttype/forms"/>
  </ds:schemaRefs>
</ds:datastoreItem>
</file>

<file path=customXml/itemProps3.xml><?xml version="1.0" encoding="utf-8"?>
<ds:datastoreItem xmlns:ds="http://schemas.openxmlformats.org/officeDocument/2006/customXml" ds:itemID="{1BA7DB72-5682-4F83-AEFD-A9F427CA5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ff54e-ce56-4336-b877-72244a3b650c"/>
    <ds:schemaRef ds:uri="6e3ada4f-8a20-43ab-a300-de46ce278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15400</Words>
  <Characters>87781</Characters>
  <Application>Microsoft Office Word</Application>
  <DocSecurity>4</DocSecurity>
  <Lines>731</Lines>
  <Paragraphs>205</Paragraphs>
  <ScaleCrop>false</ScaleCrop>
  <HeadingPairs>
    <vt:vector size="2" baseType="variant">
      <vt:variant>
        <vt:lpstr>Title</vt:lpstr>
      </vt:variant>
      <vt:variant>
        <vt:i4>1</vt:i4>
      </vt:variant>
    </vt:vector>
  </HeadingPairs>
  <TitlesOfParts>
    <vt:vector size="1" baseType="lpstr">
      <vt:lpstr>Council</vt:lpstr>
    </vt:vector>
  </TitlesOfParts>
  <Company>Capita Financials</Company>
  <LinksUpToDate>false</LinksUpToDate>
  <CharactersWithSpaces>102976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dc:title>
  <dc:subject/>
  <dc:creator>idyson</dc:creator>
  <cp:keywords/>
  <dc:description/>
  <cp:lastModifiedBy>Crone, Fiona</cp:lastModifiedBy>
  <cp:revision>2</cp:revision>
  <cp:lastPrinted>2020-01-29T12:46:00Z</cp:lastPrinted>
  <dcterms:created xsi:type="dcterms:W3CDTF">2024-02-20T13:25:00Z</dcterms:created>
  <dcterms:modified xsi:type="dcterms:W3CDTF">2024-02-20T13:25:00Z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2021-02-26T14:25:38Z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670d6129-4c70-4daa-badf-75419a76fafd</vt:lpwstr>
  </property>
  <property fmtid="{D5CDD505-2E9C-101B-9397-08002B2CF9AE}" pid="8" name="MSIP_Label_9fedad31-c0c2-44e8-b26c-75143ee7ed65_ContentBits">
    <vt:lpwstr>0</vt:lpwstr>
  </property>
</Properties>
</file>