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6345"/>
        <w:gridCol w:w="3510"/>
        <w:gridCol w:w="34"/>
      </w:tblGrid>
      <w:tr w:rsidR="00221544" w14:paraId="6D177A78" w14:textId="77777777">
        <w:trPr>
          <w:trHeight w:val="1143"/>
        </w:trPr>
        <w:tc>
          <w:tcPr>
            <w:tcW w:w="6345" w:type="dxa"/>
          </w:tcPr>
          <w:p w14:paraId="47C3C5E9" w14:textId="68F80C65" w:rsidR="00221544" w:rsidRDefault="008902F9" w:rsidP="008902F9">
            <w:pPr>
              <w:tabs>
                <w:tab w:val="left" w:pos="510"/>
              </w:tabs>
              <w:rPr>
                <w:rFonts w:ascii="Arial" w:hAnsi="Arial"/>
                <w:sz w:val="20"/>
              </w:rPr>
            </w:pPr>
            <w:r w:rsidRPr="00653561">
              <w:rPr>
                <w:rFonts w:ascii="Arial" w:hAnsi="Arial"/>
                <w:noProof/>
                <w:sz w:val="20"/>
              </w:rPr>
              <w:drawing>
                <wp:inline distT="0" distB="0" distL="0" distR="0" wp14:anchorId="42567C5A" wp14:editId="0393B008">
                  <wp:extent cx="2352675" cy="981075"/>
                  <wp:effectExtent l="0" t="0" r="9525" b="9525"/>
                  <wp:docPr id="5244699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2675" cy="981075"/>
                          </a:xfrm>
                          <a:prstGeom prst="rect">
                            <a:avLst/>
                          </a:prstGeom>
                          <a:noFill/>
                          <a:ln>
                            <a:noFill/>
                          </a:ln>
                        </pic:spPr>
                      </pic:pic>
                    </a:graphicData>
                  </a:graphic>
                </wp:inline>
              </w:drawing>
            </w:r>
          </w:p>
        </w:tc>
        <w:tc>
          <w:tcPr>
            <w:tcW w:w="3544" w:type="dxa"/>
            <w:gridSpan w:val="2"/>
          </w:tcPr>
          <w:p w14:paraId="3C8C4A9F" w14:textId="77777777" w:rsidR="00221544" w:rsidRPr="00221544" w:rsidRDefault="00221544" w:rsidP="0003241C">
            <w:pPr>
              <w:pStyle w:val="Header"/>
              <w:tabs>
                <w:tab w:val="clear" w:pos="4153"/>
                <w:tab w:val="clear" w:pos="8306"/>
              </w:tabs>
              <w:rPr>
                <w:rFonts w:ascii="Verdana" w:hAnsi="Verdana"/>
                <w:b/>
                <w:sz w:val="28"/>
                <w:szCs w:val="28"/>
              </w:rPr>
            </w:pPr>
          </w:p>
        </w:tc>
      </w:tr>
      <w:tr w:rsidR="00221544" w:rsidRPr="00221544" w14:paraId="0E6A435F" w14:textId="77777777" w:rsidTr="0003241C">
        <w:trPr>
          <w:gridAfter w:val="1"/>
          <w:wAfter w:w="34" w:type="dxa"/>
          <w:cantSplit/>
        </w:trPr>
        <w:tc>
          <w:tcPr>
            <w:tcW w:w="9855" w:type="dxa"/>
            <w:gridSpan w:val="2"/>
            <w:tcBorders>
              <w:top w:val="single" w:sz="4" w:space="0" w:color="auto"/>
              <w:bottom w:val="single" w:sz="4" w:space="0" w:color="auto"/>
            </w:tcBorders>
          </w:tcPr>
          <w:p w14:paraId="38C23D16" w14:textId="77777777" w:rsidR="002F2AF1" w:rsidRDefault="002F2AF1" w:rsidP="002F2AF1">
            <w:pPr>
              <w:rPr>
                <w:rFonts w:ascii="Verdana" w:hAnsi="Verdana"/>
                <w:b/>
                <w:sz w:val="28"/>
                <w:szCs w:val="28"/>
              </w:rPr>
            </w:pPr>
            <w:r>
              <w:rPr>
                <w:rFonts w:ascii="Verdana" w:hAnsi="Verdana"/>
                <w:b/>
                <w:sz w:val="28"/>
                <w:szCs w:val="28"/>
              </w:rPr>
              <w:t>FINAN</w:t>
            </w:r>
            <w:r w:rsidR="00A90F87">
              <w:rPr>
                <w:rFonts w:ascii="Verdana" w:hAnsi="Verdana"/>
                <w:b/>
                <w:sz w:val="28"/>
                <w:szCs w:val="28"/>
              </w:rPr>
              <w:t>CIAL STRATEGY AND RESOURCES 202</w:t>
            </w:r>
            <w:r w:rsidR="00320C8D">
              <w:rPr>
                <w:rFonts w:ascii="Verdana" w:hAnsi="Verdana"/>
                <w:b/>
                <w:sz w:val="28"/>
                <w:szCs w:val="28"/>
              </w:rPr>
              <w:t>4</w:t>
            </w:r>
            <w:r w:rsidR="00A90F87">
              <w:rPr>
                <w:rFonts w:ascii="Verdana" w:hAnsi="Verdana"/>
                <w:b/>
                <w:sz w:val="28"/>
                <w:szCs w:val="28"/>
              </w:rPr>
              <w:t>/2</w:t>
            </w:r>
            <w:r w:rsidR="00320C8D">
              <w:rPr>
                <w:rFonts w:ascii="Verdana" w:hAnsi="Verdana"/>
                <w:b/>
                <w:sz w:val="28"/>
                <w:szCs w:val="28"/>
              </w:rPr>
              <w:t>5</w:t>
            </w:r>
          </w:p>
          <w:p w14:paraId="0EAE59A0" w14:textId="77777777" w:rsidR="00221544" w:rsidRPr="00430EA7" w:rsidRDefault="00221544" w:rsidP="00221544">
            <w:pPr>
              <w:rPr>
                <w:rFonts w:ascii="Verdana" w:hAnsi="Verdana"/>
                <w:b/>
                <w:sz w:val="20"/>
              </w:rPr>
            </w:pPr>
          </w:p>
          <w:p w14:paraId="51B1006D" w14:textId="77777777" w:rsidR="00221544" w:rsidRPr="00221544" w:rsidRDefault="00221544" w:rsidP="00A90F87">
            <w:pPr>
              <w:pStyle w:val="Header"/>
              <w:tabs>
                <w:tab w:val="clear" w:pos="4153"/>
                <w:tab w:val="clear" w:pos="8306"/>
              </w:tabs>
              <w:rPr>
                <w:rFonts w:ascii="Verdana" w:hAnsi="Verdana"/>
                <w:b/>
              </w:rPr>
            </w:pPr>
            <w:r w:rsidRPr="00430EA7">
              <w:rPr>
                <w:rFonts w:ascii="Verdana" w:hAnsi="Verdana"/>
                <w:b/>
                <w:sz w:val="24"/>
              </w:rPr>
              <w:t xml:space="preserve">Report by </w:t>
            </w:r>
            <w:r w:rsidR="00320C8D">
              <w:rPr>
                <w:rFonts w:ascii="Verdana" w:hAnsi="Verdana"/>
                <w:b/>
                <w:sz w:val="24"/>
              </w:rPr>
              <w:t>Director Finance &amp; Procurement</w:t>
            </w:r>
            <w:r w:rsidR="001B6200">
              <w:rPr>
                <w:rFonts w:ascii="Verdana" w:hAnsi="Verdana"/>
                <w:b/>
                <w:sz w:val="24"/>
              </w:rPr>
              <w:t xml:space="preserve"> </w:t>
            </w:r>
          </w:p>
        </w:tc>
      </w:tr>
      <w:tr w:rsidR="00221544" w:rsidRPr="00221544" w14:paraId="273AE14A" w14:textId="77777777">
        <w:trPr>
          <w:gridAfter w:val="1"/>
          <w:wAfter w:w="34" w:type="dxa"/>
          <w:cantSplit/>
          <w:trHeight w:val="686"/>
        </w:trPr>
        <w:tc>
          <w:tcPr>
            <w:tcW w:w="9855" w:type="dxa"/>
            <w:gridSpan w:val="2"/>
            <w:tcBorders>
              <w:top w:val="single" w:sz="4" w:space="0" w:color="auto"/>
            </w:tcBorders>
          </w:tcPr>
          <w:p w14:paraId="1DA74AF6" w14:textId="77777777" w:rsidR="002F2AF1" w:rsidRPr="00430EA7" w:rsidRDefault="002F2AF1" w:rsidP="002F2AF1">
            <w:pPr>
              <w:rPr>
                <w:rFonts w:ascii="Verdana" w:hAnsi="Verdana"/>
                <w:b/>
                <w:sz w:val="28"/>
                <w:szCs w:val="28"/>
              </w:rPr>
            </w:pPr>
            <w:r>
              <w:rPr>
                <w:rFonts w:ascii="Verdana" w:hAnsi="Verdana"/>
                <w:b/>
                <w:sz w:val="28"/>
                <w:szCs w:val="28"/>
              </w:rPr>
              <w:t>SCOTTISH BORDERS COUNCIL</w:t>
            </w:r>
          </w:p>
          <w:p w14:paraId="35F382BB" w14:textId="77777777" w:rsidR="00221544" w:rsidRPr="00430EA7" w:rsidRDefault="00221544" w:rsidP="00221544">
            <w:pPr>
              <w:rPr>
                <w:rFonts w:ascii="Verdana" w:hAnsi="Verdana"/>
                <w:sz w:val="28"/>
                <w:szCs w:val="28"/>
              </w:rPr>
            </w:pPr>
          </w:p>
          <w:p w14:paraId="59EAFEB9" w14:textId="77777777" w:rsidR="00221544" w:rsidRPr="00221544" w:rsidRDefault="00A90F87" w:rsidP="003B6DC2">
            <w:pPr>
              <w:pStyle w:val="Header"/>
              <w:tabs>
                <w:tab w:val="clear" w:pos="4153"/>
                <w:tab w:val="clear" w:pos="8306"/>
              </w:tabs>
              <w:rPr>
                <w:rFonts w:ascii="Verdana" w:hAnsi="Verdana"/>
                <w:b/>
              </w:rPr>
            </w:pPr>
            <w:r>
              <w:rPr>
                <w:rFonts w:ascii="Verdana" w:hAnsi="Verdana"/>
                <w:b/>
                <w:sz w:val="28"/>
                <w:szCs w:val="28"/>
              </w:rPr>
              <w:t>2</w:t>
            </w:r>
            <w:r w:rsidR="00320C8D">
              <w:rPr>
                <w:rFonts w:ascii="Verdana" w:hAnsi="Verdana"/>
                <w:b/>
                <w:sz w:val="28"/>
                <w:szCs w:val="28"/>
              </w:rPr>
              <w:t>9</w:t>
            </w:r>
            <w:r w:rsidR="002F2AF1">
              <w:rPr>
                <w:rFonts w:ascii="Verdana" w:hAnsi="Verdana"/>
                <w:b/>
                <w:sz w:val="28"/>
                <w:szCs w:val="28"/>
              </w:rPr>
              <w:t xml:space="preserve"> </w:t>
            </w:r>
            <w:r w:rsidR="003B6DC2">
              <w:rPr>
                <w:rFonts w:ascii="Verdana" w:hAnsi="Verdana"/>
                <w:b/>
                <w:sz w:val="28"/>
                <w:szCs w:val="28"/>
              </w:rPr>
              <w:t>February</w:t>
            </w:r>
            <w:r w:rsidR="002F2AF1">
              <w:rPr>
                <w:rFonts w:ascii="Verdana" w:hAnsi="Verdana"/>
                <w:b/>
                <w:sz w:val="28"/>
                <w:szCs w:val="28"/>
              </w:rPr>
              <w:t xml:space="preserve"> 202</w:t>
            </w:r>
            <w:r w:rsidR="00320C8D">
              <w:rPr>
                <w:rFonts w:ascii="Verdana" w:hAnsi="Verdana"/>
                <w:b/>
                <w:sz w:val="28"/>
                <w:szCs w:val="28"/>
              </w:rPr>
              <w:t>4</w:t>
            </w:r>
          </w:p>
        </w:tc>
      </w:tr>
      <w:tr w:rsidR="00221544" w:rsidRPr="00221544" w14:paraId="237C5345" w14:textId="77777777">
        <w:trPr>
          <w:gridAfter w:val="1"/>
          <w:wAfter w:w="34" w:type="dxa"/>
          <w:cantSplit/>
          <w:trHeight w:val="358"/>
        </w:trPr>
        <w:tc>
          <w:tcPr>
            <w:tcW w:w="9855" w:type="dxa"/>
            <w:gridSpan w:val="2"/>
            <w:tcBorders>
              <w:bottom w:val="single" w:sz="4" w:space="0" w:color="auto"/>
            </w:tcBorders>
          </w:tcPr>
          <w:p w14:paraId="18E1A4CF" w14:textId="77777777" w:rsidR="00221544" w:rsidRPr="00221544" w:rsidRDefault="00221544">
            <w:pPr>
              <w:rPr>
                <w:rFonts w:ascii="Verdana" w:hAnsi="Verdana"/>
              </w:rPr>
            </w:pPr>
          </w:p>
        </w:tc>
      </w:tr>
    </w:tbl>
    <w:p w14:paraId="73934F23" w14:textId="77777777" w:rsidR="005C3FB3" w:rsidRDefault="005C3FB3">
      <w:pPr>
        <w:pStyle w:val="Header"/>
        <w:tabs>
          <w:tab w:val="clear" w:pos="4153"/>
          <w:tab w:val="clear" w:pos="8306"/>
          <w:tab w:val="left" w:pos="567"/>
          <w:tab w:val="left" w:pos="1134"/>
        </w:tabs>
        <w:rPr>
          <w:rFonts w:ascii="Verdana" w:hAnsi="Verdana"/>
        </w:rPr>
      </w:pPr>
    </w:p>
    <w:p w14:paraId="754FE015" w14:textId="77777777" w:rsidR="00BD3386" w:rsidRDefault="00BD3386" w:rsidP="00BD3386">
      <w:pPr>
        <w:pStyle w:val="Header"/>
        <w:tabs>
          <w:tab w:val="clear" w:pos="4153"/>
          <w:tab w:val="clear" w:pos="8306"/>
          <w:tab w:val="left" w:pos="567"/>
          <w:tab w:val="left" w:pos="1134"/>
        </w:tabs>
        <w:ind w:left="567" w:hanging="567"/>
        <w:rPr>
          <w:rFonts w:ascii="Verdana" w:hAnsi="Verdana"/>
          <w:b/>
        </w:rPr>
      </w:pPr>
      <w:r>
        <w:rPr>
          <w:rFonts w:ascii="Verdana" w:hAnsi="Verdana"/>
          <w:b/>
        </w:rPr>
        <w:t>1</w:t>
      </w:r>
      <w:r>
        <w:rPr>
          <w:rFonts w:ascii="Verdana" w:hAnsi="Verdana"/>
          <w:b/>
        </w:rPr>
        <w:tab/>
        <w:t>PURPOSE AND SUMMARY</w:t>
      </w:r>
    </w:p>
    <w:p w14:paraId="145474E7" w14:textId="77777777" w:rsidR="00BD3386" w:rsidRDefault="00BD3386" w:rsidP="00BD3386">
      <w:pPr>
        <w:pStyle w:val="Header"/>
        <w:tabs>
          <w:tab w:val="clear" w:pos="4153"/>
          <w:tab w:val="clear" w:pos="8306"/>
          <w:tab w:val="left" w:pos="1134"/>
        </w:tabs>
        <w:ind w:left="1134" w:hanging="567"/>
        <w:rPr>
          <w:rFonts w:ascii="Verdana" w:hAnsi="Verdana"/>
        </w:rPr>
      </w:pPr>
    </w:p>
    <w:p w14:paraId="07156B5B" w14:textId="7E82415D" w:rsidR="00BD3386" w:rsidRPr="007B2FD5" w:rsidRDefault="00BD3386" w:rsidP="002F2AF1">
      <w:pPr>
        <w:pStyle w:val="Header"/>
        <w:tabs>
          <w:tab w:val="clear" w:pos="4153"/>
          <w:tab w:val="clear" w:pos="8306"/>
          <w:tab w:val="left" w:pos="1134"/>
        </w:tabs>
        <w:ind w:left="1134" w:hanging="567"/>
        <w:rPr>
          <w:rFonts w:ascii="Verdana" w:hAnsi="Verdana"/>
          <w:b/>
        </w:rPr>
      </w:pPr>
      <w:r w:rsidRPr="007B2FD5">
        <w:rPr>
          <w:rFonts w:ascii="Verdana" w:hAnsi="Verdana"/>
          <w:b/>
        </w:rPr>
        <w:t>1.1</w:t>
      </w:r>
      <w:r>
        <w:rPr>
          <w:rFonts w:ascii="Verdana" w:hAnsi="Verdana"/>
        </w:rPr>
        <w:tab/>
      </w:r>
      <w:r w:rsidR="002F2AF1" w:rsidRPr="007B2FD5">
        <w:rPr>
          <w:rFonts w:ascii="Verdana" w:hAnsi="Verdana"/>
          <w:b/>
        </w:rPr>
        <w:t xml:space="preserve">The purpose of this report is to </w:t>
      </w:r>
      <w:r w:rsidR="00A90F87" w:rsidRPr="007B2FD5">
        <w:rPr>
          <w:rFonts w:ascii="Verdana" w:hAnsi="Verdana"/>
          <w:b/>
        </w:rPr>
        <w:t xml:space="preserve">recommend the financial strategy to be followed by the Council </w:t>
      </w:r>
      <w:r w:rsidR="00715AD7">
        <w:rPr>
          <w:rFonts w:ascii="Verdana" w:hAnsi="Verdana"/>
          <w:b/>
        </w:rPr>
        <w:t xml:space="preserve">for the </w:t>
      </w:r>
      <w:r w:rsidR="00A90F87" w:rsidRPr="007B2FD5">
        <w:rPr>
          <w:rFonts w:ascii="Verdana" w:hAnsi="Verdana"/>
          <w:b/>
        </w:rPr>
        <w:t>next financial year,</w:t>
      </w:r>
      <w:r w:rsidR="00994792">
        <w:rPr>
          <w:rFonts w:ascii="Verdana" w:hAnsi="Verdana"/>
          <w:b/>
        </w:rPr>
        <w:t xml:space="preserve"> to</w:t>
      </w:r>
      <w:r w:rsidR="00A90F87" w:rsidRPr="007B2FD5">
        <w:rPr>
          <w:rFonts w:ascii="Verdana" w:hAnsi="Verdana"/>
          <w:b/>
        </w:rPr>
        <w:t xml:space="preserve"> confirm</w:t>
      </w:r>
      <w:r w:rsidR="000D7AAD">
        <w:rPr>
          <w:rFonts w:ascii="Verdana" w:hAnsi="Verdana"/>
          <w:b/>
        </w:rPr>
        <w:t xml:space="preserve"> the</w:t>
      </w:r>
      <w:r w:rsidR="00A90F87" w:rsidRPr="007B2FD5">
        <w:rPr>
          <w:rFonts w:ascii="Verdana" w:hAnsi="Verdana"/>
          <w:b/>
        </w:rPr>
        <w:t xml:space="preserve"> resources available to the Council </w:t>
      </w:r>
      <w:r w:rsidR="007B2FD5" w:rsidRPr="007B2FD5">
        <w:rPr>
          <w:rFonts w:ascii="Verdana" w:hAnsi="Verdana"/>
          <w:b/>
        </w:rPr>
        <w:t xml:space="preserve">following the publication of the Local Government Finance Settlement </w:t>
      </w:r>
      <w:r w:rsidR="00A90F87" w:rsidRPr="007B2FD5">
        <w:rPr>
          <w:rFonts w:ascii="Verdana" w:hAnsi="Verdana"/>
          <w:b/>
        </w:rPr>
        <w:t xml:space="preserve">and </w:t>
      </w:r>
      <w:r w:rsidR="00994792">
        <w:rPr>
          <w:rFonts w:ascii="Verdana" w:hAnsi="Verdana"/>
          <w:b/>
        </w:rPr>
        <w:t xml:space="preserve">to </w:t>
      </w:r>
      <w:r w:rsidR="00A90F87" w:rsidRPr="007B2FD5">
        <w:rPr>
          <w:rFonts w:ascii="Verdana" w:hAnsi="Verdana"/>
          <w:b/>
        </w:rPr>
        <w:t>identify the financial constraints and major risks to be addressed</w:t>
      </w:r>
      <w:r w:rsidR="002F2AF1" w:rsidRPr="007B2FD5">
        <w:rPr>
          <w:rFonts w:ascii="Verdana" w:hAnsi="Verdana"/>
          <w:b/>
        </w:rPr>
        <w:t>.</w:t>
      </w:r>
    </w:p>
    <w:p w14:paraId="5BC446B1" w14:textId="77777777" w:rsidR="00BD3386" w:rsidRDefault="00BD3386" w:rsidP="00BD3386">
      <w:pPr>
        <w:pStyle w:val="Header"/>
        <w:tabs>
          <w:tab w:val="clear" w:pos="4153"/>
          <w:tab w:val="clear" w:pos="8306"/>
          <w:tab w:val="left" w:pos="1134"/>
        </w:tabs>
        <w:ind w:left="1134" w:hanging="567"/>
        <w:rPr>
          <w:rFonts w:ascii="Verdana" w:hAnsi="Verdana"/>
        </w:rPr>
      </w:pPr>
    </w:p>
    <w:p w14:paraId="13D8DCD4" w14:textId="11176B74" w:rsidR="002F2AF1" w:rsidRDefault="007B2FD5" w:rsidP="002F2AF1">
      <w:pPr>
        <w:pStyle w:val="Header"/>
        <w:tabs>
          <w:tab w:val="clear" w:pos="4153"/>
          <w:tab w:val="clear" w:pos="8306"/>
          <w:tab w:val="left" w:pos="1134"/>
        </w:tabs>
        <w:ind w:left="1134" w:hanging="567"/>
        <w:rPr>
          <w:rFonts w:ascii="Verdana" w:hAnsi="Verdana"/>
        </w:rPr>
      </w:pPr>
      <w:r>
        <w:rPr>
          <w:rFonts w:ascii="Verdana" w:hAnsi="Verdana"/>
        </w:rPr>
        <w:t>1.2</w:t>
      </w:r>
      <w:r w:rsidR="002F2AF1">
        <w:rPr>
          <w:rFonts w:ascii="Verdana" w:hAnsi="Verdana"/>
        </w:rPr>
        <w:tab/>
      </w:r>
      <w:r w:rsidR="002F2AF1" w:rsidRPr="002F1528">
        <w:rPr>
          <w:rFonts w:ascii="Verdana" w:hAnsi="Verdana"/>
        </w:rPr>
        <w:t>The report also outlines the process</w:t>
      </w:r>
      <w:r w:rsidR="00D02655">
        <w:rPr>
          <w:rFonts w:ascii="Verdana" w:hAnsi="Verdana"/>
        </w:rPr>
        <w:t xml:space="preserve"> which has</w:t>
      </w:r>
      <w:r w:rsidR="002F2AF1" w:rsidRPr="002F1528">
        <w:rPr>
          <w:rFonts w:ascii="Verdana" w:hAnsi="Verdana"/>
        </w:rPr>
        <w:t xml:space="preserve"> support</w:t>
      </w:r>
      <w:r w:rsidR="00D02655">
        <w:rPr>
          <w:rFonts w:ascii="Verdana" w:hAnsi="Verdana"/>
        </w:rPr>
        <w:t>ed</w:t>
      </w:r>
      <w:r w:rsidR="002F2AF1" w:rsidRPr="002F1528">
        <w:rPr>
          <w:rFonts w:ascii="Verdana" w:hAnsi="Verdana"/>
        </w:rPr>
        <w:t xml:space="preserve"> the construction of the draft </w:t>
      </w:r>
      <w:r w:rsidR="002F2AF1">
        <w:rPr>
          <w:rFonts w:ascii="Verdana" w:hAnsi="Verdana"/>
        </w:rPr>
        <w:t>revenue and capital Financial Plans</w:t>
      </w:r>
      <w:r w:rsidR="002F2AF1" w:rsidRPr="002F1528">
        <w:rPr>
          <w:rFonts w:ascii="Verdana" w:hAnsi="Verdana"/>
        </w:rPr>
        <w:t xml:space="preserve"> </w:t>
      </w:r>
      <w:r w:rsidR="00A90F87">
        <w:rPr>
          <w:rFonts w:ascii="Verdana" w:hAnsi="Verdana"/>
        </w:rPr>
        <w:t>for 202</w:t>
      </w:r>
      <w:r w:rsidR="00320C8D">
        <w:rPr>
          <w:rFonts w:ascii="Verdana" w:hAnsi="Verdana"/>
        </w:rPr>
        <w:t>4</w:t>
      </w:r>
      <w:r w:rsidR="00A90F87">
        <w:rPr>
          <w:rFonts w:ascii="Verdana" w:hAnsi="Verdana"/>
        </w:rPr>
        <w:t>/2</w:t>
      </w:r>
      <w:r w:rsidR="00320C8D">
        <w:rPr>
          <w:rFonts w:ascii="Verdana" w:hAnsi="Verdana"/>
        </w:rPr>
        <w:t>5</w:t>
      </w:r>
      <w:r w:rsidR="002F2AF1">
        <w:rPr>
          <w:rFonts w:ascii="Verdana" w:hAnsi="Verdana"/>
        </w:rPr>
        <w:t xml:space="preserve"> as well as </w:t>
      </w:r>
      <w:r w:rsidR="000D7AAD">
        <w:rPr>
          <w:rFonts w:ascii="Verdana" w:hAnsi="Verdana"/>
        </w:rPr>
        <w:t xml:space="preserve">the </w:t>
      </w:r>
      <w:r w:rsidR="002F2AF1">
        <w:rPr>
          <w:rFonts w:ascii="Verdana" w:hAnsi="Verdana"/>
        </w:rPr>
        <w:t>draft plans for future years.</w:t>
      </w:r>
    </w:p>
    <w:p w14:paraId="019C7368" w14:textId="77777777" w:rsidR="002F2AF1" w:rsidRDefault="002F2AF1" w:rsidP="002F2AF1">
      <w:pPr>
        <w:pStyle w:val="Header"/>
        <w:tabs>
          <w:tab w:val="clear" w:pos="4153"/>
          <w:tab w:val="clear" w:pos="8306"/>
          <w:tab w:val="left" w:pos="1134"/>
        </w:tabs>
        <w:ind w:left="1134" w:hanging="567"/>
        <w:rPr>
          <w:rFonts w:ascii="Verdana" w:hAnsi="Verdana"/>
        </w:rPr>
      </w:pPr>
    </w:p>
    <w:p w14:paraId="1B92E258" w14:textId="5818C7DE" w:rsidR="00194235" w:rsidRDefault="007B2FD5" w:rsidP="002F2AF1">
      <w:pPr>
        <w:pStyle w:val="Header"/>
        <w:tabs>
          <w:tab w:val="clear" w:pos="4153"/>
          <w:tab w:val="clear" w:pos="8306"/>
          <w:tab w:val="left" w:pos="1134"/>
        </w:tabs>
        <w:ind w:left="1134" w:hanging="567"/>
        <w:rPr>
          <w:rFonts w:ascii="Verdana" w:hAnsi="Verdana"/>
        </w:rPr>
      </w:pPr>
      <w:r w:rsidRPr="22BF6BE4">
        <w:rPr>
          <w:rFonts w:ascii="Verdana" w:hAnsi="Verdana"/>
        </w:rPr>
        <w:t>1.3</w:t>
      </w:r>
      <w:r>
        <w:tab/>
      </w:r>
      <w:r w:rsidR="00194235" w:rsidRPr="22BF6BE4">
        <w:rPr>
          <w:rFonts w:ascii="Verdana" w:hAnsi="Verdana"/>
        </w:rPr>
        <w:t>The report highlights that total revenue resources of £370.</w:t>
      </w:r>
      <w:r w:rsidR="00AF1F7C">
        <w:rPr>
          <w:rFonts w:ascii="Verdana" w:hAnsi="Verdana"/>
        </w:rPr>
        <w:t>2</w:t>
      </w:r>
      <w:r w:rsidR="00194235" w:rsidRPr="22BF6BE4">
        <w:rPr>
          <w:rFonts w:ascii="Verdana" w:hAnsi="Verdana"/>
        </w:rPr>
        <w:t>m are available to Elected Members</w:t>
      </w:r>
      <w:r w:rsidR="004A67B6">
        <w:rPr>
          <w:rFonts w:ascii="Verdana" w:hAnsi="Verdana"/>
        </w:rPr>
        <w:t>.</w:t>
      </w:r>
      <w:r w:rsidR="00194235" w:rsidRPr="22BF6BE4">
        <w:rPr>
          <w:rFonts w:ascii="Verdana" w:hAnsi="Verdana"/>
        </w:rPr>
        <w:t xml:space="preserve"> This includes £3.2m of funding provided by Scottish Government being our share of the £144m made available nationally to Councils that freeze their Council Tax rates at </w:t>
      </w:r>
      <w:r w:rsidR="00D2171F">
        <w:rPr>
          <w:rFonts w:ascii="Verdana" w:hAnsi="Verdana"/>
        </w:rPr>
        <w:t>20</w:t>
      </w:r>
      <w:r w:rsidR="00194235" w:rsidRPr="22BF6BE4">
        <w:rPr>
          <w:rFonts w:ascii="Verdana" w:hAnsi="Verdana"/>
        </w:rPr>
        <w:t>23/24 rates.</w:t>
      </w:r>
    </w:p>
    <w:p w14:paraId="1FAB9AB2" w14:textId="77777777" w:rsidR="004B7194" w:rsidRDefault="004B7194" w:rsidP="002F2AF1">
      <w:pPr>
        <w:pStyle w:val="Header"/>
        <w:tabs>
          <w:tab w:val="clear" w:pos="4153"/>
          <w:tab w:val="clear" w:pos="8306"/>
          <w:tab w:val="left" w:pos="1134"/>
        </w:tabs>
        <w:ind w:left="1134" w:hanging="567"/>
        <w:rPr>
          <w:rFonts w:ascii="Verdana" w:hAnsi="Verdana"/>
        </w:rPr>
      </w:pPr>
    </w:p>
    <w:p w14:paraId="6A040DB5" w14:textId="25EA7F9A" w:rsidR="002F2AF1" w:rsidRDefault="004B7194" w:rsidP="002F2AF1">
      <w:pPr>
        <w:pStyle w:val="Header"/>
        <w:tabs>
          <w:tab w:val="clear" w:pos="4153"/>
          <w:tab w:val="clear" w:pos="8306"/>
          <w:tab w:val="left" w:pos="1134"/>
        </w:tabs>
        <w:ind w:left="1134" w:hanging="567"/>
        <w:rPr>
          <w:rFonts w:ascii="Verdana" w:hAnsi="Verdana"/>
        </w:rPr>
      </w:pPr>
      <w:r>
        <w:rPr>
          <w:rFonts w:ascii="Verdana" w:hAnsi="Verdana"/>
        </w:rPr>
        <w:t>1.4</w:t>
      </w:r>
      <w:r>
        <w:rPr>
          <w:rFonts w:ascii="Verdana" w:hAnsi="Verdana"/>
        </w:rPr>
        <w:tab/>
      </w:r>
      <w:r w:rsidR="002F2AF1" w:rsidRPr="003D6D3E">
        <w:rPr>
          <w:rFonts w:ascii="Verdana" w:hAnsi="Verdana"/>
        </w:rPr>
        <w:t xml:space="preserve">The </w:t>
      </w:r>
      <w:r w:rsidR="00067CCC">
        <w:rPr>
          <w:rFonts w:ascii="Verdana" w:hAnsi="Verdana"/>
        </w:rPr>
        <w:t xml:space="preserve">Council </w:t>
      </w:r>
      <w:r w:rsidR="007B1864">
        <w:rPr>
          <w:rFonts w:ascii="Verdana" w:hAnsi="Verdana"/>
        </w:rPr>
        <w:t>Management</w:t>
      </w:r>
      <w:r w:rsidR="00067CCC">
        <w:rPr>
          <w:rFonts w:ascii="Verdana" w:hAnsi="Verdana"/>
        </w:rPr>
        <w:t xml:space="preserve"> </w:t>
      </w:r>
      <w:r w:rsidR="002F2AF1" w:rsidRPr="003D6D3E">
        <w:rPr>
          <w:rFonts w:ascii="Verdana" w:hAnsi="Verdana"/>
        </w:rPr>
        <w:t>Team</w:t>
      </w:r>
      <w:r w:rsidR="00364396">
        <w:rPr>
          <w:rFonts w:ascii="Verdana" w:hAnsi="Verdana"/>
        </w:rPr>
        <w:t xml:space="preserve"> (CMT)</w:t>
      </w:r>
      <w:r w:rsidR="002F2AF1" w:rsidRPr="003D6D3E">
        <w:rPr>
          <w:rFonts w:ascii="Verdana" w:hAnsi="Verdana"/>
        </w:rPr>
        <w:t xml:space="preserve"> has support</w:t>
      </w:r>
      <w:r w:rsidR="00034749">
        <w:rPr>
          <w:rFonts w:ascii="Verdana" w:hAnsi="Verdana"/>
        </w:rPr>
        <w:t>ed</w:t>
      </w:r>
      <w:r w:rsidR="002F2AF1" w:rsidRPr="003D6D3E">
        <w:rPr>
          <w:rFonts w:ascii="Verdana" w:hAnsi="Verdana"/>
        </w:rPr>
        <w:t xml:space="preserve"> Members </w:t>
      </w:r>
      <w:r w:rsidR="00034749">
        <w:rPr>
          <w:rFonts w:ascii="Verdana" w:hAnsi="Verdana"/>
        </w:rPr>
        <w:t xml:space="preserve">to </w:t>
      </w:r>
      <w:r w:rsidR="002F2AF1" w:rsidRPr="003D6D3E">
        <w:rPr>
          <w:rFonts w:ascii="Verdana" w:hAnsi="Verdana"/>
        </w:rPr>
        <w:t xml:space="preserve">set a corporate revenue and capital budget, meeting identified pressures facing the Council. </w:t>
      </w:r>
      <w:r w:rsidR="002F2AF1" w:rsidRPr="000D7AAD">
        <w:rPr>
          <w:rFonts w:ascii="Verdana" w:hAnsi="Verdana"/>
        </w:rPr>
        <w:t>These pressures have arisen from a variety of factors</w:t>
      </w:r>
      <w:r w:rsidR="00D86043">
        <w:rPr>
          <w:rFonts w:ascii="Verdana" w:hAnsi="Verdana"/>
        </w:rPr>
        <w:t>, t</w:t>
      </w:r>
      <w:r w:rsidR="00200782" w:rsidRPr="000D7AAD">
        <w:rPr>
          <w:rFonts w:ascii="Verdana" w:hAnsi="Verdana"/>
        </w:rPr>
        <w:t>he principal</w:t>
      </w:r>
      <w:r w:rsidR="002F2AF1" w:rsidRPr="000D7AAD">
        <w:rPr>
          <w:rFonts w:ascii="Verdana" w:hAnsi="Verdana"/>
        </w:rPr>
        <w:t xml:space="preserve"> pressures</w:t>
      </w:r>
      <w:r w:rsidR="000D7AAD" w:rsidRPr="000D7AAD">
        <w:rPr>
          <w:rFonts w:ascii="Verdana" w:hAnsi="Verdana"/>
        </w:rPr>
        <w:t xml:space="preserve"> included within the plan relate to ongoing inflationary pressures in transport, utilities and construction costs, the </w:t>
      </w:r>
      <w:r w:rsidR="002F2AF1" w:rsidRPr="000D7AAD">
        <w:rPr>
          <w:rFonts w:ascii="Verdana" w:hAnsi="Verdana"/>
        </w:rPr>
        <w:t>anticipated continuing constraints on external revenue and capital funding from central government</w:t>
      </w:r>
      <w:r w:rsidR="000D7AAD" w:rsidRPr="000D7AAD">
        <w:rPr>
          <w:rFonts w:ascii="Verdana" w:hAnsi="Verdana"/>
        </w:rPr>
        <w:t xml:space="preserve"> and increasing care requirements, especially in children and young people </w:t>
      </w:r>
      <w:r w:rsidR="00067CCC" w:rsidRPr="000D7AAD">
        <w:rPr>
          <w:rFonts w:ascii="Verdana" w:hAnsi="Verdana"/>
        </w:rPr>
        <w:t>requiring to be looked after and accommodated out with the authority</w:t>
      </w:r>
      <w:r w:rsidR="002F2AF1" w:rsidRPr="000D7AAD">
        <w:rPr>
          <w:rFonts w:ascii="Verdana" w:hAnsi="Verdana"/>
        </w:rPr>
        <w:t>.</w:t>
      </w:r>
    </w:p>
    <w:p w14:paraId="388ECA0C" w14:textId="77777777" w:rsidR="00BD3386" w:rsidRDefault="00BD3386" w:rsidP="00BD3386">
      <w:pPr>
        <w:pStyle w:val="Header"/>
        <w:tabs>
          <w:tab w:val="clear" w:pos="4153"/>
          <w:tab w:val="clear" w:pos="8306"/>
          <w:tab w:val="left" w:pos="1134"/>
        </w:tabs>
        <w:ind w:left="1134" w:hanging="567"/>
        <w:rPr>
          <w:rFonts w:ascii="Verdana" w:hAnsi="Verdana"/>
        </w:rPr>
      </w:pPr>
    </w:p>
    <w:p w14:paraId="58EA05E0" w14:textId="6BFD0150" w:rsidR="002F2AF1" w:rsidRDefault="007B2FD5" w:rsidP="00BD3386">
      <w:pPr>
        <w:pStyle w:val="Header"/>
        <w:tabs>
          <w:tab w:val="clear" w:pos="4153"/>
          <w:tab w:val="clear" w:pos="8306"/>
          <w:tab w:val="left" w:pos="1134"/>
        </w:tabs>
        <w:ind w:left="1134" w:hanging="567"/>
        <w:rPr>
          <w:rFonts w:ascii="Verdana" w:hAnsi="Verdana"/>
        </w:rPr>
      </w:pPr>
      <w:r>
        <w:rPr>
          <w:rFonts w:ascii="Verdana" w:hAnsi="Verdana"/>
        </w:rPr>
        <w:t>1.</w:t>
      </w:r>
      <w:r w:rsidR="00030E74">
        <w:rPr>
          <w:rFonts w:ascii="Verdana" w:hAnsi="Verdana"/>
        </w:rPr>
        <w:t>5</w:t>
      </w:r>
      <w:r w:rsidR="002F2AF1">
        <w:rPr>
          <w:rFonts w:ascii="Verdana" w:hAnsi="Verdana"/>
        </w:rPr>
        <w:tab/>
      </w:r>
      <w:r w:rsidR="002F2AF1" w:rsidRPr="003D6D3E">
        <w:rPr>
          <w:rFonts w:ascii="Verdana" w:hAnsi="Verdana"/>
        </w:rPr>
        <w:t xml:space="preserve">The budget </w:t>
      </w:r>
      <w:r w:rsidR="002F2AF1">
        <w:rPr>
          <w:rFonts w:ascii="Verdana" w:hAnsi="Verdana"/>
        </w:rPr>
        <w:t xml:space="preserve">development </w:t>
      </w:r>
      <w:r w:rsidR="002F2AF1" w:rsidRPr="003D6D3E">
        <w:rPr>
          <w:rFonts w:ascii="Verdana" w:hAnsi="Verdana"/>
        </w:rPr>
        <w:t xml:space="preserve">process has been conducted to ensure that the </w:t>
      </w:r>
      <w:r w:rsidR="00653B7D">
        <w:rPr>
          <w:rFonts w:ascii="Verdana" w:hAnsi="Verdana"/>
        </w:rPr>
        <w:t>F</w:t>
      </w:r>
      <w:r w:rsidR="002F2AF1" w:rsidRPr="003D6D3E">
        <w:rPr>
          <w:rFonts w:ascii="Verdana" w:hAnsi="Verdana"/>
        </w:rPr>
        <w:t xml:space="preserve">inancial </w:t>
      </w:r>
      <w:r w:rsidR="00653B7D">
        <w:rPr>
          <w:rFonts w:ascii="Verdana" w:hAnsi="Verdana"/>
        </w:rPr>
        <w:t>P</w:t>
      </w:r>
      <w:r w:rsidR="002F2AF1" w:rsidRPr="003D6D3E">
        <w:rPr>
          <w:rFonts w:ascii="Verdana" w:hAnsi="Verdana"/>
        </w:rPr>
        <w:t>lans of the Council are aligned with its business and people planning objectives and the level of resources available</w:t>
      </w:r>
      <w:r w:rsidR="00AB43A1">
        <w:rPr>
          <w:rFonts w:ascii="Verdana" w:hAnsi="Verdana"/>
        </w:rPr>
        <w:t xml:space="preserve"> to enable delivery o</w:t>
      </w:r>
      <w:r w:rsidR="0069682F">
        <w:rPr>
          <w:rFonts w:ascii="Verdana" w:hAnsi="Verdana"/>
        </w:rPr>
        <w:t>f</w:t>
      </w:r>
      <w:r w:rsidR="00AB43A1">
        <w:rPr>
          <w:rFonts w:ascii="Verdana" w:hAnsi="Verdana"/>
        </w:rPr>
        <w:t xml:space="preserve"> the Council Plan</w:t>
      </w:r>
      <w:r w:rsidR="000D7AAD">
        <w:rPr>
          <w:rFonts w:ascii="Verdana" w:hAnsi="Verdana"/>
        </w:rPr>
        <w:t xml:space="preserve"> and should be considered within the suite of documents provided today. </w:t>
      </w:r>
    </w:p>
    <w:p w14:paraId="4E5C97CA" w14:textId="77777777" w:rsidR="00253689" w:rsidRDefault="00253689" w:rsidP="00BD3386">
      <w:pPr>
        <w:pStyle w:val="Header"/>
        <w:tabs>
          <w:tab w:val="clear" w:pos="4153"/>
          <w:tab w:val="clear" w:pos="8306"/>
          <w:tab w:val="left" w:pos="1134"/>
        </w:tabs>
        <w:ind w:left="1134" w:hanging="567"/>
        <w:rPr>
          <w:rFonts w:ascii="Verdana" w:hAnsi="Verdana"/>
        </w:rPr>
      </w:pPr>
    </w:p>
    <w:p w14:paraId="20F6C866" w14:textId="77777777" w:rsidR="00266037" w:rsidRDefault="00266037" w:rsidP="00BD3386">
      <w:pPr>
        <w:pStyle w:val="Header"/>
        <w:tabs>
          <w:tab w:val="clear" w:pos="4153"/>
          <w:tab w:val="clear" w:pos="8306"/>
          <w:tab w:val="left" w:pos="1134"/>
        </w:tabs>
        <w:ind w:left="1134" w:hanging="567"/>
        <w:rPr>
          <w:rFonts w:ascii="Verdana" w:hAnsi="Verdana"/>
        </w:rPr>
      </w:pPr>
    </w:p>
    <w:p w14:paraId="6B603610" w14:textId="77777777" w:rsidR="00266037" w:rsidRDefault="00266037" w:rsidP="00BD3386">
      <w:pPr>
        <w:pStyle w:val="Header"/>
        <w:tabs>
          <w:tab w:val="clear" w:pos="4153"/>
          <w:tab w:val="clear" w:pos="8306"/>
          <w:tab w:val="left" w:pos="1134"/>
        </w:tabs>
        <w:ind w:left="1134" w:hanging="567"/>
        <w:rPr>
          <w:rFonts w:ascii="Verdana" w:hAnsi="Verdana"/>
        </w:rPr>
      </w:pPr>
    </w:p>
    <w:p w14:paraId="55076F1B" w14:textId="77777777" w:rsidR="00266037" w:rsidRDefault="00266037" w:rsidP="00BD3386">
      <w:pPr>
        <w:pStyle w:val="Header"/>
        <w:tabs>
          <w:tab w:val="clear" w:pos="4153"/>
          <w:tab w:val="clear" w:pos="8306"/>
          <w:tab w:val="left" w:pos="1134"/>
        </w:tabs>
        <w:ind w:left="1134" w:hanging="567"/>
        <w:rPr>
          <w:rFonts w:ascii="Verdana" w:hAnsi="Verdana"/>
        </w:rPr>
      </w:pPr>
    </w:p>
    <w:p w14:paraId="02273475" w14:textId="77777777" w:rsidR="00266037" w:rsidRDefault="00266037" w:rsidP="00BD3386">
      <w:pPr>
        <w:pStyle w:val="Header"/>
        <w:tabs>
          <w:tab w:val="clear" w:pos="4153"/>
          <w:tab w:val="clear" w:pos="8306"/>
          <w:tab w:val="left" w:pos="1134"/>
        </w:tabs>
        <w:ind w:left="1134" w:hanging="567"/>
        <w:rPr>
          <w:rFonts w:ascii="Verdana" w:hAnsi="Verdana"/>
        </w:rPr>
      </w:pPr>
    </w:p>
    <w:p w14:paraId="5E52A66B" w14:textId="77777777" w:rsidR="00266037" w:rsidRDefault="00266037" w:rsidP="00BD3386">
      <w:pPr>
        <w:pStyle w:val="Header"/>
        <w:tabs>
          <w:tab w:val="clear" w:pos="4153"/>
          <w:tab w:val="clear" w:pos="8306"/>
          <w:tab w:val="left" w:pos="1134"/>
        </w:tabs>
        <w:ind w:left="1134" w:hanging="567"/>
        <w:rPr>
          <w:rFonts w:ascii="Verdana" w:hAnsi="Verdana"/>
        </w:rPr>
      </w:pPr>
    </w:p>
    <w:p w14:paraId="2F7B9B90" w14:textId="77777777" w:rsidR="00266037" w:rsidRDefault="00266037" w:rsidP="00BD3386">
      <w:pPr>
        <w:pStyle w:val="Header"/>
        <w:tabs>
          <w:tab w:val="clear" w:pos="4153"/>
          <w:tab w:val="clear" w:pos="8306"/>
          <w:tab w:val="left" w:pos="1134"/>
        </w:tabs>
        <w:ind w:left="1134" w:hanging="567"/>
        <w:rPr>
          <w:rFonts w:ascii="Verdana" w:hAnsi="Verdana"/>
        </w:rPr>
      </w:pPr>
    </w:p>
    <w:p w14:paraId="37FF1649" w14:textId="72E4FBBC" w:rsidR="00253689" w:rsidRDefault="00253689" w:rsidP="00253689">
      <w:pPr>
        <w:pStyle w:val="Header"/>
        <w:tabs>
          <w:tab w:val="clear" w:pos="4153"/>
          <w:tab w:val="clear" w:pos="8306"/>
          <w:tab w:val="left" w:pos="1134"/>
        </w:tabs>
        <w:ind w:left="1134" w:hanging="567"/>
        <w:rPr>
          <w:rFonts w:ascii="Verdana" w:hAnsi="Verdana"/>
        </w:rPr>
      </w:pPr>
      <w:r>
        <w:rPr>
          <w:rFonts w:ascii="Verdana" w:hAnsi="Verdana"/>
        </w:rPr>
        <w:lastRenderedPageBreak/>
        <w:t>1.</w:t>
      </w:r>
      <w:r w:rsidR="00030E74">
        <w:rPr>
          <w:rFonts w:ascii="Verdana" w:hAnsi="Verdana"/>
        </w:rPr>
        <w:t>6</w:t>
      </w:r>
      <w:r>
        <w:rPr>
          <w:rFonts w:ascii="Verdana" w:hAnsi="Verdana"/>
        </w:rPr>
        <w:tab/>
        <w:t xml:space="preserve">The challenging financial landscape across Scottish Local Authorities has been widely acknowledged and the </w:t>
      </w:r>
      <w:r w:rsidR="00DA31A6">
        <w:rPr>
          <w:rFonts w:ascii="Verdana" w:hAnsi="Verdana"/>
        </w:rPr>
        <w:t>long-term</w:t>
      </w:r>
      <w:r>
        <w:rPr>
          <w:rFonts w:ascii="Verdana" w:hAnsi="Verdana"/>
        </w:rPr>
        <w:t xml:space="preserve"> impact across the Scottish Borders should not be </w:t>
      </w:r>
      <w:r w:rsidR="001529C4">
        <w:rPr>
          <w:rFonts w:ascii="Verdana" w:hAnsi="Verdana"/>
        </w:rPr>
        <w:t>underestimated</w:t>
      </w:r>
      <w:r>
        <w:rPr>
          <w:rFonts w:ascii="Verdana" w:hAnsi="Verdana"/>
        </w:rPr>
        <w:t xml:space="preserve">. The </w:t>
      </w:r>
      <w:r w:rsidR="00A06CE0">
        <w:rPr>
          <w:rFonts w:ascii="Verdana" w:hAnsi="Verdana"/>
        </w:rPr>
        <w:t>F</w:t>
      </w:r>
      <w:r>
        <w:rPr>
          <w:rFonts w:ascii="Verdana" w:hAnsi="Verdana"/>
        </w:rPr>
        <w:t xml:space="preserve">inancial </w:t>
      </w:r>
      <w:r w:rsidR="00A06CE0">
        <w:rPr>
          <w:rFonts w:ascii="Verdana" w:hAnsi="Verdana"/>
        </w:rPr>
        <w:t>P</w:t>
      </w:r>
      <w:r>
        <w:rPr>
          <w:rFonts w:ascii="Verdana" w:hAnsi="Verdana"/>
        </w:rPr>
        <w:t>lan presented to Council, although balanced, relies heavily on one</w:t>
      </w:r>
      <w:r w:rsidR="004B07F6">
        <w:rPr>
          <w:rFonts w:ascii="Verdana" w:hAnsi="Verdana"/>
        </w:rPr>
        <w:t>-</w:t>
      </w:r>
      <w:r>
        <w:rPr>
          <w:rFonts w:ascii="Verdana" w:hAnsi="Verdana"/>
        </w:rPr>
        <w:t xml:space="preserve">off funding to support the first year of the plan allowing the Council time to make difficult decisions on service provision and delivery in a planned and engaged manner. The </w:t>
      </w:r>
      <w:r w:rsidRPr="00456BA4">
        <w:rPr>
          <w:rFonts w:ascii="Verdana" w:hAnsi="Verdana"/>
        </w:rPr>
        <w:t xml:space="preserve">Transformation </w:t>
      </w:r>
      <w:r w:rsidR="00C858A6">
        <w:rPr>
          <w:rFonts w:ascii="Verdana" w:hAnsi="Verdana"/>
        </w:rPr>
        <w:t>P</w:t>
      </w:r>
      <w:r w:rsidRPr="00456BA4">
        <w:rPr>
          <w:rFonts w:ascii="Verdana" w:hAnsi="Verdana"/>
        </w:rPr>
        <w:t>rogramme of work</w:t>
      </w:r>
      <w:r>
        <w:rPr>
          <w:rFonts w:ascii="Verdana" w:hAnsi="Verdana"/>
        </w:rPr>
        <w:t xml:space="preserve"> required to deliver financial stability is detailed elsewhere on the Council agenda today. </w:t>
      </w:r>
    </w:p>
    <w:p w14:paraId="5006D28C" w14:textId="77777777" w:rsidR="00253689" w:rsidRDefault="00253689" w:rsidP="00253689">
      <w:pPr>
        <w:pStyle w:val="Header"/>
        <w:tabs>
          <w:tab w:val="clear" w:pos="4153"/>
          <w:tab w:val="clear" w:pos="8306"/>
          <w:tab w:val="left" w:pos="1134"/>
        </w:tabs>
        <w:ind w:left="1134" w:hanging="567"/>
        <w:rPr>
          <w:rFonts w:ascii="Verdana" w:hAnsi="Verdana"/>
        </w:rPr>
      </w:pPr>
    </w:p>
    <w:p w14:paraId="30C83182" w14:textId="1751065B" w:rsidR="00253689" w:rsidRDefault="00253689" w:rsidP="00253689">
      <w:pPr>
        <w:pStyle w:val="Header"/>
        <w:tabs>
          <w:tab w:val="clear" w:pos="4153"/>
          <w:tab w:val="clear" w:pos="8306"/>
          <w:tab w:val="left" w:pos="1134"/>
        </w:tabs>
        <w:ind w:left="1134" w:hanging="567"/>
        <w:rPr>
          <w:rFonts w:ascii="Verdana" w:hAnsi="Verdana"/>
        </w:rPr>
      </w:pPr>
      <w:r>
        <w:rPr>
          <w:rFonts w:ascii="Verdana" w:hAnsi="Verdana"/>
        </w:rPr>
        <w:t>1.</w:t>
      </w:r>
      <w:r w:rsidR="00030E74">
        <w:rPr>
          <w:rFonts w:ascii="Verdana" w:hAnsi="Verdana"/>
        </w:rPr>
        <w:t>7</w:t>
      </w:r>
      <w:r>
        <w:rPr>
          <w:rFonts w:ascii="Verdana" w:hAnsi="Verdana"/>
        </w:rPr>
        <w:tab/>
      </w:r>
      <w:r w:rsidRPr="00E218B7">
        <w:rPr>
          <w:rFonts w:ascii="Verdana" w:hAnsi="Verdana"/>
        </w:rPr>
        <w:t>A freeze on Council tax rates for 2024/25 at 2023/24 rates was approved by Council on 21</w:t>
      </w:r>
      <w:r w:rsidRPr="00E218B7">
        <w:rPr>
          <w:rFonts w:ascii="Verdana" w:hAnsi="Verdana"/>
          <w:vertAlign w:val="superscript"/>
        </w:rPr>
        <w:t>st</w:t>
      </w:r>
      <w:r w:rsidRPr="00E218B7">
        <w:rPr>
          <w:rFonts w:ascii="Verdana" w:hAnsi="Verdana"/>
        </w:rPr>
        <w:t xml:space="preserve"> February 2024.  </w:t>
      </w:r>
      <w:r>
        <w:rPr>
          <w:rFonts w:ascii="Verdana" w:hAnsi="Verdana"/>
        </w:rPr>
        <w:t>Indicative increases to Council tax rates are included within the Financial Plan at 10% for 2025/26 and a further 5% for each following year.</w:t>
      </w:r>
    </w:p>
    <w:p w14:paraId="4732F45B" w14:textId="77777777" w:rsidR="00C21208" w:rsidRDefault="00C21208" w:rsidP="00BD3386">
      <w:pPr>
        <w:pStyle w:val="Header"/>
        <w:tabs>
          <w:tab w:val="clear" w:pos="4153"/>
          <w:tab w:val="clear" w:pos="8306"/>
          <w:tab w:val="left" w:pos="1134"/>
        </w:tabs>
        <w:ind w:left="1134" w:hanging="567"/>
        <w:rPr>
          <w:rFonts w:ascii="Verdana" w:hAnsi="Verdana"/>
        </w:rPr>
      </w:pPr>
    </w:p>
    <w:p w14:paraId="35C9A081" w14:textId="1CB25AE3" w:rsidR="000D7AAD" w:rsidRDefault="007B2FD5" w:rsidP="00BD3386">
      <w:pPr>
        <w:pStyle w:val="Header"/>
        <w:tabs>
          <w:tab w:val="clear" w:pos="4153"/>
          <w:tab w:val="clear" w:pos="8306"/>
          <w:tab w:val="left" w:pos="1134"/>
        </w:tabs>
        <w:ind w:left="1134" w:hanging="567"/>
        <w:rPr>
          <w:rFonts w:ascii="Verdana" w:hAnsi="Verdana"/>
        </w:rPr>
      </w:pPr>
      <w:r>
        <w:rPr>
          <w:rFonts w:ascii="Verdana" w:hAnsi="Verdana"/>
        </w:rPr>
        <w:t>1.</w:t>
      </w:r>
      <w:r w:rsidR="00030E74">
        <w:rPr>
          <w:rFonts w:ascii="Verdana" w:hAnsi="Verdana"/>
        </w:rPr>
        <w:t>8</w:t>
      </w:r>
      <w:r w:rsidR="002F2AF1">
        <w:rPr>
          <w:rFonts w:ascii="Verdana" w:hAnsi="Verdana"/>
        </w:rPr>
        <w:tab/>
        <w:t xml:space="preserve">The benefits, in terms of financial stability and effective change management, derived from adopting a </w:t>
      </w:r>
      <w:r w:rsidR="00DA31A6">
        <w:rPr>
          <w:rFonts w:ascii="Verdana" w:hAnsi="Verdana"/>
        </w:rPr>
        <w:t>longer-term</w:t>
      </w:r>
      <w:r w:rsidR="002F2AF1">
        <w:rPr>
          <w:rFonts w:ascii="Verdana" w:hAnsi="Verdana"/>
        </w:rPr>
        <w:t xml:space="preserve"> corporate approach to the revenue and capital planning process are widely accepted.  </w:t>
      </w:r>
      <w:r w:rsidR="000D7AAD">
        <w:rPr>
          <w:rFonts w:ascii="Verdana" w:hAnsi="Verdana"/>
        </w:rPr>
        <w:t xml:space="preserve">In 2022/23 a </w:t>
      </w:r>
      <w:r w:rsidR="00DA31A6" w:rsidRPr="000D7AAD">
        <w:rPr>
          <w:rFonts w:ascii="Verdana" w:hAnsi="Verdana"/>
        </w:rPr>
        <w:t>10-year</w:t>
      </w:r>
      <w:r w:rsidR="003B6DC2" w:rsidRPr="000D7AAD">
        <w:rPr>
          <w:rFonts w:ascii="Verdana" w:hAnsi="Verdana"/>
        </w:rPr>
        <w:t xml:space="preserve"> </w:t>
      </w:r>
      <w:r w:rsidR="006148B1" w:rsidRPr="000D7AAD">
        <w:rPr>
          <w:rFonts w:ascii="Verdana" w:hAnsi="Verdana"/>
        </w:rPr>
        <w:t xml:space="preserve">revenue financial strategy </w:t>
      </w:r>
      <w:r w:rsidR="000D7AAD" w:rsidRPr="000D7AAD">
        <w:rPr>
          <w:rFonts w:ascii="Verdana" w:hAnsi="Verdana"/>
        </w:rPr>
        <w:t>was developed and the Council has continued with this approach for 2024/25</w:t>
      </w:r>
      <w:r w:rsidR="000D7AAD">
        <w:rPr>
          <w:rFonts w:ascii="Verdana" w:hAnsi="Verdana"/>
        </w:rPr>
        <w:t>,</w:t>
      </w:r>
      <w:r w:rsidR="003B6DC2" w:rsidRPr="000D7AAD">
        <w:rPr>
          <w:rFonts w:ascii="Verdana" w:hAnsi="Verdana"/>
        </w:rPr>
        <w:t xml:space="preserve"> </w:t>
      </w:r>
      <w:r w:rsidR="000D7AAD" w:rsidRPr="000D7AAD">
        <w:rPr>
          <w:rFonts w:ascii="Verdana" w:hAnsi="Verdana"/>
        </w:rPr>
        <w:t>maintaining</w:t>
      </w:r>
      <w:r w:rsidR="003B6DC2" w:rsidRPr="000D7AAD">
        <w:rPr>
          <w:rFonts w:ascii="Verdana" w:hAnsi="Verdana"/>
        </w:rPr>
        <w:t xml:space="preserve"> the </w:t>
      </w:r>
      <w:r w:rsidR="001529C4" w:rsidRPr="000D7AAD">
        <w:rPr>
          <w:rFonts w:ascii="Verdana" w:hAnsi="Verdana"/>
        </w:rPr>
        <w:t>long-term</w:t>
      </w:r>
      <w:r w:rsidR="003B6DC2" w:rsidRPr="000D7AAD">
        <w:rPr>
          <w:rFonts w:ascii="Verdana" w:hAnsi="Verdana"/>
        </w:rPr>
        <w:t xml:space="preserve"> planning horizon for both revenue and capital</w:t>
      </w:r>
      <w:r w:rsidR="003B6DC2">
        <w:rPr>
          <w:rFonts w:ascii="Verdana" w:hAnsi="Verdana"/>
        </w:rPr>
        <w:t xml:space="preserve"> at 10 years</w:t>
      </w:r>
      <w:r w:rsidR="000D7AAD">
        <w:rPr>
          <w:rFonts w:ascii="Verdana" w:hAnsi="Verdana"/>
        </w:rPr>
        <w:t>. These strategies, along with the Treasury</w:t>
      </w:r>
      <w:r w:rsidR="004B7194">
        <w:rPr>
          <w:rFonts w:ascii="Verdana" w:hAnsi="Verdana"/>
        </w:rPr>
        <w:t xml:space="preserve"> Management</w:t>
      </w:r>
      <w:r w:rsidR="000D7AAD">
        <w:rPr>
          <w:rFonts w:ascii="Verdana" w:hAnsi="Verdana"/>
        </w:rPr>
        <w:t xml:space="preserve"> Strategy comprise a suite of papers designed to guide the financial planning exercise undertaken by the </w:t>
      </w:r>
      <w:r w:rsidR="0099129D">
        <w:rPr>
          <w:rFonts w:ascii="Verdana" w:hAnsi="Verdana"/>
        </w:rPr>
        <w:t>C</w:t>
      </w:r>
      <w:r w:rsidR="000D7AAD">
        <w:rPr>
          <w:rFonts w:ascii="Verdana" w:hAnsi="Verdana"/>
        </w:rPr>
        <w:t xml:space="preserve">ouncil on an </w:t>
      </w:r>
      <w:r w:rsidR="000D7AAD" w:rsidRPr="000D7AAD">
        <w:rPr>
          <w:rFonts w:ascii="Verdana" w:hAnsi="Verdana"/>
        </w:rPr>
        <w:t>annual basis and feed</w:t>
      </w:r>
      <w:r w:rsidR="002B0E93">
        <w:rPr>
          <w:rFonts w:ascii="Verdana" w:hAnsi="Verdana"/>
        </w:rPr>
        <w:t>s</w:t>
      </w:r>
      <w:r w:rsidR="000D7AAD" w:rsidRPr="000D7AAD">
        <w:rPr>
          <w:rFonts w:ascii="Verdana" w:hAnsi="Verdana"/>
        </w:rPr>
        <w:t xml:space="preserve"> into the Financial Strategy 2024/25 and the resultant Financial </w:t>
      </w:r>
      <w:r w:rsidR="00A66A4F">
        <w:rPr>
          <w:rFonts w:ascii="Verdana" w:hAnsi="Verdana"/>
        </w:rPr>
        <w:t>P</w:t>
      </w:r>
      <w:r w:rsidR="000D7AAD" w:rsidRPr="000D7AAD">
        <w:rPr>
          <w:rFonts w:ascii="Verdana" w:hAnsi="Verdana"/>
        </w:rPr>
        <w:t>lans included for approval elsewhere on this agenda.</w:t>
      </w:r>
      <w:r w:rsidR="000D7AAD">
        <w:rPr>
          <w:rFonts w:ascii="Verdana" w:hAnsi="Verdana"/>
        </w:rPr>
        <w:t xml:space="preserve"> </w:t>
      </w:r>
    </w:p>
    <w:p w14:paraId="4D52E61F" w14:textId="77777777" w:rsidR="003B6DC2" w:rsidRDefault="003B6DC2" w:rsidP="00BD3386">
      <w:pPr>
        <w:pStyle w:val="Header"/>
        <w:tabs>
          <w:tab w:val="clear" w:pos="4153"/>
          <w:tab w:val="clear" w:pos="8306"/>
          <w:tab w:val="left" w:pos="1134"/>
        </w:tabs>
        <w:ind w:left="1134" w:hanging="567"/>
        <w:rPr>
          <w:rFonts w:ascii="Verdana" w:hAnsi="Verdana"/>
        </w:rPr>
      </w:pPr>
    </w:p>
    <w:p w14:paraId="0B4785D9" w14:textId="07A40435" w:rsidR="00A50506" w:rsidRDefault="007B2FD5" w:rsidP="00BD3386">
      <w:pPr>
        <w:pStyle w:val="Header"/>
        <w:tabs>
          <w:tab w:val="clear" w:pos="4153"/>
          <w:tab w:val="clear" w:pos="8306"/>
          <w:tab w:val="left" w:pos="1134"/>
        </w:tabs>
        <w:ind w:left="1134" w:hanging="567"/>
        <w:rPr>
          <w:rFonts w:ascii="Verdana" w:hAnsi="Verdana"/>
        </w:rPr>
      </w:pPr>
      <w:r>
        <w:rPr>
          <w:rFonts w:ascii="Verdana" w:hAnsi="Verdana"/>
        </w:rPr>
        <w:t>1.</w:t>
      </w:r>
      <w:r w:rsidR="00030E74">
        <w:rPr>
          <w:rFonts w:ascii="Verdana" w:hAnsi="Verdana"/>
        </w:rPr>
        <w:t>9</w:t>
      </w:r>
      <w:r w:rsidR="003B6DC2">
        <w:rPr>
          <w:rFonts w:ascii="Verdana" w:hAnsi="Verdana"/>
        </w:rPr>
        <w:tab/>
      </w:r>
      <w:r w:rsidR="002F2AF1">
        <w:rPr>
          <w:rFonts w:ascii="Verdana" w:hAnsi="Verdana"/>
        </w:rPr>
        <w:t xml:space="preserve">Financial </w:t>
      </w:r>
      <w:r w:rsidR="00AD5077">
        <w:rPr>
          <w:rFonts w:ascii="Verdana" w:hAnsi="Verdana"/>
        </w:rPr>
        <w:t xml:space="preserve">year </w:t>
      </w:r>
      <w:r w:rsidR="000D7AAD">
        <w:rPr>
          <w:rFonts w:ascii="Verdana" w:hAnsi="Verdana"/>
        </w:rPr>
        <w:t>2024/25</w:t>
      </w:r>
      <w:r w:rsidR="002F2AF1">
        <w:rPr>
          <w:rFonts w:ascii="Verdana" w:hAnsi="Verdana"/>
        </w:rPr>
        <w:t xml:space="preserve"> represents the </w:t>
      </w:r>
      <w:r w:rsidR="00AD67F7" w:rsidRPr="00CD1BD5">
        <w:rPr>
          <w:rFonts w:ascii="Verdana" w:hAnsi="Verdana"/>
        </w:rPr>
        <w:t>second</w:t>
      </w:r>
      <w:r w:rsidR="002F2AF1" w:rsidRPr="00CD1BD5">
        <w:rPr>
          <w:rFonts w:ascii="Verdana" w:hAnsi="Verdana"/>
        </w:rPr>
        <w:t xml:space="preserve"> year of</w:t>
      </w:r>
      <w:r w:rsidR="002F2AF1">
        <w:rPr>
          <w:rFonts w:ascii="Verdana" w:hAnsi="Verdana"/>
        </w:rPr>
        <w:t xml:space="preserve"> the </w:t>
      </w:r>
      <w:r w:rsidR="00067CCC">
        <w:rPr>
          <w:rFonts w:ascii="Verdana" w:hAnsi="Verdana"/>
        </w:rPr>
        <w:t xml:space="preserve">current </w:t>
      </w:r>
      <w:r w:rsidR="00AD5077">
        <w:rPr>
          <w:rFonts w:ascii="Verdana" w:hAnsi="Verdana"/>
        </w:rPr>
        <w:t>Administration’s</w:t>
      </w:r>
      <w:r w:rsidR="002F2AF1">
        <w:rPr>
          <w:rFonts w:ascii="Verdana" w:hAnsi="Verdana"/>
        </w:rPr>
        <w:t xml:space="preserve"> </w:t>
      </w:r>
      <w:r w:rsidR="00DA31A6">
        <w:rPr>
          <w:rFonts w:ascii="Verdana" w:hAnsi="Verdana"/>
        </w:rPr>
        <w:t>5-year</w:t>
      </w:r>
      <w:r w:rsidR="002F2AF1">
        <w:rPr>
          <w:rFonts w:ascii="Verdana" w:hAnsi="Verdana"/>
        </w:rPr>
        <w:t xml:space="preserve"> </w:t>
      </w:r>
      <w:r w:rsidR="00C24562">
        <w:rPr>
          <w:rFonts w:ascii="Verdana" w:hAnsi="Verdana"/>
        </w:rPr>
        <w:t xml:space="preserve">Revenue </w:t>
      </w:r>
      <w:r w:rsidR="00AC4379">
        <w:rPr>
          <w:rFonts w:ascii="Verdana" w:hAnsi="Verdana"/>
        </w:rPr>
        <w:t>F</w:t>
      </w:r>
      <w:r w:rsidR="002F2AF1">
        <w:rPr>
          <w:rFonts w:ascii="Verdana" w:hAnsi="Verdana"/>
        </w:rPr>
        <w:t xml:space="preserve">inancial </w:t>
      </w:r>
      <w:r w:rsidR="00AC4379">
        <w:rPr>
          <w:rFonts w:ascii="Verdana" w:hAnsi="Verdana"/>
        </w:rPr>
        <w:t>P</w:t>
      </w:r>
      <w:r w:rsidR="002F2AF1">
        <w:rPr>
          <w:rFonts w:ascii="Verdana" w:hAnsi="Verdana"/>
        </w:rPr>
        <w:t>lan for the Counc</w:t>
      </w:r>
      <w:r w:rsidR="00AD5077">
        <w:rPr>
          <w:rFonts w:ascii="Verdana" w:hAnsi="Verdana"/>
        </w:rPr>
        <w:t>il</w:t>
      </w:r>
      <w:r w:rsidR="002F2AF1">
        <w:rPr>
          <w:rFonts w:ascii="Verdana" w:hAnsi="Verdana"/>
        </w:rPr>
        <w:t xml:space="preserve">.  It is </w:t>
      </w:r>
      <w:r w:rsidR="008D1B6C">
        <w:rPr>
          <w:rFonts w:ascii="Verdana" w:hAnsi="Verdana"/>
        </w:rPr>
        <w:t xml:space="preserve">recommended that </w:t>
      </w:r>
      <w:r w:rsidR="009D1144">
        <w:rPr>
          <w:rFonts w:ascii="Verdana" w:hAnsi="Verdana"/>
        </w:rPr>
        <w:t>M</w:t>
      </w:r>
      <w:r w:rsidR="002F2AF1">
        <w:rPr>
          <w:rFonts w:ascii="Verdana" w:hAnsi="Verdana"/>
        </w:rPr>
        <w:t xml:space="preserve">embers continue to adopt a </w:t>
      </w:r>
      <w:r w:rsidR="00DA31A6">
        <w:rPr>
          <w:rFonts w:ascii="Verdana" w:hAnsi="Verdana"/>
        </w:rPr>
        <w:t>longer-term</w:t>
      </w:r>
      <w:r w:rsidR="002F2AF1">
        <w:rPr>
          <w:rFonts w:ascii="Verdana" w:hAnsi="Verdana"/>
        </w:rPr>
        <w:t xml:space="preserve"> approach to financial planning</w:t>
      </w:r>
      <w:r w:rsidR="00D035E0">
        <w:rPr>
          <w:rFonts w:ascii="Verdana" w:hAnsi="Verdana"/>
        </w:rPr>
        <w:t>.  E</w:t>
      </w:r>
      <w:r w:rsidR="002F2AF1">
        <w:rPr>
          <w:rFonts w:ascii="Verdana" w:hAnsi="Verdana"/>
        </w:rPr>
        <w:t>stimates will continue to be updated annually as the detail of the financial settlement from Scottish Government</w:t>
      </w:r>
      <w:r w:rsidR="0006317B">
        <w:rPr>
          <w:rFonts w:ascii="Verdana" w:hAnsi="Verdana"/>
        </w:rPr>
        <w:t xml:space="preserve"> and service costs</w:t>
      </w:r>
      <w:r w:rsidR="002F2AF1">
        <w:rPr>
          <w:rFonts w:ascii="Verdana" w:hAnsi="Verdana"/>
        </w:rPr>
        <w:t xml:space="preserve"> becomes known. </w:t>
      </w:r>
    </w:p>
    <w:p w14:paraId="1F077F75" w14:textId="77777777" w:rsidR="0083599F" w:rsidRDefault="0083599F" w:rsidP="00BD3386">
      <w:pPr>
        <w:pStyle w:val="Header"/>
        <w:tabs>
          <w:tab w:val="clear" w:pos="4153"/>
          <w:tab w:val="clear" w:pos="8306"/>
          <w:tab w:val="left" w:pos="1134"/>
        </w:tabs>
        <w:ind w:left="1134" w:hanging="567"/>
        <w:rPr>
          <w:rFonts w:ascii="Verdana" w:hAnsi="Verdana"/>
        </w:rPr>
      </w:pPr>
    </w:p>
    <w:p w14:paraId="4D73CF9D" w14:textId="16313ECC" w:rsidR="00AD5077" w:rsidRDefault="00687DB4" w:rsidP="00BD3386">
      <w:pPr>
        <w:pStyle w:val="Header"/>
        <w:tabs>
          <w:tab w:val="clear" w:pos="4153"/>
          <w:tab w:val="clear" w:pos="8306"/>
          <w:tab w:val="left" w:pos="1134"/>
        </w:tabs>
        <w:ind w:left="1134" w:hanging="567"/>
        <w:rPr>
          <w:rFonts w:ascii="Verdana" w:hAnsi="Verdana"/>
        </w:rPr>
      </w:pPr>
      <w:r>
        <w:rPr>
          <w:rFonts w:ascii="Verdana" w:hAnsi="Verdana"/>
        </w:rPr>
        <w:t>1.10</w:t>
      </w:r>
      <w:r w:rsidR="0083599F">
        <w:rPr>
          <w:rFonts w:ascii="Verdana" w:hAnsi="Verdana"/>
        </w:rPr>
        <w:tab/>
      </w:r>
      <w:r w:rsidR="0083599F" w:rsidRPr="00E218B7">
        <w:rPr>
          <w:rFonts w:ascii="Verdana" w:hAnsi="Verdana"/>
        </w:rPr>
        <w:t xml:space="preserve">This report also seeks approval of the financial strategy for the Council covering the period 2024/25 – 2028/29.  The strategy provides the overall framework for the financial management of the Council and covers the revenue budget, capital investment plan, treasury management arrangements and the recommended policy on </w:t>
      </w:r>
      <w:r w:rsidR="00C24614">
        <w:rPr>
          <w:rFonts w:ascii="Verdana" w:hAnsi="Verdana"/>
        </w:rPr>
        <w:t>R</w:t>
      </w:r>
      <w:r w:rsidR="0083599F" w:rsidRPr="00E218B7">
        <w:rPr>
          <w:rFonts w:ascii="Verdana" w:hAnsi="Verdana"/>
        </w:rPr>
        <w:t>eserves.</w:t>
      </w:r>
      <w:r w:rsidR="0083599F">
        <w:rPr>
          <w:rFonts w:ascii="Verdana" w:hAnsi="Verdana"/>
        </w:rPr>
        <w:t xml:space="preserve"> Further detail on the </w:t>
      </w:r>
      <w:r w:rsidR="00DA31A6">
        <w:rPr>
          <w:rFonts w:ascii="Verdana" w:hAnsi="Verdana"/>
        </w:rPr>
        <w:t>long-term</w:t>
      </w:r>
      <w:r w:rsidR="0083599F">
        <w:rPr>
          <w:rFonts w:ascii="Verdana" w:hAnsi="Verdana"/>
        </w:rPr>
        <w:t xml:space="preserve"> Revenue Strategy, Capital Investment Strategy and Treasury Management Strategy are detailed elsewhere on today</w:t>
      </w:r>
      <w:r w:rsidR="00F130B3">
        <w:rPr>
          <w:rFonts w:ascii="Verdana" w:hAnsi="Verdana"/>
        </w:rPr>
        <w:t>’</w:t>
      </w:r>
      <w:r w:rsidR="0083599F">
        <w:rPr>
          <w:rFonts w:ascii="Verdana" w:hAnsi="Verdana"/>
        </w:rPr>
        <w:t xml:space="preserve">s agenda. </w:t>
      </w:r>
    </w:p>
    <w:p w14:paraId="1D12994F" w14:textId="77777777" w:rsidR="002F2AF1" w:rsidRDefault="002F2AF1" w:rsidP="00BD3386">
      <w:pPr>
        <w:pStyle w:val="Header"/>
        <w:tabs>
          <w:tab w:val="clear" w:pos="4153"/>
          <w:tab w:val="clear" w:pos="8306"/>
          <w:tab w:val="left" w:pos="1134"/>
        </w:tabs>
        <w:ind w:left="1134" w:hanging="567"/>
        <w:rPr>
          <w:rFonts w:ascii="Verdana" w:hAnsi="Verdana"/>
        </w:rPr>
      </w:pPr>
    </w:p>
    <w:p w14:paraId="6D9038A6" w14:textId="22CB1A7D" w:rsidR="00313C3F" w:rsidRDefault="00A50506" w:rsidP="00BD3386">
      <w:pPr>
        <w:pStyle w:val="Header"/>
        <w:tabs>
          <w:tab w:val="clear" w:pos="4153"/>
          <w:tab w:val="clear" w:pos="8306"/>
          <w:tab w:val="left" w:pos="1134"/>
        </w:tabs>
        <w:ind w:left="1134" w:hanging="567"/>
        <w:rPr>
          <w:rFonts w:ascii="Verdana" w:hAnsi="Verdana"/>
        </w:rPr>
      </w:pPr>
      <w:r>
        <w:rPr>
          <w:rFonts w:ascii="Verdana" w:hAnsi="Verdana"/>
        </w:rPr>
        <w:t>1.</w:t>
      </w:r>
      <w:r w:rsidR="00EF43B8">
        <w:rPr>
          <w:rFonts w:ascii="Verdana" w:hAnsi="Verdana"/>
        </w:rPr>
        <w:t>11</w:t>
      </w:r>
      <w:r w:rsidR="002F2AF1">
        <w:rPr>
          <w:rFonts w:ascii="Verdana" w:hAnsi="Verdana"/>
        </w:rPr>
        <w:tab/>
      </w:r>
      <w:r w:rsidR="00713993">
        <w:rPr>
          <w:rFonts w:ascii="Verdana" w:hAnsi="Verdana"/>
        </w:rPr>
        <w:t xml:space="preserve">A </w:t>
      </w:r>
      <w:r w:rsidR="00DA31A6">
        <w:rPr>
          <w:rFonts w:ascii="Verdana" w:hAnsi="Verdana"/>
        </w:rPr>
        <w:t>risk-based</w:t>
      </w:r>
      <w:r w:rsidR="002F2AF1">
        <w:rPr>
          <w:rFonts w:ascii="Verdana" w:hAnsi="Verdana"/>
        </w:rPr>
        <w:t xml:space="preserve"> approach has once again been used to set the level of recommended balances to be held in contingency.  </w:t>
      </w:r>
    </w:p>
    <w:p w14:paraId="4918A256" w14:textId="77777777" w:rsidR="00F47D5A" w:rsidRDefault="00F47D5A" w:rsidP="00F47D5A">
      <w:pPr>
        <w:pStyle w:val="Header"/>
        <w:tabs>
          <w:tab w:val="clear" w:pos="4153"/>
          <w:tab w:val="clear" w:pos="8306"/>
          <w:tab w:val="left" w:pos="567"/>
        </w:tabs>
        <w:rPr>
          <w:rFonts w:ascii="Verdana" w:hAnsi="Verdana"/>
          <w:b/>
        </w:rPr>
      </w:pPr>
    </w:p>
    <w:p w14:paraId="4BC1A7DE" w14:textId="77777777" w:rsidR="00F473EA" w:rsidRDefault="00F473EA" w:rsidP="00F47D5A">
      <w:pPr>
        <w:pStyle w:val="Header"/>
        <w:tabs>
          <w:tab w:val="clear" w:pos="4153"/>
          <w:tab w:val="clear" w:pos="8306"/>
          <w:tab w:val="left" w:pos="567"/>
        </w:tabs>
        <w:rPr>
          <w:rFonts w:ascii="Verdana" w:hAnsi="Verdana"/>
          <w:b/>
        </w:rPr>
      </w:pPr>
    </w:p>
    <w:p w14:paraId="5ED3FBC8" w14:textId="77777777" w:rsidR="00F473EA" w:rsidRDefault="00F473EA" w:rsidP="00F47D5A">
      <w:pPr>
        <w:pStyle w:val="Header"/>
        <w:tabs>
          <w:tab w:val="clear" w:pos="4153"/>
          <w:tab w:val="clear" w:pos="8306"/>
          <w:tab w:val="left" w:pos="567"/>
        </w:tabs>
        <w:rPr>
          <w:rFonts w:ascii="Verdana" w:hAnsi="Verdana"/>
          <w:b/>
        </w:rPr>
      </w:pPr>
    </w:p>
    <w:p w14:paraId="0EDB53D6" w14:textId="77777777" w:rsidR="00F473EA" w:rsidRDefault="00F473EA" w:rsidP="00F47D5A">
      <w:pPr>
        <w:pStyle w:val="Header"/>
        <w:tabs>
          <w:tab w:val="clear" w:pos="4153"/>
          <w:tab w:val="clear" w:pos="8306"/>
          <w:tab w:val="left" w:pos="567"/>
        </w:tabs>
        <w:rPr>
          <w:rFonts w:ascii="Verdana" w:hAnsi="Verdana"/>
          <w:b/>
        </w:rPr>
      </w:pPr>
    </w:p>
    <w:p w14:paraId="260BAFBF" w14:textId="77777777" w:rsidR="00F473EA" w:rsidRDefault="00F473EA" w:rsidP="00F47D5A">
      <w:pPr>
        <w:pStyle w:val="Header"/>
        <w:tabs>
          <w:tab w:val="clear" w:pos="4153"/>
          <w:tab w:val="clear" w:pos="8306"/>
          <w:tab w:val="left" w:pos="567"/>
        </w:tabs>
        <w:rPr>
          <w:rFonts w:ascii="Verdana" w:hAnsi="Verdana"/>
          <w:b/>
        </w:rPr>
      </w:pPr>
    </w:p>
    <w:p w14:paraId="2EBB9E6E" w14:textId="77777777" w:rsidR="00F473EA" w:rsidRDefault="00F473EA" w:rsidP="00F47D5A">
      <w:pPr>
        <w:pStyle w:val="Header"/>
        <w:tabs>
          <w:tab w:val="clear" w:pos="4153"/>
          <w:tab w:val="clear" w:pos="8306"/>
          <w:tab w:val="left" w:pos="567"/>
        </w:tabs>
        <w:rPr>
          <w:rFonts w:ascii="Verdana" w:hAnsi="Verdana"/>
          <w:b/>
        </w:rPr>
      </w:pPr>
    </w:p>
    <w:p w14:paraId="626A070E" w14:textId="77777777" w:rsidR="00F473EA" w:rsidRDefault="00F473EA" w:rsidP="00F47D5A">
      <w:pPr>
        <w:pStyle w:val="Header"/>
        <w:tabs>
          <w:tab w:val="clear" w:pos="4153"/>
          <w:tab w:val="clear" w:pos="8306"/>
          <w:tab w:val="left" w:pos="567"/>
        </w:tabs>
        <w:rPr>
          <w:rFonts w:ascii="Verdana" w:hAnsi="Verdana"/>
          <w:b/>
        </w:rPr>
      </w:pPr>
    </w:p>
    <w:p w14:paraId="6DACB67D" w14:textId="77777777" w:rsidR="00F473EA" w:rsidRDefault="00F473EA" w:rsidP="00F47D5A">
      <w:pPr>
        <w:pStyle w:val="Header"/>
        <w:tabs>
          <w:tab w:val="clear" w:pos="4153"/>
          <w:tab w:val="clear" w:pos="8306"/>
          <w:tab w:val="left" w:pos="567"/>
        </w:tabs>
        <w:rPr>
          <w:rFonts w:ascii="Verdana" w:hAnsi="Verdana"/>
          <w:b/>
        </w:rPr>
      </w:pPr>
    </w:p>
    <w:p w14:paraId="150CE649" w14:textId="77777777" w:rsidR="00F473EA" w:rsidRDefault="00F473EA" w:rsidP="00F47D5A">
      <w:pPr>
        <w:pStyle w:val="Header"/>
        <w:tabs>
          <w:tab w:val="clear" w:pos="4153"/>
          <w:tab w:val="clear" w:pos="8306"/>
          <w:tab w:val="left" w:pos="567"/>
        </w:tabs>
        <w:rPr>
          <w:rFonts w:ascii="Verdana" w:hAnsi="Verdana"/>
          <w:b/>
        </w:rPr>
      </w:pPr>
    </w:p>
    <w:p w14:paraId="1B90B952" w14:textId="77777777" w:rsidR="00F473EA" w:rsidRDefault="00F473EA" w:rsidP="00F47D5A">
      <w:pPr>
        <w:pStyle w:val="Header"/>
        <w:tabs>
          <w:tab w:val="clear" w:pos="4153"/>
          <w:tab w:val="clear" w:pos="8306"/>
          <w:tab w:val="left" w:pos="567"/>
        </w:tabs>
        <w:rPr>
          <w:rFonts w:ascii="Verdana" w:hAnsi="Verdana"/>
          <w:b/>
        </w:rPr>
      </w:pPr>
    </w:p>
    <w:p w14:paraId="2EC3B74C" w14:textId="77777777" w:rsidR="00F473EA" w:rsidRDefault="00F473EA" w:rsidP="00F47D5A">
      <w:pPr>
        <w:pStyle w:val="Header"/>
        <w:tabs>
          <w:tab w:val="clear" w:pos="4153"/>
          <w:tab w:val="clear" w:pos="8306"/>
          <w:tab w:val="left" w:pos="567"/>
        </w:tabs>
        <w:rPr>
          <w:rFonts w:ascii="Verdana" w:hAnsi="Verdana"/>
          <w:b/>
        </w:rPr>
      </w:pPr>
    </w:p>
    <w:p w14:paraId="35B3E5F6" w14:textId="77777777" w:rsidR="00F47D5A" w:rsidRDefault="00F47D5A" w:rsidP="00F47D5A">
      <w:pPr>
        <w:pStyle w:val="Header"/>
        <w:tabs>
          <w:tab w:val="clear" w:pos="4153"/>
          <w:tab w:val="clear" w:pos="8306"/>
          <w:tab w:val="left" w:pos="567"/>
        </w:tabs>
        <w:rPr>
          <w:rFonts w:ascii="Verdana" w:hAnsi="Verdana"/>
          <w:b/>
        </w:rPr>
      </w:pPr>
    </w:p>
    <w:p w14:paraId="5C18E32E" w14:textId="51188BB1" w:rsidR="00BD3386" w:rsidRPr="006F245E" w:rsidRDefault="00BD3386" w:rsidP="00F47D5A">
      <w:pPr>
        <w:pStyle w:val="Header"/>
        <w:tabs>
          <w:tab w:val="clear" w:pos="4153"/>
          <w:tab w:val="clear" w:pos="8306"/>
          <w:tab w:val="left" w:pos="567"/>
        </w:tabs>
        <w:rPr>
          <w:rFonts w:ascii="Verdana" w:hAnsi="Verdana"/>
          <w:b/>
        </w:rPr>
      </w:pPr>
      <w:r>
        <w:rPr>
          <w:rFonts w:ascii="Verdana" w:hAnsi="Verdana"/>
          <w:b/>
        </w:rPr>
        <w:lastRenderedPageBreak/>
        <w:t>2</w:t>
      </w:r>
      <w:r>
        <w:rPr>
          <w:rFonts w:ascii="Verdana" w:hAnsi="Verdana"/>
          <w:b/>
        </w:rPr>
        <w:tab/>
      </w:r>
      <w:r w:rsidR="002F2AF1">
        <w:rPr>
          <w:rFonts w:ascii="Verdana" w:hAnsi="Verdana"/>
          <w:b/>
        </w:rPr>
        <w:t>RECOMMENDATIONS</w:t>
      </w:r>
    </w:p>
    <w:p w14:paraId="41D04429" w14:textId="77777777" w:rsidR="00BD3386" w:rsidRPr="006F245E" w:rsidRDefault="00BD3386" w:rsidP="00BD3386">
      <w:pPr>
        <w:pStyle w:val="Header"/>
        <w:tabs>
          <w:tab w:val="clear" w:pos="4153"/>
          <w:tab w:val="clear" w:pos="8306"/>
          <w:tab w:val="left" w:pos="1134"/>
        </w:tabs>
        <w:ind w:left="1134" w:hanging="567"/>
        <w:rPr>
          <w:rFonts w:ascii="Verdana" w:hAnsi="Verdana"/>
          <w:b/>
        </w:rPr>
      </w:pPr>
    </w:p>
    <w:p w14:paraId="6DD3BAAC" w14:textId="77777777" w:rsidR="00BD3386" w:rsidRDefault="002F2AF1" w:rsidP="00AB27DA">
      <w:pPr>
        <w:pStyle w:val="Header"/>
        <w:numPr>
          <w:ilvl w:val="1"/>
          <w:numId w:val="1"/>
        </w:numPr>
        <w:tabs>
          <w:tab w:val="clear" w:pos="4153"/>
          <w:tab w:val="clear" w:pos="8306"/>
          <w:tab w:val="left" w:pos="1134"/>
        </w:tabs>
        <w:rPr>
          <w:rFonts w:ascii="Verdana" w:hAnsi="Verdana"/>
          <w:b/>
        </w:rPr>
      </w:pPr>
      <w:r w:rsidRPr="006F245E">
        <w:rPr>
          <w:rFonts w:ascii="Verdana" w:hAnsi="Verdana"/>
          <w:b/>
        </w:rPr>
        <w:t>It is recommended</w:t>
      </w:r>
      <w:r w:rsidRPr="00045945">
        <w:rPr>
          <w:rFonts w:ascii="Verdana" w:hAnsi="Verdana"/>
          <w:b/>
        </w:rPr>
        <w:t xml:space="preserve"> that Council</w:t>
      </w:r>
      <w:r>
        <w:rPr>
          <w:rFonts w:ascii="Verdana" w:hAnsi="Verdana"/>
          <w:b/>
        </w:rPr>
        <w:t>:</w:t>
      </w:r>
    </w:p>
    <w:p w14:paraId="6EAD5A42" w14:textId="77777777" w:rsidR="002F2AF1" w:rsidRDefault="002F2AF1" w:rsidP="00BD3386">
      <w:pPr>
        <w:pStyle w:val="Header"/>
        <w:tabs>
          <w:tab w:val="clear" w:pos="4153"/>
          <w:tab w:val="clear" w:pos="8306"/>
          <w:tab w:val="left" w:pos="1134"/>
        </w:tabs>
        <w:ind w:left="1134" w:hanging="567"/>
        <w:rPr>
          <w:rFonts w:ascii="Verdana" w:hAnsi="Verdana"/>
        </w:rPr>
      </w:pPr>
    </w:p>
    <w:p w14:paraId="0B6C86E6" w14:textId="2F8A123C" w:rsidR="002F2AF1" w:rsidRDefault="002F2AF1" w:rsidP="006459DC">
      <w:pPr>
        <w:pStyle w:val="Header"/>
        <w:numPr>
          <w:ilvl w:val="0"/>
          <w:numId w:val="2"/>
        </w:numPr>
        <w:tabs>
          <w:tab w:val="clear" w:pos="4153"/>
          <w:tab w:val="clear" w:pos="8306"/>
        </w:tabs>
        <w:ind w:left="1843" w:hanging="709"/>
        <w:rPr>
          <w:rFonts w:ascii="Verdana" w:hAnsi="Verdana"/>
          <w:b/>
        </w:rPr>
      </w:pPr>
      <w:r w:rsidRPr="000D7AAD">
        <w:rPr>
          <w:rFonts w:ascii="Verdana" w:hAnsi="Verdana"/>
          <w:b/>
        </w:rPr>
        <w:t>notes the esti</w:t>
      </w:r>
      <w:r w:rsidR="003B6DC2" w:rsidRPr="000D7AAD">
        <w:rPr>
          <w:rFonts w:ascii="Verdana" w:hAnsi="Verdana"/>
          <w:b/>
        </w:rPr>
        <w:t xml:space="preserve">mated revenue resources for </w:t>
      </w:r>
      <w:r w:rsidR="00AD5077" w:rsidRPr="000D7AAD">
        <w:rPr>
          <w:rFonts w:ascii="Verdana" w:hAnsi="Verdana"/>
          <w:b/>
        </w:rPr>
        <w:t>202</w:t>
      </w:r>
      <w:r w:rsidR="000D7AAD" w:rsidRPr="000D7AAD">
        <w:rPr>
          <w:rFonts w:ascii="Verdana" w:hAnsi="Verdana"/>
          <w:b/>
        </w:rPr>
        <w:t>4</w:t>
      </w:r>
      <w:r w:rsidR="00AD5077" w:rsidRPr="000D7AAD">
        <w:rPr>
          <w:rFonts w:ascii="Verdana" w:hAnsi="Verdana"/>
          <w:b/>
        </w:rPr>
        <w:t>/2</w:t>
      </w:r>
      <w:r w:rsidR="000D7AAD" w:rsidRPr="000D7AAD">
        <w:rPr>
          <w:rFonts w:ascii="Verdana" w:hAnsi="Verdana"/>
          <w:b/>
        </w:rPr>
        <w:t>5</w:t>
      </w:r>
      <w:r w:rsidR="00FB224B" w:rsidRPr="000D7AAD">
        <w:rPr>
          <w:rFonts w:ascii="Verdana" w:hAnsi="Verdana"/>
          <w:b/>
        </w:rPr>
        <w:t xml:space="preserve"> to </w:t>
      </w:r>
      <w:r w:rsidR="00AD5077" w:rsidRPr="000D7AAD">
        <w:rPr>
          <w:rFonts w:ascii="Verdana" w:hAnsi="Verdana"/>
          <w:b/>
        </w:rPr>
        <w:t>202</w:t>
      </w:r>
      <w:r w:rsidR="000D7AAD" w:rsidRPr="000D7AAD">
        <w:rPr>
          <w:rFonts w:ascii="Verdana" w:hAnsi="Verdana"/>
          <w:b/>
        </w:rPr>
        <w:t>8</w:t>
      </w:r>
      <w:r w:rsidR="00AD5077" w:rsidRPr="000D7AAD">
        <w:rPr>
          <w:rFonts w:ascii="Verdana" w:hAnsi="Verdana"/>
          <w:b/>
        </w:rPr>
        <w:t>/2</w:t>
      </w:r>
      <w:r w:rsidR="000D7AAD" w:rsidRPr="000D7AAD">
        <w:rPr>
          <w:rFonts w:ascii="Verdana" w:hAnsi="Verdana"/>
          <w:b/>
        </w:rPr>
        <w:t>9</w:t>
      </w:r>
      <w:r w:rsidRPr="000D7AAD">
        <w:rPr>
          <w:rFonts w:ascii="Verdana" w:hAnsi="Verdana"/>
          <w:b/>
        </w:rPr>
        <w:t>;</w:t>
      </w:r>
    </w:p>
    <w:p w14:paraId="3D80CAC6" w14:textId="77777777" w:rsidR="006459DC" w:rsidRPr="000D7AAD" w:rsidRDefault="006459DC" w:rsidP="006459DC">
      <w:pPr>
        <w:pStyle w:val="Header"/>
        <w:tabs>
          <w:tab w:val="clear" w:pos="4153"/>
          <w:tab w:val="clear" w:pos="8306"/>
        </w:tabs>
        <w:ind w:left="1843"/>
        <w:rPr>
          <w:rFonts w:ascii="Verdana" w:hAnsi="Verdana"/>
          <w:b/>
        </w:rPr>
      </w:pPr>
    </w:p>
    <w:p w14:paraId="5D7FCED7" w14:textId="6B549F34" w:rsidR="002F2AF1" w:rsidRDefault="002F2AF1" w:rsidP="006459DC">
      <w:pPr>
        <w:pStyle w:val="Header"/>
        <w:numPr>
          <w:ilvl w:val="0"/>
          <w:numId w:val="2"/>
        </w:numPr>
        <w:tabs>
          <w:tab w:val="clear" w:pos="4153"/>
          <w:tab w:val="clear" w:pos="8306"/>
        </w:tabs>
        <w:ind w:left="1843" w:hanging="709"/>
        <w:rPr>
          <w:rFonts w:ascii="Verdana" w:hAnsi="Verdana"/>
          <w:b/>
        </w:rPr>
      </w:pPr>
      <w:r w:rsidRPr="000D7AAD">
        <w:rPr>
          <w:rFonts w:ascii="Verdana" w:hAnsi="Verdana"/>
          <w:b/>
        </w:rPr>
        <w:t>notes the esti</w:t>
      </w:r>
      <w:r w:rsidR="00AD5077" w:rsidRPr="000D7AAD">
        <w:rPr>
          <w:rFonts w:ascii="Verdana" w:hAnsi="Verdana"/>
          <w:b/>
        </w:rPr>
        <w:t>mated capital resources for 202</w:t>
      </w:r>
      <w:r w:rsidR="000D7AAD" w:rsidRPr="000D7AAD">
        <w:rPr>
          <w:rFonts w:ascii="Verdana" w:hAnsi="Verdana"/>
          <w:b/>
        </w:rPr>
        <w:t>4</w:t>
      </w:r>
      <w:r w:rsidR="00AD5077" w:rsidRPr="000D7AAD">
        <w:rPr>
          <w:rFonts w:ascii="Verdana" w:hAnsi="Verdana"/>
          <w:b/>
        </w:rPr>
        <w:t>/2</w:t>
      </w:r>
      <w:r w:rsidR="000D7AAD" w:rsidRPr="000D7AAD">
        <w:rPr>
          <w:rFonts w:ascii="Verdana" w:hAnsi="Verdana"/>
          <w:b/>
        </w:rPr>
        <w:t>5</w:t>
      </w:r>
      <w:r w:rsidR="00AD5077" w:rsidRPr="000D7AAD">
        <w:rPr>
          <w:rFonts w:ascii="Verdana" w:hAnsi="Verdana"/>
          <w:b/>
        </w:rPr>
        <w:t xml:space="preserve"> to 203</w:t>
      </w:r>
      <w:r w:rsidR="000D7AAD" w:rsidRPr="000D7AAD">
        <w:rPr>
          <w:rFonts w:ascii="Verdana" w:hAnsi="Verdana"/>
          <w:b/>
        </w:rPr>
        <w:t>3</w:t>
      </w:r>
      <w:r w:rsidR="00AD5077" w:rsidRPr="000D7AAD">
        <w:rPr>
          <w:rFonts w:ascii="Verdana" w:hAnsi="Verdana"/>
          <w:b/>
        </w:rPr>
        <w:t>/3</w:t>
      </w:r>
      <w:r w:rsidR="000D7AAD" w:rsidRPr="000D7AAD">
        <w:rPr>
          <w:rFonts w:ascii="Verdana" w:hAnsi="Verdana"/>
          <w:b/>
        </w:rPr>
        <w:t>4</w:t>
      </w:r>
      <w:r w:rsidRPr="000D7AAD">
        <w:rPr>
          <w:rFonts w:ascii="Verdana" w:hAnsi="Verdana"/>
          <w:b/>
        </w:rPr>
        <w:t xml:space="preserve"> and the requirement to adhere to the prudential code for capital borrowing;</w:t>
      </w:r>
    </w:p>
    <w:p w14:paraId="6F4D01E1" w14:textId="77777777" w:rsidR="006459DC" w:rsidRPr="000D7AAD" w:rsidRDefault="006459DC" w:rsidP="006459DC">
      <w:pPr>
        <w:pStyle w:val="Header"/>
        <w:tabs>
          <w:tab w:val="clear" w:pos="4153"/>
          <w:tab w:val="clear" w:pos="8306"/>
        </w:tabs>
        <w:rPr>
          <w:rFonts w:ascii="Verdana" w:hAnsi="Verdana"/>
          <w:b/>
        </w:rPr>
      </w:pPr>
    </w:p>
    <w:p w14:paraId="22009B07" w14:textId="7F32DE77" w:rsidR="002F2AF1" w:rsidRDefault="002F2AF1" w:rsidP="006459DC">
      <w:pPr>
        <w:pStyle w:val="Header"/>
        <w:numPr>
          <w:ilvl w:val="0"/>
          <w:numId w:val="2"/>
        </w:numPr>
        <w:tabs>
          <w:tab w:val="clear" w:pos="4153"/>
          <w:tab w:val="clear" w:pos="8306"/>
          <w:tab w:val="left" w:pos="1134"/>
        </w:tabs>
        <w:ind w:left="1843" w:hanging="709"/>
        <w:rPr>
          <w:rFonts w:ascii="Verdana" w:hAnsi="Verdana"/>
          <w:b/>
        </w:rPr>
      </w:pPr>
      <w:r w:rsidRPr="00687DB4">
        <w:rPr>
          <w:rFonts w:ascii="Verdana" w:hAnsi="Verdana"/>
          <w:b/>
        </w:rPr>
        <w:t xml:space="preserve">approves the financial strategy </w:t>
      </w:r>
      <w:r w:rsidR="00257E21" w:rsidRPr="00687DB4">
        <w:rPr>
          <w:rFonts w:ascii="Verdana" w:hAnsi="Verdana"/>
          <w:b/>
        </w:rPr>
        <w:t xml:space="preserve">set out in </w:t>
      </w:r>
      <w:r w:rsidR="00FC4ADE" w:rsidRPr="00086A30">
        <w:rPr>
          <w:rFonts w:ascii="Verdana" w:hAnsi="Verdana"/>
          <w:b/>
        </w:rPr>
        <w:t>section 4.</w:t>
      </w:r>
      <w:r w:rsidR="00086A30">
        <w:rPr>
          <w:rFonts w:ascii="Verdana" w:hAnsi="Verdana"/>
          <w:b/>
        </w:rPr>
        <w:t xml:space="preserve">8 </w:t>
      </w:r>
      <w:r w:rsidR="003225CA" w:rsidRPr="00687DB4">
        <w:rPr>
          <w:rFonts w:ascii="Verdana" w:hAnsi="Verdana"/>
          <w:b/>
        </w:rPr>
        <w:t xml:space="preserve">of this report, including the recommendation to maintain unallocated reserves </w:t>
      </w:r>
      <w:r w:rsidR="00B4444A" w:rsidRPr="00687DB4">
        <w:rPr>
          <w:rFonts w:ascii="Verdana" w:hAnsi="Verdana"/>
          <w:b/>
        </w:rPr>
        <w:t xml:space="preserve">at </w:t>
      </w:r>
      <w:r w:rsidR="00C61484">
        <w:rPr>
          <w:rFonts w:ascii="Verdana" w:hAnsi="Verdana"/>
          <w:b/>
        </w:rPr>
        <w:t>c</w:t>
      </w:r>
      <w:r w:rsidR="003361FE" w:rsidRPr="00687DB4">
        <w:rPr>
          <w:rFonts w:ascii="Verdana" w:hAnsi="Verdana"/>
          <w:b/>
        </w:rPr>
        <w:t>£</w:t>
      </w:r>
      <w:r w:rsidR="00687DB4" w:rsidRPr="00687DB4">
        <w:rPr>
          <w:rFonts w:ascii="Verdana" w:hAnsi="Verdana"/>
          <w:b/>
        </w:rPr>
        <w:t>7.</w:t>
      </w:r>
      <w:r w:rsidR="00082403">
        <w:rPr>
          <w:rFonts w:ascii="Verdana" w:hAnsi="Verdana"/>
          <w:b/>
        </w:rPr>
        <w:t>4</w:t>
      </w:r>
      <w:r w:rsidR="003B6DC2" w:rsidRPr="00687DB4">
        <w:rPr>
          <w:rFonts w:ascii="Verdana" w:hAnsi="Verdana"/>
          <w:b/>
        </w:rPr>
        <w:t>m</w:t>
      </w:r>
      <w:r w:rsidR="00AD5077" w:rsidRPr="00687DB4">
        <w:rPr>
          <w:rFonts w:ascii="Verdana" w:hAnsi="Verdana"/>
          <w:b/>
        </w:rPr>
        <w:t xml:space="preserve"> for 202</w:t>
      </w:r>
      <w:r w:rsidR="00687DB4" w:rsidRPr="00687DB4">
        <w:rPr>
          <w:rFonts w:ascii="Verdana" w:hAnsi="Verdana"/>
          <w:b/>
        </w:rPr>
        <w:t>4</w:t>
      </w:r>
      <w:r w:rsidR="00AD5077" w:rsidRPr="00687DB4">
        <w:rPr>
          <w:rFonts w:ascii="Verdana" w:hAnsi="Verdana"/>
          <w:b/>
        </w:rPr>
        <w:t>/2</w:t>
      </w:r>
      <w:r w:rsidR="00687DB4" w:rsidRPr="00687DB4">
        <w:rPr>
          <w:rFonts w:ascii="Verdana" w:hAnsi="Verdana"/>
          <w:b/>
        </w:rPr>
        <w:t>5</w:t>
      </w:r>
      <w:r w:rsidR="003225CA" w:rsidRPr="00687DB4">
        <w:rPr>
          <w:rFonts w:ascii="Verdana" w:hAnsi="Verdana"/>
          <w:b/>
        </w:rPr>
        <w:t xml:space="preserve">, </w:t>
      </w:r>
      <w:r w:rsidRPr="00687DB4">
        <w:rPr>
          <w:rFonts w:ascii="Verdana" w:hAnsi="Verdana"/>
          <w:b/>
        </w:rPr>
        <w:t xml:space="preserve">having considered the risk register highlighted in </w:t>
      </w:r>
      <w:r w:rsidR="00246733" w:rsidRPr="00687DB4">
        <w:rPr>
          <w:rFonts w:ascii="Verdana" w:hAnsi="Verdana"/>
          <w:b/>
        </w:rPr>
        <w:t>A</w:t>
      </w:r>
      <w:r w:rsidRPr="00687DB4">
        <w:rPr>
          <w:rFonts w:ascii="Verdana" w:hAnsi="Verdana"/>
          <w:b/>
        </w:rPr>
        <w:t>ppendix 1;</w:t>
      </w:r>
      <w:r w:rsidR="00B4444A" w:rsidRPr="00687DB4">
        <w:rPr>
          <w:rFonts w:ascii="Verdana" w:hAnsi="Verdana"/>
          <w:b/>
        </w:rPr>
        <w:t xml:space="preserve"> </w:t>
      </w:r>
    </w:p>
    <w:p w14:paraId="5E1FF6E2" w14:textId="77777777" w:rsidR="006459DC" w:rsidRPr="00687DB4" w:rsidRDefault="006459DC" w:rsidP="006459DC">
      <w:pPr>
        <w:pStyle w:val="Header"/>
        <w:tabs>
          <w:tab w:val="clear" w:pos="4153"/>
          <w:tab w:val="clear" w:pos="8306"/>
          <w:tab w:val="left" w:pos="1134"/>
        </w:tabs>
        <w:rPr>
          <w:rFonts w:ascii="Verdana" w:hAnsi="Verdana"/>
          <w:b/>
        </w:rPr>
      </w:pPr>
    </w:p>
    <w:p w14:paraId="0C481D2F" w14:textId="19823310" w:rsidR="00BD3386" w:rsidRDefault="002F2AF1" w:rsidP="006459DC">
      <w:pPr>
        <w:pStyle w:val="Header"/>
        <w:numPr>
          <w:ilvl w:val="0"/>
          <w:numId w:val="2"/>
        </w:numPr>
        <w:tabs>
          <w:tab w:val="clear" w:pos="4153"/>
          <w:tab w:val="clear" w:pos="8306"/>
          <w:tab w:val="left" w:pos="1134"/>
        </w:tabs>
        <w:ind w:left="1843" w:hanging="709"/>
        <w:rPr>
          <w:rFonts w:ascii="Verdana" w:hAnsi="Verdana"/>
          <w:b/>
        </w:rPr>
      </w:pPr>
      <w:r w:rsidRPr="00687DB4">
        <w:rPr>
          <w:rFonts w:ascii="Verdana" w:hAnsi="Verdana"/>
          <w:b/>
        </w:rPr>
        <w:t xml:space="preserve">proceeds to consider the proposed Financial Plan for </w:t>
      </w:r>
      <w:r w:rsidR="00AD5077" w:rsidRPr="00687DB4">
        <w:rPr>
          <w:rFonts w:ascii="Verdana" w:hAnsi="Verdana"/>
          <w:b/>
        </w:rPr>
        <w:t>202</w:t>
      </w:r>
      <w:r w:rsidR="000D7AAD" w:rsidRPr="00687DB4">
        <w:rPr>
          <w:rFonts w:ascii="Verdana" w:hAnsi="Verdana"/>
          <w:b/>
        </w:rPr>
        <w:t>4</w:t>
      </w:r>
      <w:r w:rsidR="00AD5077" w:rsidRPr="00687DB4">
        <w:rPr>
          <w:rFonts w:ascii="Verdana" w:hAnsi="Verdana"/>
          <w:b/>
        </w:rPr>
        <w:t>/2</w:t>
      </w:r>
      <w:r w:rsidR="000D7AAD" w:rsidRPr="00687DB4">
        <w:rPr>
          <w:rFonts w:ascii="Verdana" w:hAnsi="Verdana"/>
          <w:b/>
        </w:rPr>
        <w:t>5</w:t>
      </w:r>
      <w:r w:rsidR="003A2244">
        <w:rPr>
          <w:rFonts w:ascii="Verdana" w:hAnsi="Verdana"/>
          <w:b/>
        </w:rPr>
        <w:t>;</w:t>
      </w:r>
      <w:r w:rsidR="003A2244" w:rsidRPr="003A2244">
        <w:rPr>
          <w:rFonts w:ascii="Verdana" w:hAnsi="Verdana"/>
          <w:b/>
        </w:rPr>
        <w:t xml:space="preserve"> </w:t>
      </w:r>
    </w:p>
    <w:p w14:paraId="0C7A27DC" w14:textId="77777777" w:rsidR="006459DC" w:rsidRDefault="006459DC" w:rsidP="006459DC">
      <w:pPr>
        <w:pStyle w:val="Header"/>
        <w:tabs>
          <w:tab w:val="clear" w:pos="4153"/>
          <w:tab w:val="clear" w:pos="8306"/>
        </w:tabs>
        <w:rPr>
          <w:rFonts w:ascii="Verdana" w:hAnsi="Verdana"/>
          <w:b/>
        </w:rPr>
      </w:pPr>
    </w:p>
    <w:p w14:paraId="74D47848" w14:textId="2DE2A8A7" w:rsidR="00C21208" w:rsidRPr="00566839" w:rsidRDefault="003A2244" w:rsidP="006459DC">
      <w:pPr>
        <w:pStyle w:val="Header"/>
        <w:numPr>
          <w:ilvl w:val="0"/>
          <w:numId w:val="2"/>
        </w:numPr>
        <w:tabs>
          <w:tab w:val="clear" w:pos="4153"/>
          <w:tab w:val="clear" w:pos="8306"/>
          <w:tab w:val="left" w:pos="1134"/>
        </w:tabs>
        <w:ind w:left="1843" w:hanging="709"/>
        <w:rPr>
          <w:rFonts w:ascii="Verdana" w:hAnsi="Verdana"/>
          <w:b/>
        </w:rPr>
      </w:pPr>
      <w:r w:rsidRPr="00566839">
        <w:rPr>
          <w:rFonts w:ascii="Verdana" w:hAnsi="Verdana"/>
          <w:b/>
        </w:rPr>
        <w:t>a</w:t>
      </w:r>
      <w:r w:rsidR="00F300FC" w:rsidRPr="00566839">
        <w:rPr>
          <w:rFonts w:ascii="Verdana" w:hAnsi="Verdana"/>
          <w:b/>
        </w:rPr>
        <w:t xml:space="preserve">grees </w:t>
      </w:r>
      <w:r w:rsidR="00CE15DA" w:rsidRPr="00566839">
        <w:rPr>
          <w:rFonts w:ascii="Verdana" w:hAnsi="Verdana"/>
          <w:b/>
        </w:rPr>
        <w:t>that</w:t>
      </w:r>
      <w:r w:rsidR="00F300FC" w:rsidRPr="00566839">
        <w:rPr>
          <w:rFonts w:ascii="Verdana" w:hAnsi="Verdana"/>
          <w:b/>
        </w:rPr>
        <w:t xml:space="preserve"> any</w:t>
      </w:r>
      <w:r w:rsidR="00D26951" w:rsidRPr="00566839">
        <w:rPr>
          <w:rFonts w:ascii="Verdana" w:hAnsi="Verdana"/>
          <w:b/>
        </w:rPr>
        <w:t xml:space="preserve"> further</w:t>
      </w:r>
      <w:r w:rsidR="00C21208" w:rsidRPr="00566839">
        <w:rPr>
          <w:rFonts w:ascii="Verdana" w:hAnsi="Verdana"/>
          <w:b/>
        </w:rPr>
        <w:t xml:space="preserve"> Scottish Government </w:t>
      </w:r>
      <w:r w:rsidR="00F363AF" w:rsidRPr="00566839">
        <w:rPr>
          <w:rFonts w:ascii="Verdana" w:hAnsi="Verdana"/>
          <w:b/>
        </w:rPr>
        <w:t>f</w:t>
      </w:r>
      <w:r w:rsidR="00C21208" w:rsidRPr="00566839">
        <w:rPr>
          <w:rFonts w:ascii="Verdana" w:hAnsi="Verdana"/>
          <w:b/>
        </w:rPr>
        <w:t xml:space="preserve">unding which becomes available </w:t>
      </w:r>
      <w:r w:rsidR="00D26951" w:rsidRPr="00566839">
        <w:rPr>
          <w:rFonts w:ascii="Verdana" w:hAnsi="Verdana"/>
          <w:b/>
        </w:rPr>
        <w:t>for 2024/25</w:t>
      </w:r>
      <w:r w:rsidR="00F363AF" w:rsidRPr="00566839">
        <w:rPr>
          <w:rFonts w:ascii="Verdana" w:hAnsi="Verdana"/>
          <w:b/>
        </w:rPr>
        <w:t>,</w:t>
      </w:r>
      <w:r w:rsidR="00D26951" w:rsidRPr="00566839">
        <w:rPr>
          <w:rFonts w:ascii="Verdana" w:hAnsi="Verdana"/>
          <w:b/>
        </w:rPr>
        <w:t xml:space="preserve"> </w:t>
      </w:r>
      <w:r w:rsidR="007D25B8" w:rsidRPr="00566839">
        <w:rPr>
          <w:rFonts w:ascii="Verdana" w:hAnsi="Verdana"/>
          <w:b/>
        </w:rPr>
        <w:t>after the</w:t>
      </w:r>
      <w:r w:rsidR="00D26951" w:rsidRPr="00566839">
        <w:rPr>
          <w:rFonts w:ascii="Verdana" w:hAnsi="Verdana"/>
          <w:b/>
        </w:rPr>
        <w:t xml:space="preserve"> Counci</w:t>
      </w:r>
      <w:r w:rsidR="007D25B8" w:rsidRPr="00566839">
        <w:rPr>
          <w:rFonts w:ascii="Verdana" w:hAnsi="Verdana"/>
          <w:b/>
        </w:rPr>
        <w:t>l</w:t>
      </w:r>
      <w:r w:rsidR="00F363AF" w:rsidRPr="00566839">
        <w:rPr>
          <w:rFonts w:ascii="Verdana" w:hAnsi="Verdana"/>
          <w:b/>
        </w:rPr>
        <w:t>’</w:t>
      </w:r>
      <w:r w:rsidR="007D25B8" w:rsidRPr="00566839">
        <w:rPr>
          <w:rFonts w:ascii="Verdana" w:hAnsi="Verdana"/>
          <w:b/>
        </w:rPr>
        <w:t>s Financial Plan is agreed</w:t>
      </w:r>
      <w:r w:rsidR="00F363AF" w:rsidRPr="00566839">
        <w:rPr>
          <w:rFonts w:ascii="Verdana" w:hAnsi="Verdana"/>
          <w:b/>
        </w:rPr>
        <w:t>,</w:t>
      </w:r>
      <w:r w:rsidRPr="00566839">
        <w:rPr>
          <w:rFonts w:ascii="Verdana" w:hAnsi="Verdana"/>
          <w:b/>
        </w:rPr>
        <w:t xml:space="preserve"> </w:t>
      </w:r>
      <w:r w:rsidR="00566839" w:rsidRPr="00566839">
        <w:rPr>
          <w:rFonts w:ascii="Verdana" w:hAnsi="Verdana"/>
          <w:b/>
        </w:rPr>
        <w:t>including the SBC share of the £62.7m additional funding committed by the Deputy First Minister on 21</w:t>
      </w:r>
      <w:r w:rsidR="00566839" w:rsidRPr="00566839">
        <w:rPr>
          <w:rFonts w:ascii="Verdana" w:hAnsi="Verdana"/>
          <w:b/>
          <w:vertAlign w:val="superscript"/>
        </w:rPr>
        <w:t>st</w:t>
      </w:r>
      <w:r w:rsidR="00566839" w:rsidRPr="00566839">
        <w:rPr>
          <w:rFonts w:ascii="Verdana" w:hAnsi="Verdana"/>
          <w:b/>
        </w:rPr>
        <w:t xml:space="preserve"> February, </w:t>
      </w:r>
      <w:r w:rsidR="00F363AF" w:rsidRPr="00566839">
        <w:rPr>
          <w:rFonts w:ascii="Verdana" w:hAnsi="Verdana"/>
          <w:b/>
        </w:rPr>
        <w:t xml:space="preserve">will be repaid to </w:t>
      </w:r>
      <w:r w:rsidR="00BB5408" w:rsidRPr="00566839">
        <w:rPr>
          <w:rFonts w:ascii="Verdana" w:hAnsi="Verdana"/>
          <w:b/>
        </w:rPr>
        <w:t>R</w:t>
      </w:r>
      <w:r w:rsidR="00F363AF" w:rsidRPr="00566839">
        <w:rPr>
          <w:rFonts w:ascii="Verdana" w:hAnsi="Verdana"/>
          <w:b/>
        </w:rPr>
        <w:t xml:space="preserve">eserves </w:t>
      </w:r>
      <w:r w:rsidRPr="00566839">
        <w:rPr>
          <w:rFonts w:ascii="Verdana" w:hAnsi="Verdana"/>
          <w:b/>
        </w:rPr>
        <w:t xml:space="preserve">to </w:t>
      </w:r>
      <w:r w:rsidR="00F363AF" w:rsidRPr="00566839">
        <w:rPr>
          <w:rFonts w:ascii="Verdana" w:hAnsi="Verdana"/>
          <w:b/>
        </w:rPr>
        <w:t xml:space="preserve">partly </w:t>
      </w:r>
      <w:r w:rsidRPr="00566839">
        <w:rPr>
          <w:rFonts w:ascii="Verdana" w:hAnsi="Verdana"/>
          <w:b/>
        </w:rPr>
        <w:t>replenish the one</w:t>
      </w:r>
      <w:r w:rsidR="00BB5408" w:rsidRPr="00566839">
        <w:rPr>
          <w:rFonts w:ascii="Verdana" w:hAnsi="Verdana"/>
          <w:b/>
        </w:rPr>
        <w:t>-</w:t>
      </w:r>
      <w:r w:rsidRPr="00566839">
        <w:rPr>
          <w:rFonts w:ascii="Verdana" w:hAnsi="Verdana"/>
          <w:b/>
        </w:rPr>
        <w:t xml:space="preserve">off funding used to balance the 2024/25 </w:t>
      </w:r>
      <w:r w:rsidR="00C24614" w:rsidRPr="00566839">
        <w:rPr>
          <w:rFonts w:ascii="Verdana" w:hAnsi="Verdana"/>
          <w:b/>
        </w:rPr>
        <w:t>F</w:t>
      </w:r>
      <w:r w:rsidRPr="00566839">
        <w:rPr>
          <w:rFonts w:ascii="Verdana" w:hAnsi="Verdana"/>
          <w:b/>
        </w:rPr>
        <w:t xml:space="preserve">inancial </w:t>
      </w:r>
      <w:r w:rsidR="00C24614" w:rsidRPr="00566839">
        <w:rPr>
          <w:rFonts w:ascii="Verdana" w:hAnsi="Verdana"/>
          <w:b/>
        </w:rPr>
        <w:t>P</w:t>
      </w:r>
      <w:r w:rsidRPr="00566839">
        <w:rPr>
          <w:rFonts w:ascii="Verdana" w:hAnsi="Verdana"/>
          <w:b/>
        </w:rPr>
        <w:t>lan</w:t>
      </w:r>
      <w:r w:rsidR="00D26951" w:rsidRPr="00566839">
        <w:rPr>
          <w:rFonts w:ascii="Verdana" w:hAnsi="Verdana"/>
          <w:b/>
        </w:rPr>
        <w:t>.</w:t>
      </w:r>
      <w:r w:rsidR="00012ED1" w:rsidRPr="00566839">
        <w:rPr>
          <w:rFonts w:ascii="Verdana" w:hAnsi="Verdana"/>
          <w:b/>
        </w:rPr>
        <w:t xml:space="preserve"> </w:t>
      </w:r>
    </w:p>
    <w:p w14:paraId="45944C0C" w14:textId="77777777" w:rsidR="00BD3386" w:rsidRDefault="00BD3386" w:rsidP="00BD3386">
      <w:pPr>
        <w:pStyle w:val="Header"/>
        <w:tabs>
          <w:tab w:val="clear" w:pos="4153"/>
          <w:tab w:val="clear" w:pos="8306"/>
          <w:tab w:val="left" w:pos="1134"/>
        </w:tabs>
        <w:ind w:left="1134" w:hanging="567"/>
        <w:rPr>
          <w:rFonts w:ascii="Verdana" w:hAnsi="Verdana"/>
        </w:rPr>
      </w:pPr>
    </w:p>
    <w:p w14:paraId="65363622" w14:textId="79E64F8A" w:rsidR="002F2AF1" w:rsidRPr="00F45560" w:rsidRDefault="002F2AF1" w:rsidP="008902F9">
      <w:pPr>
        <w:pStyle w:val="BodyTextIndent"/>
        <w:spacing w:before="60" w:after="60"/>
        <w:ind w:left="0" w:firstLine="0"/>
        <w:rPr>
          <w:rFonts w:ascii="Verdana" w:hAnsi="Verdana"/>
          <w:szCs w:val="22"/>
        </w:rPr>
      </w:pPr>
      <w:r>
        <w:rPr>
          <w:rFonts w:ascii="Verdana" w:hAnsi="Verdana"/>
          <w:b/>
        </w:rPr>
        <w:br w:type="page"/>
      </w:r>
      <w:r w:rsidR="00BD3386">
        <w:rPr>
          <w:rFonts w:ascii="Verdana" w:hAnsi="Verdana"/>
          <w:b/>
        </w:rPr>
        <w:lastRenderedPageBreak/>
        <w:t>3</w:t>
      </w:r>
      <w:r w:rsidR="008902F9">
        <w:rPr>
          <w:rFonts w:ascii="Verdana" w:hAnsi="Verdana"/>
          <w:b/>
        </w:rPr>
        <w:t xml:space="preserve">      </w:t>
      </w:r>
      <w:r w:rsidRPr="00155762">
        <w:rPr>
          <w:rFonts w:ascii="Verdana" w:hAnsi="Verdana"/>
          <w:b/>
        </w:rPr>
        <w:t xml:space="preserve">THE </w:t>
      </w:r>
      <w:r w:rsidR="00AD5077">
        <w:rPr>
          <w:rFonts w:ascii="Verdana" w:hAnsi="Verdana"/>
          <w:b/>
        </w:rPr>
        <w:t>FINANCIAL PLANNING PROCESS 202</w:t>
      </w:r>
      <w:r w:rsidR="006215A7">
        <w:rPr>
          <w:rFonts w:ascii="Verdana" w:hAnsi="Verdana"/>
          <w:b/>
        </w:rPr>
        <w:t>4</w:t>
      </w:r>
      <w:r w:rsidR="00AD5077">
        <w:rPr>
          <w:rFonts w:ascii="Verdana" w:hAnsi="Verdana"/>
          <w:b/>
        </w:rPr>
        <w:t>/2</w:t>
      </w:r>
      <w:r w:rsidR="006215A7">
        <w:rPr>
          <w:rFonts w:ascii="Verdana" w:hAnsi="Verdana"/>
          <w:b/>
        </w:rPr>
        <w:t>5</w:t>
      </w:r>
      <w:r>
        <w:rPr>
          <w:rFonts w:ascii="Verdana" w:hAnsi="Verdana"/>
          <w:b/>
        </w:rPr>
        <w:t xml:space="preserve"> TO </w:t>
      </w:r>
      <w:r w:rsidR="00AD5077">
        <w:rPr>
          <w:rFonts w:ascii="Verdana" w:hAnsi="Verdana"/>
          <w:b/>
        </w:rPr>
        <w:t>202</w:t>
      </w:r>
      <w:r w:rsidR="006215A7">
        <w:rPr>
          <w:rFonts w:ascii="Verdana" w:hAnsi="Verdana"/>
          <w:b/>
        </w:rPr>
        <w:t>8</w:t>
      </w:r>
      <w:r w:rsidRPr="00155762">
        <w:rPr>
          <w:rFonts w:ascii="Verdana" w:hAnsi="Verdana"/>
          <w:b/>
        </w:rPr>
        <w:t>/</w:t>
      </w:r>
      <w:r>
        <w:rPr>
          <w:rFonts w:ascii="Verdana" w:hAnsi="Verdana"/>
          <w:b/>
        </w:rPr>
        <w:t>2</w:t>
      </w:r>
      <w:r w:rsidR="006215A7">
        <w:rPr>
          <w:rFonts w:ascii="Verdana" w:hAnsi="Verdana"/>
          <w:b/>
        </w:rPr>
        <w:t>9</w:t>
      </w:r>
    </w:p>
    <w:p w14:paraId="6BC7A505" w14:textId="77777777" w:rsidR="00BD3386" w:rsidRDefault="00BD3386" w:rsidP="002F2AF1">
      <w:pPr>
        <w:pStyle w:val="Header"/>
        <w:tabs>
          <w:tab w:val="clear" w:pos="4153"/>
          <w:tab w:val="clear" w:pos="8306"/>
          <w:tab w:val="left" w:pos="1134"/>
        </w:tabs>
        <w:rPr>
          <w:rFonts w:ascii="Verdana" w:hAnsi="Verdana"/>
        </w:rPr>
      </w:pPr>
    </w:p>
    <w:p w14:paraId="6E9BADE8" w14:textId="4A9FAA3D" w:rsidR="33EB3BF8" w:rsidRDefault="00BD3386" w:rsidP="008902F9">
      <w:pPr>
        <w:pStyle w:val="Header"/>
        <w:tabs>
          <w:tab w:val="clear" w:pos="4153"/>
          <w:tab w:val="clear" w:pos="8306"/>
          <w:tab w:val="left" w:pos="1134"/>
        </w:tabs>
        <w:spacing w:before="60" w:after="60" w:line="280" w:lineRule="atLeast"/>
        <w:ind w:left="1134" w:hanging="567"/>
        <w:rPr>
          <w:rFonts w:ascii="Verdana" w:hAnsi="Verdana"/>
        </w:rPr>
      </w:pPr>
      <w:r>
        <w:rPr>
          <w:rFonts w:ascii="Verdana" w:hAnsi="Verdana"/>
        </w:rPr>
        <w:t>3.1</w:t>
      </w:r>
      <w:r>
        <w:tab/>
      </w:r>
      <w:r w:rsidR="00AD5077">
        <w:rPr>
          <w:rFonts w:ascii="Verdana" w:hAnsi="Verdana"/>
        </w:rPr>
        <w:t>Financial year 202</w:t>
      </w:r>
      <w:r w:rsidR="00740E95">
        <w:rPr>
          <w:rFonts w:ascii="Verdana" w:hAnsi="Verdana"/>
        </w:rPr>
        <w:t>4</w:t>
      </w:r>
      <w:r w:rsidR="00AD5077">
        <w:rPr>
          <w:rFonts w:ascii="Verdana" w:hAnsi="Verdana"/>
        </w:rPr>
        <w:t>/2</w:t>
      </w:r>
      <w:r w:rsidR="00740E95">
        <w:rPr>
          <w:rFonts w:ascii="Verdana" w:hAnsi="Verdana"/>
        </w:rPr>
        <w:t>5</w:t>
      </w:r>
      <w:r w:rsidR="002F2AF1">
        <w:rPr>
          <w:rFonts w:ascii="Verdana" w:hAnsi="Verdana"/>
        </w:rPr>
        <w:t xml:space="preserve"> represents </w:t>
      </w:r>
      <w:r w:rsidR="002F2AF1" w:rsidRPr="00CD1BD5">
        <w:rPr>
          <w:rFonts w:ascii="Verdana" w:hAnsi="Verdana"/>
        </w:rPr>
        <w:t xml:space="preserve">the </w:t>
      </w:r>
      <w:r w:rsidR="000D7AAD" w:rsidRPr="00CD1BD5">
        <w:rPr>
          <w:rFonts w:ascii="Verdana" w:hAnsi="Verdana"/>
        </w:rPr>
        <w:t>second</w:t>
      </w:r>
      <w:r w:rsidR="002F2AF1" w:rsidRPr="00CD1BD5">
        <w:rPr>
          <w:rFonts w:ascii="Verdana" w:hAnsi="Verdana"/>
        </w:rPr>
        <w:t xml:space="preserve"> year of the </w:t>
      </w:r>
      <w:r w:rsidR="00067CCC" w:rsidRPr="00CD1BD5">
        <w:rPr>
          <w:rFonts w:ascii="Verdana" w:hAnsi="Verdana"/>
        </w:rPr>
        <w:t>current</w:t>
      </w:r>
      <w:r w:rsidR="00067CCC">
        <w:rPr>
          <w:rFonts w:ascii="Verdana" w:hAnsi="Verdana"/>
        </w:rPr>
        <w:t xml:space="preserve"> </w:t>
      </w:r>
      <w:r w:rsidR="00AD5077">
        <w:rPr>
          <w:rFonts w:ascii="Verdana" w:hAnsi="Verdana"/>
        </w:rPr>
        <w:t xml:space="preserve">Administration’s </w:t>
      </w:r>
      <w:r w:rsidR="00DA31A6">
        <w:rPr>
          <w:rFonts w:ascii="Verdana" w:hAnsi="Verdana"/>
        </w:rPr>
        <w:t>5-year</w:t>
      </w:r>
      <w:r w:rsidR="002F2AF1">
        <w:rPr>
          <w:rFonts w:ascii="Verdana" w:hAnsi="Verdana"/>
        </w:rPr>
        <w:t xml:space="preserve"> </w:t>
      </w:r>
      <w:r w:rsidR="004A07EE">
        <w:rPr>
          <w:rFonts w:ascii="Verdana" w:hAnsi="Verdana"/>
        </w:rPr>
        <w:t>F</w:t>
      </w:r>
      <w:r w:rsidR="002F2AF1">
        <w:rPr>
          <w:rFonts w:ascii="Verdana" w:hAnsi="Verdana"/>
        </w:rPr>
        <w:t xml:space="preserve">inancial </w:t>
      </w:r>
      <w:r w:rsidR="004A07EE">
        <w:rPr>
          <w:rFonts w:ascii="Verdana" w:hAnsi="Verdana"/>
        </w:rPr>
        <w:t>P</w:t>
      </w:r>
      <w:r w:rsidR="002F2AF1">
        <w:rPr>
          <w:rFonts w:ascii="Verdana" w:hAnsi="Verdana"/>
        </w:rPr>
        <w:t>lan for the Council</w:t>
      </w:r>
      <w:r w:rsidR="00C426C1">
        <w:rPr>
          <w:rFonts w:ascii="Verdana" w:hAnsi="Verdana"/>
        </w:rPr>
        <w:t>,</w:t>
      </w:r>
      <w:r w:rsidR="002F2AF1">
        <w:rPr>
          <w:rFonts w:ascii="Verdana" w:hAnsi="Verdana"/>
        </w:rPr>
        <w:t xml:space="preserve"> </w:t>
      </w:r>
      <w:r w:rsidR="00FB224B" w:rsidRPr="33EB3BF8">
        <w:rPr>
          <w:rFonts w:ascii="Verdana" w:hAnsi="Verdana"/>
        </w:rPr>
        <w:t xml:space="preserve">covering </w:t>
      </w:r>
      <w:r w:rsidR="00C426C1" w:rsidRPr="33EB3BF8">
        <w:rPr>
          <w:rFonts w:ascii="Verdana" w:hAnsi="Verdana"/>
        </w:rPr>
        <w:t>the period 202</w:t>
      </w:r>
      <w:r w:rsidR="00740E95" w:rsidRPr="33EB3BF8">
        <w:rPr>
          <w:rFonts w:ascii="Verdana" w:hAnsi="Verdana"/>
        </w:rPr>
        <w:t>4</w:t>
      </w:r>
      <w:r w:rsidR="00C426C1" w:rsidRPr="33EB3BF8">
        <w:rPr>
          <w:rFonts w:ascii="Verdana" w:hAnsi="Verdana"/>
        </w:rPr>
        <w:t>/2</w:t>
      </w:r>
      <w:r w:rsidR="00740E95" w:rsidRPr="33EB3BF8">
        <w:rPr>
          <w:rFonts w:ascii="Verdana" w:hAnsi="Verdana"/>
        </w:rPr>
        <w:t>5</w:t>
      </w:r>
      <w:r w:rsidR="00C426C1" w:rsidRPr="33EB3BF8">
        <w:rPr>
          <w:rFonts w:ascii="Verdana" w:hAnsi="Verdana"/>
        </w:rPr>
        <w:t xml:space="preserve"> to 202</w:t>
      </w:r>
      <w:r w:rsidR="00740E95" w:rsidRPr="33EB3BF8">
        <w:rPr>
          <w:rFonts w:ascii="Verdana" w:hAnsi="Verdana"/>
        </w:rPr>
        <w:t>8</w:t>
      </w:r>
      <w:r w:rsidR="00C426C1" w:rsidRPr="33EB3BF8">
        <w:rPr>
          <w:rFonts w:ascii="Verdana" w:hAnsi="Verdana"/>
        </w:rPr>
        <w:t>/2</w:t>
      </w:r>
      <w:r w:rsidR="00740E95" w:rsidRPr="33EB3BF8">
        <w:rPr>
          <w:rFonts w:ascii="Verdana" w:hAnsi="Verdana"/>
        </w:rPr>
        <w:t>9</w:t>
      </w:r>
      <w:r w:rsidR="002F2AF1" w:rsidRPr="33EB3BF8">
        <w:rPr>
          <w:rFonts w:ascii="Verdana" w:hAnsi="Verdana"/>
        </w:rPr>
        <w:t>.  A corporate approach has again been pursued with a focus on aligning the financial, business and people planning elements of the Council Plan</w:t>
      </w:r>
      <w:r w:rsidR="00490874" w:rsidRPr="33EB3BF8">
        <w:rPr>
          <w:rFonts w:ascii="Verdana" w:hAnsi="Verdana"/>
        </w:rPr>
        <w:t xml:space="preserve">. </w:t>
      </w:r>
    </w:p>
    <w:p w14:paraId="447DEE02" w14:textId="24C6F833" w:rsidR="33EB3BF8" w:rsidRDefault="00490874" w:rsidP="008902F9">
      <w:pPr>
        <w:pStyle w:val="Header"/>
        <w:tabs>
          <w:tab w:val="clear" w:pos="4153"/>
          <w:tab w:val="clear" w:pos="8306"/>
          <w:tab w:val="left" w:pos="1134"/>
        </w:tabs>
        <w:spacing w:before="60" w:after="60" w:line="280" w:lineRule="atLeast"/>
        <w:ind w:left="1134" w:hanging="567"/>
        <w:rPr>
          <w:rFonts w:ascii="Verdana" w:hAnsi="Verdana"/>
        </w:rPr>
      </w:pPr>
      <w:r w:rsidRPr="518AECA7">
        <w:rPr>
          <w:rFonts w:ascii="Verdana" w:hAnsi="Verdana"/>
        </w:rPr>
        <w:t>3.2</w:t>
      </w:r>
      <w:r>
        <w:tab/>
      </w:r>
      <w:r w:rsidR="00491C25" w:rsidRPr="518AECA7">
        <w:rPr>
          <w:rFonts w:ascii="Verdana" w:hAnsi="Verdana"/>
        </w:rPr>
        <w:t>A</w:t>
      </w:r>
      <w:r w:rsidRPr="518AECA7">
        <w:rPr>
          <w:rFonts w:ascii="Verdana" w:hAnsi="Verdana"/>
        </w:rPr>
        <w:t xml:space="preserve"> cross party group of </w:t>
      </w:r>
      <w:r w:rsidR="00491C25" w:rsidRPr="518AECA7">
        <w:rPr>
          <w:rFonts w:ascii="Verdana" w:hAnsi="Verdana"/>
        </w:rPr>
        <w:t>Elected M</w:t>
      </w:r>
      <w:r w:rsidRPr="518AECA7">
        <w:rPr>
          <w:rFonts w:ascii="Verdana" w:hAnsi="Verdana"/>
        </w:rPr>
        <w:t xml:space="preserve">embers have been engaged </w:t>
      </w:r>
      <w:r w:rsidR="00606597" w:rsidRPr="518AECA7">
        <w:rPr>
          <w:rFonts w:ascii="Verdana" w:hAnsi="Verdana"/>
        </w:rPr>
        <w:t>throughout</w:t>
      </w:r>
      <w:r w:rsidRPr="518AECA7">
        <w:rPr>
          <w:rFonts w:ascii="Verdana" w:hAnsi="Verdana"/>
        </w:rPr>
        <w:t xml:space="preserve"> the financial </w:t>
      </w:r>
      <w:r w:rsidR="00491C25" w:rsidRPr="518AECA7">
        <w:rPr>
          <w:rFonts w:ascii="Verdana" w:hAnsi="Verdana"/>
        </w:rPr>
        <w:t xml:space="preserve">planning </w:t>
      </w:r>
      <w:r w:rsidRPr="518AECA7">
        <w:rPr>
          <w:rFonts w:ascii="Verdana" w:hAnsi="Verdana"/>
        </w:rPr>
        <w:t>process</w:t>
      </w:r>
      <w:r w:rsidR="00D830D1" w:rsidRPr="518AECA7">
        <w:rPr>
          <w:rFonts w:ascii="Verdana" w:hAnsi="Verdana"/>
        </w:rPr>
        <w:t xml:space="preserve">, </w:t>
      </w:r>
      <w:r w:rsidR="00D6064E" w:rsidRPr="518AECA7">
        <w:rPr>
          <w:rFonts w:ascii="Verdana" w:hAnsi="Verdana"/>
        </w:rPr>
        <w:t xml:space="preserve">considering </w:t>
      </w:r>
      <w:r w:rsidR="00606597" w:rsidRPr="518AECA7">
        <w:rPr>
          <w:rFonts w:ascii="Verdana" w:hAnsi="Verdana"/>
        </w:rPr>
        <w:t>proposals</w:t>
      </w:r>
      <w:r w:rsidR="00006EA8" w:rsidRPr="518AECA7">
        <w:rPr>
          <w:rFonts w:ascii="Verdana" w:hAnsi="Verdana"/>
        </w:rPr>
        <w:t xml:space="preserve"> from CMT </w:t>
      </w:r>
      <w:r w:rsidR="00D6064E" w:rsidRPr="518AECA7">
        <w:rPr>
          <w:rFonts w:ascii="Verdana" w:hAnsi="Verdana"/>
        </w:rPr>
        <w:t>which have subsequently been considered by an</w:t>
      </w:r>
      <w:r w:rsidR="00006EA8" w:rsidRPr="518AECA7">
        <w:rPr>
          <w:rFonts w:ascii="Verdana" w:hAnsi="Verdana"/>
        </w:rPr>
        <w:t xml:space="preserve"> </w:t>
      </w:r>
      <w:proofErr w:type="gramStart"/>
      <w:r w:rsidR="00006EA8" w:rsidRPr="518AECA7">
        <w:rPr>
          <w:rFonts w:ascii="Verdana" w:hAnsi="Verdana"/>
        </w:rPr>
        <w:t>all</w:t>
      </w:r>
      <w:r w:rsidR="00606597" w:rsidRPr="518AECA7">
        <w:rPr>
          <w:rFonts w:ascii="Verdana" w:hAnsi="Verdana"/>
        </w:rPr>
        <w:t xml:space="preserve"> </w:t>
      </w:r>
      <w:r w:rsidR="00364396" w:rsidRPr="518AECA7">
        <w:rPr>
          <w:rFonts w:ascii="Verdana" w:hAnsi="Verdana"/>
        </w:rPr>
        <w:t>M</w:t>
      </w:r>
      <w:r w:rsidR="00006EA8" w:rsidRPr="518AECA7">
        <w:rPr>
          <w:rFonts w:ascii="Verdana" w:hAnsi="Verdana"/>
        </w:rPr>
        <w:t>ember</w:t>
      </w:r>
      <w:proofErr w:type="gramEnd"/>
      <w:r w:rsidR="00006EA8" w:rsidRPr="518AECA7">
        <w:rPr>
          <w:rFonts w:ascii="Verdana" w:hAnsi="Verdana"/>
        </w:rPr>
        <w:t xml:space="preserve"> </w:t>
      </w:r>
      <w:r w:rsidR="00A37E2D" w:rsidRPr="518AECA7">
        <w:rPr>
          <w:rFonts w:ascii="Verdana" w:hAnsi="Verdana"/>
        </w:rPr>
        <w:t>group</w:t>
      </w:r>
      <w:r w:rsidR="00876E22" w:rsidRPr="518AECA7">
        <w:rPr>
          <w:rFonts w:ascii="Verdana" w:hAnsi="Verdana"/>
        </w:rPr>
        <w:t xml:space="preserve"> </w:t>
      </w:r>
      <w:r w:rsidR="00006EA8" w:rsidRPr="518AECA7">
        <w:rPr>
          <w:rFonts w:ascii="Verdana" w:hAnsi="Verdana"/>
        </w:rPr>
        <w:t>throughout the process. The Council</w:t>
      </w:r>
      <w:r w:rsidR="00822C0D" w:rsidRPr="518AECA7">
        <w:rPr>
          <w:rFonts w:ascii="Verdana" w:hAnsi="Verdana"/>
        </w:rPr>
        <w:t>’s Budget</w:t>
      </w:r>
      <w:r w:rsidR="00006EA8" w:rsidRPr="518AECA7">
        <w:rPr>
          <w:rFonts w:ascii="Verdana" w:hAnsi="Verdana"/>
        </w:rPr>
        <w:t xml:space="preserve"> Survey </w:t>
      </w:r>
      <w:r w:rsidR="00822C0D" w:rsidRPr="518AECA7">
        <w:rPr>
          <w:rFonts w:ascii="Verdana" w:hAnsi="Verdana"/>
        </w:rPr>
        <w:t>was available</w:t>
      </w:r>
      <w:r w:rsidR="00006EA8" w:rsidRPr="518AECA7">
        <w:rPr>
          <w:rFonts w:ascii="Verdana" w:hAnsi="Verdana"/>
        </w:rPr>
        <w:t xml:space="preserve"> from </w:t>
      </w:r>
      <w:r w:rsidR="00EE70DC" w:rsidRPr="518AECA7">
        <w:rPr>
          <w:rFonts w:ascii="Verdana" w:hAnsi="Verdana"/>
        </w:rPr>
        <w:t>30</w:t>
      </w:r>
      <w:r w:rsidR="00006EA8" w:rsidRPr="518AECA7">
        <w:rPr>
          <w:rFonts w:ascii="Verdana" w:hAnsi="Verdana"/>
        </w:rPr>
        <w:t xml:space="preserve"> Novemb</w:t>
      </w:r>
      <w:r w:rsidR="003848BC" w:rsidRPr="518AECA7">
        <w:rPr>
          <w:rFonts w:ascii="Verdana" w:hAnsi="Verdana"/>
        </w:rPr>
        <w:t>er 20</w:t>
      </w:r>
      <w:r w:rsidR="00006EA8" w:rsidRPr="518AECA7">
        <w:rPr>
          <w:rFonts w:ascii="Verdana" w:hAnsi="Verdana"/>
        </w:rPr>
        <w:t>23 to 31 January</w:t>
      </w:r>
      <w:r w:rsidR="003848BC" w:rsidRPr="518AECA7">
        <w:rPr>
          <w:rFonts w:ascii="Verdana" w:hAnsi="Verdana"/>
        </w:rPr>
        <w:t xml:space="preserve"> 2024</w:t>
      </w:r>
      <w:r w:rsidR="00006EA8" w:rsidRPr="518AECA7">
        <w:rPr>
          <w:rFonts w:ascii="Verdana" w:hAnsi="Verdana"/>
        </w:rPr>
        <w:t xml:space="preserve"> </w:t>
      </w:r>
      <w:r w:rsidR="000C2C29" w:rsidRPr="518AECA7">
        <w:rPr>
          <w:rFonts w:ascii="Verdana" w:hAnsi="Verdana"/>
        </w:rPr>
        <w:t xml:space="preserve">and a survey of </w:t>
      </w:r>
      <w:r w:rsidR="00606597" w:rsidRPr="518AECA7">
        <w:rPr>
          <w:rFonts w:ascii="Verdana" w:hAnsi="Verdana"/>
        </w:rPr>
        <w:t>secondary</w:t>
      </w:r>
      <w:r w:rsidR="000C2C29" w:rsidRPr="518AECA7">
        <w:rPr>
          <w:rFonts w:ascii="Verdana" w:hAnsi="Verdana"/>
        </w:rPr>
        <w:t xml:space="preserve"> school pupils ran from </w:t>
      </w:r>
      <w:r w:rsidR="00EE70DC" w:rsidRPr="518AECA7">
        <w:rPr>
          <w:rFonts w:ascii="Verdana" w:hAnsi="Verdana"/>
        </w:rPr>
        <w:t xml:space="preserve">9 January 2024 </w:t>
      </w:r>
      <w:r w:rsidR="000C2C29" w:rsidRPr="518AECA7">
        <w:rPr>
          <w:rFonts w:ascii="Verdana" w:hAnsi="Verdana"/>
        </w:rPr>
        <w:t xml:space="preserve">to </w:t>
      </w:r>
      <w:r w:rsidR="003848BC" w:rsidRPr="518AECA7">
        <w:rPr>
          <w:rFonts w:ascii="Verdana" w:hAnsi="Verdana"/>
        </w:rPr>
        <w:t>7 February 2024</w:t>
      </w:r>
      <w:r w:rsidR="000C2C29" w:rsidRPr="518AECA7">
        <w:rPr>
          <w:rFonts w:ascii="Verdana" w:hAnsi="Verdana"/>
        </w:rPr>
        <w:t>. Feedback from both</w:t>
      </w:r>
      <w:r w:rsidR="003848BC" w:rsidRPr="518AECA7">
        <w:rPr>
          <w:rFonts w:ascii="Verdana" w:hAnsi="Verdana"/>
        </w:rPr>
        <w:t xml:space="preserve"> surveys</w:t>
      </w:r>
      <w:r w:rsidR="000C2C29" w:rsidRPr="518AECA7">
        <w:rPr>
          <w:rFonts w:ascii="Verdana" w:hAnsi="Verdana"/>
        </w:rPr>
        <w:t xml:space="preserve"> has regularly been fed back to </w:t>
      </w:r>
      <w:r w:rsidR="005627A8" w:rsidRPr="518AECA7">
        <w:rPr>
          <w:rFonts w:ascii="Verdana" w:hAnsi="Verdana"/>
        </w:rPr>
        <w:t>M</w:t>
      </w:r>
      <w:r w:rsidR="000C2C29" w:rsidRPr="518AECA7">
        <w:rPr>
          <w:rFonts w:ascii="Verdana" w:hAnsi="Verdana"/>
        </w:rPr>
        <w:t>embers</w:t>
      </w:r>
      <w:r w:rsidR="00822C0D" w:rsidRPr="518AECA7">
        <w:rPr>
          <w:rFonts w:ascii="Verdana" w:hAnsi="Verdana"/>
        </w:rPr>
        <w:t xml:space="preserve"> to inform their budget considerations</w:t>
      </w:r>
      <w:r w:rsidR="00B36EEB" w:rsidRPr="518AECA7">
        <w:rPr>
          <w:rFonts w:ascii="Verdana" w:hAnsi="Verdana"/>
        </w:rPr>
        <w:t>,</w:t>
      </w:r>
      <w:r w:rsidR="000C2C29" w:rsidRPr="518AECA7">
        <w:rPr>
          <w:rFonts w:ascii="Verdana" w:hAnsi="Verdana"/>
        </w:rPr>
        <w:t xml:space="preserve"> </w:t>
      </w:r>
      <w:r w:rsidR="00606597" w:rsidRPr="518AECA7">
        <w:rPr>
          <w:rFonts w:ascii="Verdana" w:hAnsi="Verdana"/>
        </w:rPr>
        <w:t xml:space="preserve">complimenting other community engagement activity which has been undertaken during the last year. </w:t>
      </w:r>
    </w:p>
    <w:p w14:paraId="68B0EB0C" w14:textId="002C7C85" w:rsidR="33EB3BF8" w:rsidRDefault="000D7AAD" w:rsidP="008902F9">
      <w:pPr>
        <w:pStyle w:val="Header"/>
        <w:tabs>
          <w:tab w:val="clear" w:pos="4153"/>
          <w:tab w:val="clear" w:pos="8306"/>
          <w:tab w:val="left" w:pos="1134"/>
        </w:tabs>
        <w:spacing w:before="60" w:after="60" w:line="280" w:lineRule="atLeast"/>
        <w:ind w:left="1134" w:hanging="567"/>
        <w:rPr>
          <w:rFonts w:ascii="Verdana" w:hAnsi="Verdana"/>
        </w:rPr>
      </w:pPr>
      <w:r w:rsidRPr="518AECA7">
        <w:rPr>
          <w:rFonts w:ascii="Verdana" w:hAnsi="Verdana"/>
        </w:rPr>
        <w:t>3.</w:t>
      </w:r>
      <w:r w:rsidR="00EF40F3" w:rsidRPr="518AECA7">
        <w:rPr>
          <w:rFonts w:ascii="Verdana" w:hAnsi="Verdana"/>
        </w:rPr>
        <w:t>3</w:t>
      </w:r>
      <w:r>
        <w:tab/>
      </w:r>
      <w:r w:rsidRPr="518AECA7">
        <w:rPr>
          <w:rFonts w:ascii="Verdana" w:hAnsi="Verdana"/>
        </w:rPr>
        <w:t xml:space="preserve">This paper </w:t>
      </w:r>
      <w:r w:rsidR="00787AA6" w:rsidRPr="518AECA7">
        <w:rPr>
          <w:rFonts w:ascii="Verdana" w:hAnsi="Verdana"/>
        </w:rPr>
        <w:t xml:space="preserve">highlights </w:t>
      </w:r>
      <w:r w:rsidRPr="518AECA7">
        <w:rPr>
          <w:rFonts w:ascii="Verdana" w:hAnsi="Verdana"/>
        </w:rPr>
        <w:t xml:space="preserve">the anticipated resources available to the Council over the planning period, </w:t>
      </w:r>
      <w:r w:rsidR="00876E22" w:rsidRPr="518AECA7">
        <w:rPr>
          <w:rFonts w:ascii="Verdana" w:hAnsi="Verdana"/>
        </w:rPr>
        <w:t xml:space="preserve">the </w:t>
      </w:r>
      <w:r w:rsidRPr="518AECA7">
        <w:rPr>
          <w:rFonts w:ascii="Verdana" w:hAnsi="Verdana"/>
        </w:rPr>
        <w:t xml:space="preserve">anticipated financial constraints, major risks to be addressed and the planning approach which was undertaken in arriving at the position presented today. </w:t>
      </w:r>
    </w:p>
    <w:p w14:paraId="542BF0BD" w14:textId="284234F4" w:rsidR="00444495" w:rsidRDefault="000D7AAD" w:rsidP="004B355A">
      <w:pPr>
        <w:pStyle w:val="Header"/>
        <w:tabs>
          <w:tab w:val="clear" w:pos="4153"/>
          <w:tab w:val="clear" w:pos="8306"/>
          <w:tab w:val="left" w:pos="1134"/>
        </w:tabs>
        <w:spacing w:before="60" w:after="60" w:line="280" w:lineRule="atLeast"/>
        <w:ind w:left="1134" w:hanging="567"/>
        <w:rPr>
          <w:rFonts w:ascii="Verdana" w:hAnsi="Verdana"/>
        </w:rPr>
      </w:pPr>
      <w:r w:rsidRPr="518AECA7">
        <w:rPr>
          <w:rFonts w:ascii="Verdana" w:hAnsi="Verdana"/>
        </w:rPr>
        <w:t>3.</w:t>
      </w:r>
      <w:r w:rsidR="00EF40F3" w:rsidRPr="518AECA7">
        <w:rPr>
          <w:rFonts w:ascii="Verdana" w:hAnsi="Verdana"/>
        </w:rPr>
        <w:t>4</w:t>
      </w:r>
      <w:r>
        <w:tab/>
      </w:r>
      <w:r w:rsidR="00EF40F3" w:rsidRPr="518AECA7">
        <w:rPr>
          <w:rFonts w:ascii="Verdana" w:hAnsi="Verdana"/>
        </w:rPr>
        <w:t>As shown in the illustration below</w:t>
      </w:r>
      <w:r w:rsidR="00316BAD" w:rsidRPr="518AECA7">
        <w:rPr>
          <w:rFonts w:ascii="Verdana" w:hAnsi="Verdana"/>
        </w:rPr>
        <w:t>,</w:t>
      </w:r>
      <w:r w:rsidR="00EF40F3" w:rsidRPr="518AECA7">
        <w:rPr>
          <w:rFonts w:ascii="Verdana" w:hAnsi="Verdana"/>
        </w:rPr>
        <w:t xml:space="preserve"> t</w:t>
      </w:r>
      <w:r w:rsidRPr="518AECA7">
        <w:rPr>
          <w:rFonts w:ascii="Verdana" w:hAnsi="Verdana"/>
        </w:rPr>
        <w:t xml:space="preserve">his paper forms part of a suite of </w:t>
      </w:r>
      <w:r w:rsidR="00EF43B8" w:rsidRPr="518AECA7">
        <w:rPr>
          <w:rFonts w:ascii="Verdana" w:hAnsi="Verdana"/>
        </w:rPr>
        <w:t>reports</w:t>
      </w:r>
      <w:r w:rsidRPr="518AECA7">
        <w:rPr>
          <w:rFonts w:ascii="Verdana" w:hAnsi="Verdana"/>
        </w:rPr>
        <w:t xml:space="preserve"> presented to Council today which </w:t>
      </w:r>
      <w:r w:rsidR="00700035" w:rsidRPr="518AECA7">
        <w:rPr>
          <w:rFonts w:ascii="Verdana" w:hAnsi="Verdana"/>
        </w:rPr>
        <w:t>include:</w:t>
      </w:r>
      <w:r w:rsidR="00E7055C" w:rsidRPr="518AECA7">
        <w:rPr>
          <w:rFonts w:ascii="Verdana" w:hAnsi="Verdana"/>
        </w:rPr>
        <w:t xml:space="preserve"> </w:t>
      </w:r>
    </w:p>
    <w:p w14:paraId="02842066" w14:textId="534B7D89" w:rsidR="518AECA7" w:rsidRDefault="518AECA7" w:rsidP="518AECA7">
      <w:pPr>
        <w:pStyle w:val="Header"/>
        <w:tabs>
          <w:tab w:val="clear" w:pos="4153"/>
          <w:tab w:val="clear" w:pos="8306"/>
          <w:tab w:val="left" w:pos="1134"/>
        </w:tabs>
        <w:spacing w:before="60" w:after="60" w:line="280" w:lineRule="atLeast"/>
        <w:ind w:left="1134" w:hanging="567"/>
        <w:rPr>
          <w:rFonts w:ascii="Verdana" w:hAnsi="Verdana"/>
        </w:rPr>
      </w:pPr>
    </w:p>
    <w:p w14:paraId="6AC3379D" w14:textId="499F3CBE" w:rsidR="00444495" w:rsidRDefault="0549A31E" w:rsidP="006459DC">
      <w:pPr>
        <w:pStyle w:val="Header"/>
        <w:numPr>
          <w:ilvl w:val="0"/>
          <w:numId w:val="12"/>
        </w:numPr>
        <w:tabs>
          <w:tab w:val="clear" w:pos="4153"/>
          <w:tab w:val="clear" w:pos="8306"/>
        </w:tabs>
        <w:spacing w:before="60" w:after="60" w:line="280" w:lineRule="atLeast"/>
        <w:ind w:hanging="513"/>
        <w:rPr>
          <w:rFonts w:ascii="Verdana" w:hAnsi="Verdana"/>
        </w:rPr>
      </w:pPr>
      <w:r w:rsidRPr="33EB3BF8">
        <w:rPr>
          <w:rFonts w:ascii="Verdana" w:hAnsi="Verdana"/>
        </w:rPr>
        <w:t xml:space="preserve">The proposed </w:t>
      </w:r>
      <w:r w:rsidR="00DA31A6" w:rsidRPr="33EB3BF8">
        <w:rPr>
          <w:rFonts w:ascii="Verdana" w:hAnsi="Verdana"/>
        </w:rPr>
        <w:t>5-year</w:t>
      </w:r>
      <w:r w:rsidRPr="33EB3BF8">
        <w:rPr>
          <w:rFonts w:ascii="Verdana" w:hAnsi="Verdana"/>
        </w:rPr>
        <w:t xml:space="preserve"> Revenue Plan and </w:t>
      </w:r>
      <w:r w:rsidR="001529C4" w:rsidRPr="33EB3BF8">
        <w:rPr>
          <w:rFonts w:ascii="Verdana" w:hAnsi="Verdana"/>
        </w:rPr>
        <w:t>10-year</w:t>
      </w:r>
      <w:r w:rsidRPr="33EB3BF8">
        <w:rPr>
          <w:rFonts w:ascii="Verdana" w:hAnsi="Verdana"/>
        </w:rPr>
        <w:t xml:space="preserve"> Capital Plan for the Council which details the proposed service budgets provided to enable delivery of the Council Plan; </w:t>
      </w:r>
    </w:p>
    <w:p w14:paraId="57DED539" w14:textId="5CD53B5E" w:rsidR="00444495" w:rsidRDefault="0549A31E" w:rsidP="006459DC">
      <w:pPr>
        <w:pStyle w:val="Header"/>
        <w:numPr>
          <w:ilvl w:val="0"/>
          <w:numId w:val="12"/>
        </w:numPr>
        <w:tabs>
          <w:tab w:val="clear" w:pos="4153"/>
          <w:tab w:val="clear" w:pos="8306"/>
          <w:tab w:val="left" w:pos="1134"/>
        </w:tabs>
        <w:spacing w:before="60" w:after="60" w:line="280" w:lineRule="atLeast"/>
        <w:ind w:hanging="513"/>
        <w:rPr>
          <w:rFonts w:ascii="Verdana" w:hAnsi="Verdana"/>
        </w:rPr>
      </w:pPr>
      <w:r w:rsidRPr="33EB3BF8">
        <w:rPr>
          <w:rFonts w:ascii="Verdana" w:hAnsi="Verdana"/>
        </w:rPr>
        <w:t>T</w:t>
      </w:r>
      <w:r w:rsidR="00455320" w:rsidRPr="33EB3BF8">
        <w:rPr>
          <w:rFonts w:ascii="Verdana" w:hAnsi="Verdana"/>
        </w:rPr>
        <w:t>he</w:t>
      </w:r>
      <w:r w:rsidR="00455320" w:rsidRPr="518AECA7">
        <w:rPr>
          <w:rFonts w:ascii="Verdana" w:hAnsi="Verdana"/>
        </w:rPr>
        <w:t xml:space="preserve"> </w:t>
      </w:r>
      <w:r w:rsidR="00DA31A6" w:rsidRPr="518AECA7">
        <w:rPr>
          <w:rFonts w:ascii="Verdana" w:hAnsi="Verdana"/>
        </w:rPr>
        <w:t>Long-Term</w:t>
      </w:r>
      <w:r w:rsidR="000D7AAD" w:rsidRPr="518AECA7">
        <w:rPr>
          <w:rFonts w:ascii="Verdana" w:hAnsi="Verdana"/>
        </w:rPr>
        <w:t xml:space="preserve"> </w:t>
      </w:r>
      <w:r w:rsidR="00431C43" w:rsidRPr="518AECA7">
        <w:rPr>
          <w:rFonts w:ascii="Verdana" w:hAnsi="Verdana"/>
        </w:rPr>
        <w:t xml:space="preserve">Financial </w:t>
      </w:r>
      <w:r w:rsidR="00681C45" w:rsidRPr="518AECA7">
        <w:rPr>
          <w:rFonts w:ascii="Verdana" w:hAnsi="Verdana"/>
        </w:rPr>
        <w:t>S</w:t>
      </w:r>
      <w:r w:rsidR="00455320" w:rsidRPr="518AECA7">
        <w:rPr>
          <w:rFonts w:ascii="Verdana" w:hAnsi="Verdana"/>
        </w:rPr>
        <w:t>trategy</w:t>
      </w:r>
      <w:r w:rsidR="00431C43" w:rsidRPr="518AECA7">
        <w:rPr>
          <w:rFonts w:ascii="Verdana" w:hAnsi="Verdana"/>
        </w:rPr>
        <w:t xml:space="preserve"> (Revenue)</w:t>
      </w:r>
      <w:r w:rsidR="00455320" w:rsidRPr="518AECA7">
        <w:rPr>
          <w:rFonts w:ascii="Verdana" w:hAnsi="Verdana"/>
        </w:rPr>
        <w:t xml:space="preserve"> </w:t>
      </w:r>
      <w:r w:rsidR="00E725DF" w:rsidRPr="518AECA7">
        <w:rPr>
          <w:rFonts w:ascii="Verdana" w:hAnsi="Verdana"/>
        </w:rPr>
        <w:t>which provides insight into the assumed revenue position of the Counci</w:t>
      </w:r>
      <w:r w:rsidR="00BE2180" w:rsidRPr="518AECA7">
        <w:rPr>
          <w:rFonts w:ascii="Verdana" w:hAnsi="Verdana"/>
        </w:rPr>
        <w:t>l</w:t>
      </w:r>
      <w:r w:rsidR="00E725DF" w:rsidRPr="518AECA7">
        <w:rPr>
          <w:rFonts w:ascii="Verdana" w:hAnsi="Verdana"/>
        </w:rPr>
        <w:t xml:space="preserve"> over the </w:t>
      </w:r>
      <w:r w:rsidR="00BE2180" w:rsidRPr="518AECA7">
        <w:rPr>
          <w:rFonts w:ascii="Verdana" w:hAnsi="Verdana"/>
        </w:rPr>
        <w:t xml:space="preserve">next 10 years </w:t>
      </w:r>
      <w:r w:rsidR="00455320" w:rsidRPr="518AECA7">
        <w:rPr>
          <w:rFonts w:ascii="Verdana" w:hAnsi="Verdana"/>
        </w:rPr>
        <w:t xml:space="preserve">and </w:t>
      </w:r>
      <w:r w:rsidR="00BE2180" w:rsidRPr="518AECA7">
        <w:rPr>
          <w:rFonts w:ascii="Verdana" w:hAnsi="Verdana"/>
        </w:rPr>
        <w:t xml:space="preserve">the </w:t>
      </w:r>
      <w:r w:rsidR="00681C45" w:rsidRPr="518AECA7">
        <w:rPr>
          <w:rFonts w:ascii="Verdana" w:hAnsi="Verdana"/>
        </w:rPr>
        <w:t>C</w:t>
      </w:r>
      <w:r w:rsidR="000D7AAD" w:rsidRPr="518AECA7">
        <w:rPr>
          <w:rFonts w:ascii="Verdana" w:hAnsi="Verdana"/>
        </w:rPr>
        <w:t xml:space="preserve">apital </w:t>
      </w:r>
      <w:r w:rsidR="00455320" w:rsidRPr="518AECA7">
        <w:rPr>
          <w:rFonts w:ascii="Verdana" w:hAnsi="Verdana"/>
        </w:rPr>
        <w:t>Investment Strategy</w:t>
      </w:r>
      <w:r w:rsidR="00681C45" w:rsidRPr="518AECA7">
        <w:rPr>
          <w:rFonts w:ascii="Verdana" w:hAnsi="Verdana"/>
        </w:rPr>
        <w:t xml:space="preserve"> </w:t>
      </w:r>
      <w:r w:rsidR="00BE2180" w:rsidRPr="518AECA7">
        <w:rPr>
          <w:rFonts w:ascii="Verdana" w:hAnsi="Verdana"/>
        </w:rPr>
        <w:t xml:space="preserve">which </w:t>
      </w:r>
      <w:r w:rsidR="001171D7" w:rsidRPr="518AECA7">
        <w:rPr>
          <w:rFonts w:ascii="Verdana" w:hAnsi="Verdana"/>
        </w:rPr>
        <w:t xml:space="preserve">highlights priorities for Capital investment over the next 10 years in order to support delivery of the Council </w:t>
      </w:r>
      <w:r w:rsidR="00162FCC" w:rsidRPr="518AECA7">
        <w:rPr>
          <w:rFonts w:ascii="Verdana" w:hAnsi="Verdana"/>
        </w:rPr>
        <w:t>P</w:t>
      </w:r>
      <w:r w:rsidR="001171D7" w:rsidRPr="518AECA7">
        <w:rPr>
          <w:rFonts w:ascii="Verdana" w:hAnsi="Verdana"/>
        </w:rPr>
        <w:t>lan</w:t>
      </w:r>
      <w:r w:rsidR="00BE2180" w:rsidRPr="518AECA7">
        <w:rPr>
          <w:rFonts w:ascii="Verdana" w:hAnsi="Verdana"/>
        </w:rPr>
        <w:t>; and</w:t>
      </w:r>
    </w:p>
    <w:p w14:paraId="66ABB5D1" w14:textId="4D60A8AE" w:rsidR="000D7AAD" w:rsidRDefault="7D2E0B02" w:rsidP="006459DC">
      <w:pPr>
        <w:pStyle w:val="Header"/>
        <w:numPr>
          <w:ilvl w:val="0"/>
          <w:numId w:val="12"/>
        </w:numPr>
        <w:tabs>
          <w:tab w:val="clear" w:pos="4153"/>
          <w:tab w:val="clear" w:pos="8306"/>
        </w:tabs>
        <w:spacing w:before="60" w:after="60" w:line="280" w:lineRule="atLeast"/>
        <w:ind w:hanging="513"/>
        <w:rPr>
          <w:rFonts w:ascii="Verdana" w:hAnsi="Verdana"/>
        </w:rPr>
      </w:pPr>
      <w:r w:rsidRPr="33EB3BF8">
        <w:rPr>
          <w:rFonts w:ascii="Verdana" w:hAnsi="Verdana"/>
        </w:rPr>
        <w:t>T</w:t>
      </w:r>
      <w:r w:rsidR="00681C45" w:rsidRPr="33EB3BF8">
        <w:rPr>
          <w:rFonts w:ascii="Verdana" w:hAnsi="Verdana"/>
        </w:rPr>
        <w:t>he</w:t>
      </w:r>
      <w:r w:rsidR="000D7AAD" w:rsidRPr="518AECA7">
        <w:rPr>
          <w:rFonts w:ascii="Verdana" w:hAnsi="Verdana"/>
        </w:rPr>
        <w:t xml:space="preserve"> Treasury</w:t>
      </w:r>
      <w:r w:rsidR="00681C45" w:rsidRPr="518AECA7">
        <w:rPr>
          <w:rFonts w:ascii="Verdana" w:hAnsi="Verdana"/>
        </w:rPr>
        <w:t xml:space="preserve"> Management</w:t>
      </w:r>
      <w:r w:rsidR="000D7AAD" w:rsidRPr="518AECA7">
        <w:rPr>
          <w:rFonts w:ascii="Verdana" w:hAnsi="Verdana"/>
        </w:rPr>
        <w:t xml:space="preserve"> </w:t>
      </w:r>
      <w:r w:rsidR="00681C45" w:rsidRPr="518AECA7">
        <w:rPr>
          <w:rFonts w:ascii="Verdana" w:hAnsi="Verdana"/>
        </w:rPr>
        <w:t>S</w:t>
      </w:r>
      <w:r w:rsidR="000D7AAD" w:rsidRPr="518AECA7">
        <w:rPr>
          <w:rFonts w:ascii="Verdana" w:hAnsi="Verdana"/>
        </w:rPr>
        <w:t xml:space="preserve">trategy </w:t>
      </w:r>
      <w:r w:rsidR="00681C45" w:rsidRPr="518AECA7">
        <w:rPr>
          <w:rFonts w:ascii="Verdana" w:hAnsi="Verdana"/>
        </w:rPr>
        <w:t xml:space="preserve">which </w:t>
      </w:r>
      <w:r w:rsidR="000D7AAD" w:rsidRPr="518AECA7">
        <w:rPr>
          <w:rFonts w:ascii="Verdana" w:hAnsi="Verdana"/>
        </w:rPr>
        <w:t xml:space="preserve">considers the debt and investment required to finance the </w:t>
      </w:r>
      <w:r w:rsidR="00AA7706" w:rsidRPr="518AECA7">
        <w:rPr>
          <w:rFonts w:ascii="Verdana" w:hAnsi="Verdana"/>
        </w:rPr>
        <w:t xml:space="preserve">Capital </w:t>
      </w:r>
      <w:r w:rsidR="00D700D2" w:rsidRPr="518AECA7">
        <w:rPr>
          <w:rFonts w:ascii="Verdana" w:hAnsi="Verdana"/>
        </w:rPr>
        <w:t>P</w:t>
      </w:r>
      <w:r w:rsidR="000D7AAD" w:rsidRPr="518AECA7">
        <w:rPr>
          <w:rFonts w:ascii="Verdana" w:hAnsi="Verdana"/>
        </w:rPr>
        <w:t xml:space="preserve">lan considering the </w:t>
      </w:r>
      <w:r w:rsidR="00DA31A6" w:rsidRPr="518AECA7">
        <w:rPr>
          <w:rFonts w:ascii="Verdana" w:hAnsi="Verdana"/>
        </w:rPr>
        <w:t>longer-term</w:t>
      </w:r>
      <w:r w:rsidR="000D7AAD" w:rsidRPr="518AECA7">
        <w:rPr>
          <w:rFonts w:ascii="Verdana" w:hAnsi="Verdana"/>
        </w:rPr>
        <w:t xml:space="preserve"> planning horizon and ensuring that the Council continues to operate within prudent, affordable limits.</w:t>
      </w:r>
    </w:p>
    <w:p w14:paraId="7F50E7C4" w14:textId="4C0916C7" w:rsidR="004D176B" w:rsidRDefault="004D176B" w:rsidP="004D176B">
      <w:pPr>
        <w:pStyle w:val="NormalWeb"/>
      </w:pPr>
    </w:p>
    <w:p w14:paraId="2F327C84" w14:textId="77777777" w:rsidR="00B17922" w:rsidRDefault="00B17922" w:rsidP="004D176B">
      <w:pPr>
        <w:pStyle w:val="NormalWeb"/>
      </w:pPr>
    </w:p>
    <w:p w14:paraId="23B9B1D6" w14:textId="77777777" w:rsidR="00B17922" w:rsidRDefault="00B17922" w:rsidP="004D176B">
      <w:pPr>
        <w:pStyle w:val="NormalWeb"/>
      </w:pPr>
    </w:p>
    <w:p w14:paraId="76B2D312" w14:textId="5F5D4548" w:rsidR="00B17922" w:rsidRDefault="00B17922" w:rsidP="00B17922">
      <w:pPr>
        <w:pStyle w:val="NormalWeb"/>
        <w:ind w:left="720"/>
      </w:pPr>
    </w:p>
    <w:p w14:paraId="42F1E58F" w14:textId="060F8A16" w:rsidR="000D7AAD" w:rsidRDefault="000D7AAD" w:rsidP="004B355A">
      <w:pPr>
        <w:pStyle w:val="Header"/>
        <w:tabs>
          <w:tab w:val="clear" w:pos="4153"/>
          <w:tab w:val="clear" w:pos="8306"/>
          <w:tab w:val="left" w:pos="1134"/>
        </w:tabs>
        <w:spacing w:before="60" w:after="60" w:line="280" w:lineRule="atLeast"/>
        <w:ind w:left="1134" w:hanging="567"/>
        <w:rPr>
          <w:rFonts w:ascii="Verdana" w:hAnsi="Verdana"/>
          <w:szCs w:val="22"/>
        </w:rPr>
      </w:pPr>
    </w:p>
    <w:p w14:paraId="2F7A546A" w14:textId="77777777" w:rsidR="00910062" w:rsidRDefault="00910062" w:rsidP="004B355A">
      <w:pPr>
        <w:pStyle w:val="Header"/>
        <w:tabs>
          <w:tab w:val="clear" w:pos="4153"/>
          <w:tab w:val="clear" w:pos="8306"/>
          <w:tab w:val="left" w:pos="1134"/>
        </w:tabs>
        <w:spacing w:before="60" w:after="60" w:line="280" w:lineRule="atLeast"/>
        <w:rPr>
          <w:rFonts w:ascii="Verdana" w:hAnsi="Verdana"/>
          <w:szCs w:val="22"/>
        </w:rPr>
      </w:pPr>
    </w:p>
    <w:p w14:paraId="70E84CFC" w14:textId="5970D62C" w:rsidR="006A6CB1" w:rsidRDefault="004969BD" w:rsidP="006A6CB1">
      <w:pPr>
        <w:pStyle w:val="NormalWeb"/>
      </w:pPr>
      <w:r>
        <w:rPr>
          <w:noProof/>
        </w:rPr>
        <w:lastRenderedPageBreak/>
        <w:drawing>
          <wp:inline distT="0" distB="0" distL="0" distR="0" wp14:anchorId="574CA389" wp14:editId="00F2F452">
            <wp:extent cx="6115050" cy="35528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3552825"/>
                    </a:xfrm>
                    <a:prstGeom prst="rect">
                      <a:avLst/>
                    </a:prstGeom>
                    <a:noFill/>
                    <a:ln>
                      <a:noFill/>
                    </a:ln>
                  </pic:spPr>
                </pic:pic>
              </a:graphicData>
            </a:graphic>
          </wp:inline>
        </w:drawing>
      </w:r>
    </w:p>
    <w:p w14:paraId="7BE4239A" w14:textId="77777777" w:rsidR="00910062" w:rsidRDefault="00910062" w:rsidP="004B355A">
      <w:pPr>
        <w:pStyle w:val="Header"/>
        <w:tabs>
          <w:tab w:val="clear" w:pos="4153"/>
          <w:tab w:val="clear" w:pos="8306"/>
          <w:tab w:val="left" w:pos="1134"/>
        </w:tabs>
        <w:spacing w:before="60" w:after="60" w:line="280" w:lineRule="atLeast"/>
        <w:rPr>
          <w:rFonts w:ascii="Verdana" w:hAnsi="Verdana"/>
          <w:szCs w:val="22"/>
        </w:rPr>
      </w:pPr>
    </w:p>
    <w:p w14:paraId="250AC33D" w14:textId="77777777" w:rsidR="00910062" w:rsidRPr="004B355A" w:rsidRDefault="00910062" w:rsidP="004B355A">
      <w:pPr>
        <w:pStyle w:val="Header"/>
        <w:tabs>
          <w:tab w:val="clear" w:pos="4153"/>
          <w:tab w:val="clear" w:pos="8306"/>
          <w:tab w:val="left" w:pos="1134"/>
        </w:tabs>
        <w:spacing w:before="60" w:after="60" w:line="280" w:lineRule="atLeast"/>
        <w:rPr>
          <w:rFonts w:ascii="Verdana" w:hAnsi="Verdana"/>
          <w:szCs w:val="22"/>
        </w:rPr>
      </w:pPr>
    </w:p>
    <w:p w14:paraId="12FB6CEE" w14:textId="77777777" w:rsidR="00BD3386" w:rsidRDefault="002F2AF1" w:rsidP="008902F9">
      <w:pPr>
        <w:numPr>
          <w:ilvl w:val="0"/>
          <w:numId w:val="3"/>
        </w:numPr>
        <w:ind w:left="567" w:hanging="567"/>
        <w:rPr>
          <w:rFonts w:ascii="Verdana" w:hAnsi="Verdana"/>
          <w:b/>
        </w:rPr>
      </w:pPr>
      <w:r>
        <w:rPr>
          <w:rFonts w:ascii="Verdana" w:hAnsi="Verdana"/>
          <w:b/>
        </w:rPr>
        <w:t>FINANCIAL STRATEGY</w:t>
      </w:r>
    </w:p>
    <w:p w14:paraId="528E9E48" w14:textId="77777777" w:rsidR="002F2AF1" w:rsidRDefault="002F2AF1" w:rsidP="002F2AF1">
      <w:pPr>
        <w:ind w:left="375"/>
      </w:pPr>
    </w:p>
    <w:p w14:paraId="445B165C" w14:textId="3C2207C2" w:rsidR="00D035E0" w:rsidRDefault="00BD3386" w:rsidP="008902F9">
      <w:pPr>
        <w:ind w:left="1134" w:hanging="567"/>
        <w:rPr>
          <w:rFonts w:ascii="Verdana" w:hAnsi="Verdana"/>
        </w:rPr>
      </w:pPr>
      <w:r>
        <w:rPr>
          <w:rFonts w:ascii="Verdana" w:hAnsi="Verdana"/>
        </w:rPr>
        <w:t>4.1</w:t>
      </w:r>
      <w:r>
        <w:tab/>
      </w:r>
      <w:r w:rsidR="002F2AF1">
        <w:rPr>
          <w:rFonts w:ascii="Verdana" w:hAnsi="Verdana"/>
        </w:rPr>
        <w:t>The Council</w:t>
      </w:r>
      <w:r w:rsidR="00067CCC">
        <w:rPr>
          <w:rFonts w:ascii="Verdana" w:hAnsi="Verdana"/>
        </w:rPr>
        <w:t>,</w:t>
      </w:r>
      <w:r w:rsidR="002F2AF1">
        <w:rPr>
          <w:rFonts w:ascii="Verdana" w:hAnsi="Verdana"/>
        </w:rPr>
        <w:t xml:space="preserve"> along with all public bodies</w:t>
      </w:r>
      <w:r w:rsidR="00113C2B">
        <w:rPr>
          <w:rFonts w:ascii="Verdana" w:hAnsi="Verdana"/>
        </w:rPr>
        <w:t>,</w:t>
      </w:r>
      <w:r w:rsidR="002F2AF1">
        <w:rPr>
          <w:rFonts w:ascii="Verdana" w:hAnsi="Verdana"/>
        </w:rPr>
        <w:t xml:space="preserve"> faces</w:t>
      </w:r>
      <w:r w:rsidR="00067CCC">
        <w:rPr>
          <w:rFonts w:ascii="Verdana" w:hAnsi="Verdana"/>
        </w:rPr>
        <w:t xml:space="preserve"> </w:t>
      </w:r>
      <w:r w:rsidR="002F2AF1">
        <w:rPr>
          <w:rFonts w:ascii="Verdana" w:hAnsi="Verdana"/>
        </w:rPr>
        <w:t xml:space="preserve">significant challenges </w:t>
      </w:r>
      <w:r w:rsidR="002F2AF1" w:rsidRPr="005604A6">
        <w:rPr>
          <w:rFonts w:ascii="Verdana" w:hAnsi="Verdana"/>
        </w:rPr>
        <w:t>as it aims to provide the best possible services within the resources available</w:t>
      </w:r>
      <w:r w:rsidR="002F2AF1">
        <w:rPr>
          <w:rFonts w:ascii="Verdana" w:hAnsi="Verdana"/>
        </w:rPr>
        <w:t xml:space="preserve">.  The adoption of a </w:t>
      </w:r>
      <w:r w:rsidR="00DA31A6">
        <w:rPr>
          <w:rFonts w:ascii="Verdana" w:hAnsi="Verdana"/>
        </w:rPr>
        <w:t>longer-term</w:t>
      </w:r>
      <w:r w:rsidR="002F2AF1" w:rsidRPr="005604A6">
        <w:rPr>
          <w:rFonts w:ascii="Verdana" w:hAnsi="Verdana"/>
        </w:rPr>
        <w:t xml:space="preserve"> timeframe for financial planning has</w:t>
      </w:r>
      <w:r w:rsidR="002F2AF1">
        <w:rPr>
          <w:rFonts w:ascii="Verdana" w:hAnsi="Verdana"/>
        </w:rPr>
        <w:t xml:space="preserve"> previously enabled the Council to plan the delivery of service changes across financial years through </w:t>
      </w:r>
      <w:r w:rsidR="002F2AF1" w:rsidRPr="005604A6">
        <w:rPr>
          <w:rFonts w:ascii="Verdana" w:hAnsi="Verdana"/>
        </w:rPr>
        <w:t>modernis</w:t>
      </w:r>
      <w:r w:rsidR="002F2AF1">
        <w:rPr>
          <w:rFonts w:ascii="Verdana" w:hAnsi="Verdana"/>
        </w:rPr>
        <w:t xml:space="preserve">ing </w:t>
      </w:r>
      <w:r w:rsidR="002F2AF1" w:rsidRPr="005604A6">
        <w:rPr>
          <w:rFonts w:ascii="Verdana" w:hAnsi="Verdana"/>
        </w:rPr>
        <w:t>services</w:t>
      </w:r>
      <w:r w:rsidR="002F2AF1">
        <w:rPr>
          <w:rFonts w:ascii="Verdana" w:hAnsi="Verdana"/>
        </w:rPr>
        <w:t>, investing in new technology, and in developing a range of strategic partnerships to provide longer term benefits. Despite the annual nature of the financial settlement</w:t>
      </w:r>
      <w:r w:rsidR="00CF20FE">
        <w:rPr>
          <w:rFonts w:ascii="Verdana" w:hAnsi="Verdana"/>
        </w:rPr>
        <w:t>,</w:t>
      </w:r>
      <w:r w:rsidR="002F2AF1">
        <w:rPr>
          <w:rFonts w:ascii="Verdana" w:hAnsi="Verdana"/>
        </w:rPr>
        <w:t xml:space="preserve"> this </w:t>
      </w:r>
      <w:r w:rsidR="00DA31A6">
        <w:rPr>
          <w:rFonts w:ascii="Verdana" w:hAnsi="Verdana"/>
        </w:rPr>
        <w:t>longer-term</w:t>
      </w:r>
      <w:r w:rsidR="002F2AF1">
        <w:rPr>
          <w:rFonts w:ascii="Verdana" w:hAnsi="Verdana"/>
        </w:rPr>
        <w:t xml:space="preserve"> approach has enabled the required changes to be delivered in a planned manner, mitigating the need for reactive cuts to services.  </w:t>
      </w:r>
      <w:r w:rsidR="00D035E0">
        <w:rPr>
          <w:rFonts w:ascii="Verdana" w:hAnsi="Verdana"/>
        </w:rPr>
        <w:t xml:space="preserve">This approach </w:t>
      </w:r>
      <w:r w:rsidR="00C426C1">
        <w:rPr>
          <w:rFonts w:ascii="Verdana" w:hAnsi="Verdana"/>
        </w:rPr>
        <w:t>was</w:t>
      </w:r>
      <w:r w:rsidR="00D035E0">
        <w:rPr>
          <w:rFonts w:ascii="Verdana" w:hAnsi="Verdana"/>
        </w:rPr>
        <w:t xml:space="preserve"> </w:t>
      </w:r>
      <w:r w:rsidR="00067CCC">
        <w:rPr>
          <w:rFonts w:ascii="Verdana" w:hAnsi="Verdana"/>
        </w:rPr>
        <w:t>enhanced</w:t>
      </w:r>
      <w:r w:rsidR="00D035E0">
        <w:rPr>
          <w:rFonts w:ascii="Verdana" w:hAnsi="Verdana"/>
        </w:rPr>
        <w:t xml:space="preserve"> for 2022/23 with the </w:t>
      </w:r>
      <w:r w:rsidR="007B2FD5">
        <w:rPr>
          <w:rFonts w:ascii="Verdana" w:hAnsi="Verdana"/>
        </w:rPr>
        <w:t>introduction</w:t>
      </w:r>
      <w:r w:rsidR="00D035E0">
        <w:rPr>
          <w:rFonts w:ascii="Verdana" w:hAnsi="Verdana"/>
        </w:rPr>
        <w:t xml:space="preserve"> of the </w:t>
      </w:r>
      <w:r w:rsidR="00DA31A6">
        <w:rPr>
          <w:rFonts w:ascii="Verdana" w:hAnsi="Verdana"/>
        </w:rPr>
        <w:t>Long-Term</w:t>
      </w:r>
      <w:r w:rsidR="00801C7B">
        <w:rPr>
          <w:rFonts w:ascii="Verdana" w:hAnsi="Verdana"/>
        </w:rPr>
        <w:t xml:space="preserve"> Strategy</w:t>
      </w:r>
      <w:r w:rsidR="009B3D07">
        <w:rPr>
          <w:rFonts w:ascii="Verdana" w:hAnsi="Verdana"/>
        </w:rPr>
        <w:t xml:space="preserve"> (Revenue)</w:t>
      </w:r>
      <w:r w:rsidR="00801C7B">
        <w:rPr>
          <w:rFonts w:ascii="Verdana" w:hAnsi="Verdana"/>
        </w:rPr>
        <w:t xml:space="preserve"> </w:t>
      </w:r>
      <w:r w:rsidR="00D035E0">
        <w:rPr>
          <w:rFonts w:ascii="Verdana" w:hAnsi="Verdana"/>
        </w:rPr>
        <w:t xml:space="preserve">to </w:t>
      </w:r>
      <w:r w:rsidR="00945629">
        <w:rPr>
          <w:rFonts w:ascii="Verdana" w:hAnsi="Verdana"/>
        </w:rPr>
        <w:t xml:space="preserve">assess the potential impact of future funding </w:t>
      </w:r>
      <w:r w:rsidR="0031207D">
        <w:rPr>
          <w:rFonts w:ascii="Verdana" w:hAnsi="Verdana"/>
        </w:rPr>
        <w:t>a</w:t>
      </w:r>
      <w:r w:rsidR="00945629">
        <w:rPr>
          <w:rFonts w:ascii="Verdana" w:hAnsi="Verdana"/>
        </w:rPr>
        <w:t>n</w:t>
      </w:r>
      <w:r w:rsidR="0031207D">
        <w:rPr>
          <w:rFonts w:ascii="Verdana" w:hAnsi="Verdana"/>
        </w:rPr>
        <w:t>d</w:t>
      </w:r>
      <w:r w:rsidR="00945629">
        <w:rPr>
          <w:rFonts w:ascii="Verdana" w:hAnsi="Verdana"/>
        </w:rPr>
        <w:t xml:space="preserve"> service requirements and </w:t>
      </w:r>
      <w:r w:rsidR="00D035E0">
        <w:rPr>
          <w:rFonts w:ascii="Verdana" w:hAnsi="Verdana"/>
        </w:rPr>
        <w:t xml:space="preserve">align revenue and capital planning over a </w:t>
      </w:r>
      <w:r w:rsidR="001529C4">
        <w:rPr>
          <w:rFonts w:ascii="Verdana" w:hAnsi="Verdana"/>
        </w:rPr>
        <w:t>10-year</w:t>
      </w:r>
      <w:r w:rsidR="00D035E0">
        <w:rPr>
          <w:rFonts w:ascii="Verdana" w:hAnsi="Verdana"/>
        </w:rPr>
        <w:t xml:space="preserve"> timeframe</w:t>
      </w:r>
      <w:r w:rsidR="00945629">
        <w:rPr>
          <w:rFonts w:ascii="Verdana" w:hAnsi="Verdana"/>
        </w:rPr>
        <w:t>.</w:t>
      </w:r>
      <w:r w:rsidR="0023576D" w:rsidRPr="0023576D">
        <w:rPr>
          <w:rFonts w:ascii="Verdana" w:hAnsi="Verdana"/>
        </w:rPr>
        <w:t xml:space="preserve"> </w:t>
      </w:r>
      <w:r w:rsidR="0031207D">
        <w:rPr>
          <w:rFonts w:ascii="Verdana" w:hAnsi="Verdana"/>
        </w:rPr>
        <w:t>This</w:t>
      </w:r>
      <w:r w:rsidR="00F54D44">
        <w:rPr>
          <w:rFonts w:ascii="Verdana" w:hAnsi="Verdana"/>
        </w:rPr>
        <w:t xml:space="preserve"> </w:t>
      </w:r>
      <w:r w:rsidR="00634A0E">
        <w:rPr>
          <w:rFonts w:ascii="Verdana" w:hAnsi="Verdana"/>
        </w:rPr>
        <w:t>S</w:t>
      </w:r>
      <w:r w:rsidR="00F54D44">
        <w:rPr>
          <w:rFonts w:ascii="Verdana" w:hAnsi="Verdana"/>
        </w:rPr>
        <w:t>trategy</w:t>
      </w:r>
      <w:r w:rsidR="0023576D">
        <w:rPr>
          <w:rFonts w:ascii="Verdana" w:hAnsi="Verdana"/>
        </w:rPr>
        <w:t xml:space="preserve"> is updated and issued annually. </w:t>
      </w:r>
    </w:p>
    <w:p w14:paraId="757597F8" w14:textId="77777777" w:rsidR="00D035E0" w:rsidRDefault="00D035E0" w:rsidP="005356EF">
      <w:pPr>
        <w:ind w:left="1893" w:hanging="708"/>
        <w:rPr>
          <w:rFonts w:ascii="Verdana" w:hAnsi="Verdana"/>
        </w:rPr>
      </w:pPr>
    </w:p>
    <w:p w14:paraId="39964FFB" w14:textId="77777777" w:rsidR="00995916" w:rsidRDefault="00995916" w:rsidP="005356EF">
      <w:pPr>
        <w:ind w:left="1893" w:hanging="708"/>
        <w:rPr>
          <w:rFonts w:ascii="Verdana" w:hAnsi="Verdana"/>
        </w:rPr>
      </w:pPr>
    </w:p>
    <w:p w14:paraId="225AB52B" w14:textId="2D6903A7" w:rsidR="00B13B8B" w:rsidRDefault="00B27692" w:rsidP="008902F9">
      <w:pPr>
        <w:ind w:left="1134" w:hanging="567"/>
        <w:rPr>
          <w:rFonts w:ascii="Verdana" w:hAnsi="Verdana"/>
        </w:rPr>
      </w:pPr>
      <w:r>
        <w:rPr>
          <w:rFonts w:ascii="Verdana" w:hAnsi="Verdana"/>
        </w:rPr>
        <w:t>4.</w:t>
      </w:r>
      <w:r w:rsidRPr="33EB3BF8">
        <w:rPr>
          <w:rFonts w:ascii="Verdana" w:hAnsi="Verdana"/>
        </w:rPr>
        <w:t>2</w:t>
      </w:r>
      <w:r w:rsidR="005356EF">
        <w:rPr>
          <w:rFonts w:ascii="Verdana" w:hAnsi="Verdana"/>
        </w:rPr>
        <w:tab/>
      </w:r>
      <w:r w:rsidR="00B13B8B" w:rsidRPr="33EB3BF8">
        <w:rPr>
          <w:rFonts w:ascii="Verdana" w:hAnsi="Verdana"/>
        </w:rPr>
        <w:t>The</w:t>
      </w:r>
      <w:r w:rsidR="00B13B8B">
        <w:rPr>
          <w:rFonts w:ascii="Verdana" w:hAnsi="Verdana"/>
        </w:rPr>
        <w:t xml:space="preserve"> challenging financial environment Local Authorities are operating within makes it more important to plan change over the medium to long term but also make</w:t>
      </w:r>
      <w:r w:rsidR="00F25ED4">
        <w:rPr>
          <w:rFonts w:ascii="Verdana" w:hAnsi="Verdana"/>
        </w:rPr>
        <w:t>s</w:t>
      </w:r>
      <w:r w:rsidR="00B13B8B">
        <w:rPr>
          <w:rFonts w:ascii="Verdana" w:hAnsi="Verdana"/>
        </w:rPr>
        <w:t xml:space="preserve"> it harder to balance budgets as inflationary increases and significant increases in demand led care services continue</w:t>
      </w:r>
      <w:r w:rsidR="003B5AD2">
        <w:rPr>
          <w:rFonts w:ascii="Verdana" w:hAnsi="Verdana"/>
        </w:rPr>
        <w:t>s</w:t>
      </w:r>
      <w:r w:rsidR="00B13B8B">
        <w:rPr>
          <w:rFonts w:ascii="Verdana" w:hAnsi="Verdana"/>
        </w:rPr>
        <w:t xml:space="preserve"> to put pressure on the resources available. The last 2 years have seen unprecedented inflationary increases </w:t>
      </w:r>
      <w:r w:rsidR="007651C7">
        <w:rPr>
          <w:rFonts w:ascii="Verdana" w:hAnsi="Verdana"/>
        </w:rPr>
        <w:t xml:space="preserve">in </w:t>
      </w:r>
      <w:r w:rsidR="00B13B8B">
        <w:rPr>
          <w:rFonts w:ascii="Verdana" w:hAnsi="Verdana"/>
        </w:rPr>
        <w:t>transport, utilities and pay whilst the demand for care and external placements for young people continues to rise.</w:t>
      </w:r>
    </w:p>
    <w:p w14:paraId="0CE4EF77" w14:textId="77777777" w:rsidR="00B13B8B" w:rsidRDefault="00B13B8B" w:rsidP="00B13B8B">
      <w:pPr>
        <w:ind w:left="1287"/>
        <w:rPr>
          <w:rFonts w:ascii="Verdana" w:hAnsi="Verdana"/>
        </w:rPr>
      </w:pPr>
    </w:p>
    <w:p w14:paraId="18AC2DA4" w14:textId="77777777" w:rsidR="00995916" w:rsidRDefault="00995916" w:rsidP="00B13B8B">
      <w:pPr>
        <w:ind w:left="1287"/>
        <w:rPr>
          <w:rFonts w:ascii="Verdana" w:hAnsi="Verdana"/>
        </w:rPr>
      </w:pPr>
    </w:p>
    <w:p w14:paraId="45C36E97" w14:textId="22B5A58F" w:rsidR="00B13B8B" w:rsidRDefault="00B27692" w:rsidP="008902F9">
      <w:pPr>
        <w:ind w:left="1134" w:hanging="567"/>
        <w:rPr>
          <w:rFonts w:ascii="Verdana" w:hAnsi="Verdana"/>
        </w:rPr>
      </w:pPr>
      <w:r>
        <w:rPr>
          <w:rFonts w:ascii="Verdana" w:hAnsi="Verdana"/>
        </w:rPr>
        <w:t>4.3</w:t>
      </w:r>
      <w:r>
        <w:rPr>
          <w:rFonts w:ascii="Verdana" w:hAnsi="Verdana"/>
        </w:rPr>
        <w:tab/>
      </w:r>
      <w:r w:rsidR="00B13B8B">
        <w:rPr>
          <w:rFonts w:ascii="Verdana" w:hAnsi="Verdana"/>
        </w:rPr>
        <w:t xml:space="preserve">The </w:t>
      </w:r>
      <w:r w:rsidR="00DA31A6">
        <w:rPr>
          <w:rFonts w:ascii="Verdana" w:hAnsi="Verdana"/>
        </w:rPr>
        <w:t>cost-of-living</w:t>
      </w:r>
      <w:r w:rsidR="00B13B8B">
        <w:rPr>
          <w:rFonts w:ascii="Verdana" w:hAnsi="Verdana"/>
        </w:rPr>
        <w:t xml:space="preserve"> crisis also impacts directly and indirectly on Council services as the need for financial support increases and more early intervention work is required to support families within the region.</w:t>
      </w:r>
    </w:p>
    <w:p w14:paraId="059A1301" w14:textId="77777777" w:rsidR="000F3B7C" w:rsidRDefault="000F3B7C" w:rsidP="00B27692">
      <w:pPr>
        <w:ind w:left="1134" w:hanging="708"/>
        <w:rPr>
          <w:rFonts w:ascii="Verdana" w:hAnsi="Verdana"/>
        </w:rPr>
      </w:pPr>
    </w:p>
    <w:p w14:paraId="7EA354D0" w14:textId="77777777" w:rsidR="00995916" w:rsidRDefault="00995916" w:rsidP="00B27692">
      <w:pPr>
        <w:ind w:left="1134" w:hanging="708"/>
        <w:rPr>
          <w:rFonts w:ascii="Verdana" w:hAnsi="Verdana"/>
        </w:rPr>
      </w:pPr>
    </w:p>
    <w:p w14:paraId="59476B6F" w14:textId="02BDF8E3" w:rsidR="00B13B8B" w:rsidRPr="00E218B7" w:rsidRDefault="00B27692" w:rsidP="008902F9">
      <w:pPr>
        <w:ind w:left="1134" w:hanging="567"/>
        <w:rPr>
          <w:rFonts w:ascii="Verdana" w:hAnsi="Verdana"/>
        </w:rPr>
      </w:pPr>
      <w:r>
        <w:rPr>
          <w:rFonts w:ascii="Verdana" w:hAnsi="Verdana"/>
        </w:rPr>
        <w:t xml:space="preserve">4.4   </w:t>
      </w:r>
      <w:r w:rsidR="00B13B8B" w:rsidRPr="000F3B7C">
        <w:rPr>
          <w:rFonts w:ascii="Verdana" w:hAnsi="Verdana"/>
        </w:rPr>
        <w:t xml:space="preserve">It is recognised that COVID-19 has had a </w:t>
      </w:r>
      <w:r w:rsidR="00DA31A6">
        <w:rPr>
          <w:rFonts w:ascii="Verdana" w:hAnsi="Verdana"/>
        </w:rPr>
        <w:t>long-term</w:t>
      </w:r>
      <w:r w:rsidR="009B00D1">
        <w:rPr>
          <w:rFonts w:ascii="Verdana" w:hAnsi="Verdana"/>
        </w:rPr>
        <w:t xml:space="preserve"> </w:t>
      </w:r>
      <w:r w:rsidR="00B13B8B" w:rsidRPr="000F3B7C">
        <w:rPr>
          <w:rFonts w:ascii="Verdana" w:hAnsi="Verdana"/>
        </w:rPr>
        <w:t>effect on the Council’s operations</w:t>
      </w:r>
      <w:r w:rsidR="006C7DC6">
        <w:rPr>
          <w:rFonts w:ascii="Verdana" w:hAnsi="Verdana"/>
        </w:rPr>
        <w:t xml:space="preserve">. </w:t>
      </w:r>
      <w:r w:rsidR="00C64417" w:rsidRPr="000F3B7C">
        <w:rPr>
          <w:rFonts w:ascii="Verdana" w:hAnsi="Verdana"/>
        </w:rPr>
        <w:t xml:space="preserve">The </w:t>
      </w:r>
      <w:r w:rsidR="001D7E66" w:rsidRPr="000F3B7C">
        <w:rPr>
          <w:rFonts w:ascii="Verdana" w:hAnsi="Verdana"/>
        </w:rPr>
        <w:t>financial position</w:t>
      </w:r>
      <w:r w:rsidR="00C64417" w:rsidRPr="000F3B7C">
        <w:rPr>
          <w:rFonts w:ascii="Verdana" w:hAnsi="Verdana"/>
        </w:rPr>
        <w:t xml:space="preserve"> in 2023/24 has continued to be impacted by additional costs</w:t>
      </w:r>
      <w:r w:rsidR="00A367D2">
        <w:rPr>
          <w:rFonts w:ascii="Verdana" w:hAnsi="Verdana"/>
        </w:rPr>
        <w:t xml:space="preserve"> </w:t>
      </w:r>
      <w:r w:rsidR="007A055D">
        <w:rPr>
          <w:rFonts w:ascii="Verdana" w:hAnsi="Verdana"/>
        </w:rPr>
        <w:t xml:space="preserve">in </w:t>
      </w:r>
      <w:r w:rsidR="00C64417" w:rsidRPr="000F3B7C">
        <w:rPr>
          <w:rFonts w:ascii="Verdana" w:hAnsi="Verdana"/>
        </w:rPr>
        <w:t>children’s services</w:t>
      </w:r>
      <w:r w:rsidR="00AF6F9F">
        <w:rPr>
          <w:rFonts w:ascii="Verdana" w:hAnsi="Verdana"/>
        </w:rPr>
        <w:t xml:space="preserve"> where</w:t>
      </w:r>
      <w:r w:rsidR="00F6480B">
        <w:rPr>
          <w:rFonts w:ascii="Verdana" w:hAnsi="Verdana"/>
        </w:rPr>
        <w:t>,</w:t>
      </w:r>
      <w:r w:rsidR="00AF6F9F">
        <w:rPr>
          <w:rFonts w:ascii="Verdana" w:hAnsi="Verdana"/>
        </w:rPr>
        <w:t xml:space="preserve"> since </w:t>
      </w:r>
      <w:r w:rsidR="00F6480B">
        <w:rPr>
          <w:rFonts w:ascii="Verdana" w:hAnsi="Verdana"/>
        </w:rPr>
        <w:t xml:space="preserve">the </w:t>
      </w:r>
      <w:r w:rsidR="00AF6F9F">
        <w:rPr>
          <w:rFonts w:ascii="Verdana" w:hAnsi="Verdana"/>
        </w:rPr>
        <w:t>COVID</w:t>
      </w:r>
      <w:r w:rsidR="0021746A">
        <w:rPr>
          <w:rFonts w:ascii="Verdana" w:hAnsi="Verdana"/>
        </w:rPr>
        <w:t>-</w:t>
      </w:r>
      <w:r w:rsidR="00AF6F9F">
        <w:rPr>
          <w:rFonts w:ascii="Verdana" w:hAnsi="Verdana"/>
        </w:rPr>
        <w:t>19</w:t>
      </w:r>
      <w:r w:rsidR="00F6480B">
        <w:rPr>
          <w:rFonts w:ascii="Verdana" w:hAnsi="Verdana"/>
        </w:rPr>
        <w:t xml:space="preserve"> pandemic,</w:t>
      </w:r>
      <w:r w:rsidR="00AF6F9F">
        <w:rPr>
          <w:rFonts w:ascii="Verdana" w:hAnsi="Verdana"/>
        </w:rPr>
        <w:t xml:space="preserve"> demand pressures continue to rise</w:t>
      </w:r>
      <w:r w:rsidR="00C64417" w:rsidRPr="000F3B7C">
        <w:rPr>
          <w:rFonts w:ascii="Verdana" w:hAnsi="Verdana"/>
        </w:rPr>
        <w:t xml:space="preserve">.  The monitoring reports approved by the Executive Committee throughout 2023/24 </w:t>
      </w:r>
      <w:r w:rsidR="00AF6F9F">
        <w:rPr>
          <w:rFonts w:ascii="Verdana" w:hAnsi="Verdana"/>
        </w:rPr>
        <w:t xml:space="preserve">have </w:t>
      </w:r>
      <w:r w:rsidR="00C64417" w:rsidRPr="000F3B7C">
        <w:rPr>
          <w:rFonts w:ascii="Verdana" w:hAnsi="Verdana"/>
        </w:rPr>
        <w:t xml:space="preserve">highlighted these pressures arising across Council services and many of these pressures </w:t>
      </w:r>
      <w:r w:rsidR="00C823AE">
        <w:rPr>
          <w:rFonts w:ascii="Verdana" w:hAnsi="Verdana"/>
        </w:rPr>
        <w:t xml:space="preserve">are </w:t>
      </w:r>
      <w:r w:rsidR="00C64417" w:rsidRPr="000F3B7C">
        <w:rPr>
          <w:rFonts w:ascii="Verdana" w:hAnsi="Verdana"/>
        </w:rPr>
        <w:t>anticipated to continue into 2024/25 and beyond.</w:t>
      </w:r>
    </w:p>
    <w:p w14:paraId="74EC0926" w14:textId="77777777" w:rsidR="00995916" w:rsidRPr="00E218B7" w:rsidRDefault="00995916" w:rsidP="00456BA4">
      <w:pPr>
        <w:rPr>
          <w:rFonts w:ascii="Verdana" w:hAnsi="Verdana"/>
        </w:rPr>
      </w:pPr>
    </w:p>
    <w:p w14:paraId="37442304" w14:textId="41832CFE" w:rsidR="00930137" w:rsidRDefault="00B13B8B" w:rsidP="008902F9">
      <w:pPr>
        <w:numPr>
          <w:ilvl w:val="1"/>
          <w:numId w:val="10"/>
        </w:numPr>
        <w:ind w:hanging="579"/>
        <w:rPr>
          <w:rFonts w:ascii="Verdana" w:hAnsi="Verdana"/>
        </w:rPr>
      </w:pPr>
      <w:r w:rsidRPr="00E218B7">
        <w:rPr>
          <w:rFonts w:ascii="Verdana" w:hAnsi="Verdana"/>
        </w:rPr>
        <w:t xml:space="preserve">The Fit for 2024 </w:t>
      </w:r>
      <w:r w:rsidR="00D94D4C">
        <w:rPr>
          <w:rFonts w:ascii="Verdana" w:hAnsi="Verdana"/>
        </w:rPr>
        <w:t>P</w:t>
      </w:r>
      <w:r w:rsidRPr="00E218B7">
        <w:rPr>
          <w:rFonts w:ascii="Verdana" w:hAnsi="Verdana"/>
        </w:rPr>
        <w:t>rogramme ha</w:t>
      </w:r>
      <w:r w:rsidR="00245DC6">
        <w:rPr>
          <w:rFonts w:ascii="Verdana" w:hAnsi="Verdana"/>
        </w:rPr>
        <w:t>s</w:t>
      </w:r>
      <w:r w:rsidRPr="00E218B7">
        <w:rPr>
          <w:rFonts w:ascii="Verdana" w:hAnsi="Verdana"/>
        </w:rPr>
        <w:t xml:space="preserve"> now been brought to close and a replacement Transformation </w:t>
      </w:r>
      <w:r w:rsidR="00E672A2">
        <w:rPr>
          <w:rFonts w:ascii="Verdana" w:hAnsi="Verdana"/>
        </w:rPr>
        <w:t>P</w:t>
      </w:r>
      <w:r w:rsidRPr="00E218B7">
        <w:rPr>
          <w:rFonts w:ascii="Verdana" w:hAnsi="Verdana"/>
        </w:rPr>
        <w:t xml:space="preserve">rogramme focussing on the future sustainability of the Council had been developed. This work will shape the service delivery of the Council </w:t>
      </w:r>
      <w:r>
        <w:rPr>
          <w:rFonts w:ascii="Verdana" w:hAnsi="Verdana"/>
        </w:rPr>
        <w:t>moving forward</w:t>
      </w:r>
      <w:r w:rsidRPr="00E218B7">
        <w:rPr>
          <w:rFonts w:ascii="Verdana" w:hAnsi="Verdana"/>
        </w:rPr>
        <w:t>, ensuring that it is</w:t>
      </w:r>
      <w:r w:rsidR="00574309">
        <w:rPr>
          <w:rFonts w:ascii="Verdana" w:hAnsi="Verdana"/>
        </w:rPr>
        <w:t xml:space="preserve"> aligned to the Council Plan and</w:t>
      </w:r>
      <w:r w:rsidRPr="00E218B7">
        <w:rPr>
          <w:rFonts w:ascii="Verdana" w:hAnsi="Verdana"/>
        </w:rPr>
        <w:t xml:space="preserve"> deliverable within the anticipated resources available. The </w:t>
      </w:r>
      <w:r w:rsidR="00DA31A6">
        <w:rPr>
          <w:rFonts w:ascii="Verdana" w:hAnsi="Verdana"/>
        </w:rPr>
        <w:t>Long-Term</w:t>
      </w:r>
      <w:r>
        <w:rPr>
          <w:rFonts w:ascii="Verdana" w:hAnsi="Verdana"/>
        </w:rPr>
        <w:t xml:space="preserve"> Financial Strategy (Revenue) provides scenarios of what the </w:t>
      </w:r>
      <w:r w:rsidR="001529C4">
        <w:rPr>
          <w:rFonts w:ascii="Verdana" w:hAnsi="Verdana"/>
        </w:rPr>
        <w:t>long-term</w:t>
      </w:r>
      <w:r>
        <w:rPr>
          <w:rFonts w:ascii="Verdana" w:hAnsi="Verdana"/>
        </w:rPr>
        <w:t xml:space="preserve"> financial position of the Council may look like to provide some guidance to the scale of challenge the Council is likely to face.</w:t>
      </w:r>
    </w:p>
    <w:p w14:paraId="7C704D71" w14:textId="77777777" w:rsidR="00995916" w:rsidRDefault="00995916" w:rsidP="00930137">
      <w:pPr>
        <w:ind w:left="1146"/>
        <w:rPr>
          <w:rFonts w:ascii="Verdana" w:hAnsi="Verdana"/>
        </w:rPr>
      </w:pPr>
    </w:p>
    <w:p w14:paraId="1149AC1E" w14:textId="4E052AB4" w:rsidR="00A539F5" w:rsidRPr="00930137" w:rsidRDefault="007C0CD7" w:rsidP="008902F9">
      <w:pPr>
        <w:numPr>
          <w:ilvl w:val="1"/>
          <w:numId w:val="10"/>
        </w:numPr>
        <w:ind w:hanging="579"/>
        <w:rPr>
          <w:rFonts w:ascii="Verdana" w:hAnsi="Verdana"/>
        </w:rPr>
      </w:pPr>
      <w:r w:rsidRPr="00930137">
        <w:rPr>
          <w:rFonts w:ascii="Verdana" w:hAnsi="Verdana"/>
        </w:rPr>
        <w:t>Principles underpinning t</w:t>
      </w:r>
      <w:r w:rsidR="002F2AF1" w:rsidRPr="00930137">
        <w:rPr>
          <w:rFonts w:ascii="Verdana" w:hAnsi="Verdana"/>
        </w:rPr>
        <w:t xml:space="preserve">he financial </w:t>
      </w:r>
      <w:r w:rsidR="000D7AAD" w:rsidRPr="00930137">
        <w:rPr>
          <w:rFonts w:ascii="Verdana" w:hAnsi="Verdana"/>
        </w:rPr>
        <w:t xml:space="preserve">planning process undertaken </w:t>
      </w:r>
      <w:r w:rsidR="00C426C1" w:rsidRPr="00930137">
        <w:rPr>
          <w:rFonts w:ascii="Verdana" w:hAnsi="Verdana"/>
        </w:rPr>
        <w:t xml:space="preserve">for </w:t>
      </w:r>
      <w:r w:rsidR="009B3D07" w:rsidRPr="00930137">
        <w:rPr>
          <w:rFonts w:ascii="Verdana" w:hAnsi="Verdana"/>
        </w:rPr>
        <w:t xml:space="preserve">   </w:t>
      </w:r>
      <w:r w:rsidR="00C426C1" w:rsidRPr="00930137">
        <w:rPr>
          <w:rFonts w:ascii="Verdana" w:hAnsi="Verdana"/>
        </w:rPr>
        <w:t>202</w:t>
      </w:r>
      <w:r w:rsidR="000D7AAD" w:rsidRPr="00930137">
        <w:rPr>
          <w:rFonts w:ascii="Verdana" w:hAnsi="Verdana"/>
        </w:rPr>
        <w:t>4</w:t>
      </w:r>
      <w:r w:rsidR="00C426C1" w:rsidRPr="00930137">
        <w:rPr>
          <w:rFonts w:ascii="Verdana" w:hAnsi="Verdana"/>
        </w:rPr>
        <w:t>/2</w:t>
      </w:r>
      <w:r w:rsidR="000D7AAD" w:rsidRPr="00930137">
        <w:rPr>
          <w:rFonts w:ascii="Verdana" w:hAnsi="Verdana"/>
        </w:rPr>
        <w:t>5</w:t>
      </w:r>
      <w:r w:rsidR="002F2AF1" w:rsidRPr="00930137">
        <w:rPr>
          <w:rFonts w:ascii="Verdana" w:hAnsi="Verdana"/>
        </w:rPr>
        <w:t xml:space="preserve"> </w:t>
      </w:r>
      <w:r w:rsidRPr="00930137">
        <w:rPr>
          <w:rFonts w:ascii="Verdana" w:hAnsi="Verdana"/>
        </w:rPr>
        <w:t>include:</w:t>
      </w:r>
    </w:p>
    <w:p w14:paraId="525CB33E" w14:textId="77777777" w:rsidR="00A539F5" w:rsidRDefault="00A539F5" w:rsidP="00A539F5">
      <w:pPr>
        <w:ind w:left="1134"/>
        <w:rPr>
          <w:rFonts w:ascii="Verdana" w:hAnsi="Verdana"/>
        </w:rPr>
      </w:pPr>
    </w:p>
    <w:p w14:paraId="66D73924" w14:textId="1AE2179A" w:rsidR="00A539F5" w:rsidRPr="00E53B12" w:rsidRDefault="005356EF" w:rsidP="00E53B12">
      <w:pPr>
        <w:numPr>
          <w:ilvl w:val="0"/>
          <w:numId w:val="4"/>
        </w:numPr>
        <w:spacing w:line="276" w:lineRule="auto"/>
        <w:ind w:left="1701" w:hanging="567"/>
        <w:rPr>
          <w:rFonts w:ascii="Verdana" w:hAnsi="Verdana"/>
        </w:rPr>
      </w:pPr>
      <w:r>
        <w:rPr>
          <w:rFonts w:ascii="Verdana" w:hAnsi="Verdana"/>
        </w:rPr>
        <w:t>R</w:t>
      </w:r>
      <w:r w:rsidR="00A539F5" w:rsidRPr="007C0CD7">
        <w:rPr>
          <w:rFonts w:ascii="Verdana" w:hAnsi="Verdana"/>
        </w:rPr>
        <w:t>esources are raised to meet approved service levels in the most effective manner;</w:t>
      </w:r>
    </w:p>
    <w:p w14:paraId="52FDFA0F" w14:textId="53CD6CCC" w:rsidR="00A539F5" w:rsidRPr="00E53B12" w:rsidRDefault="005356EF" w:rsidP="00E53B12">
      <w:pPr>
        <w:numPr>
          <w:ilvl w:val="0"/>
          <w:numId w:val="4"/>
        </w:numPr>
        <w:spacing w:line="276" w:lineRule="auto"/>
        <w:ind w:left="1701" w:hanging="567"/>
        <w:rPr>
          <w:rFonts w:ascii="Verdana" w:hAnsi="Verdana"/>
        </w:rPr>
      </w:pPr>
      <w:r>
        <w:rPr>
          <w:rFonts w:ascii="Verdana" w:hAnsi="Verdana"/>
        </w:rPr>
        <w:t>O</w:t>
      </w:r>
      <w:r w:rsidR="00A539F5">
        <w:rPr>
          <w:rFonts w:ascii="Verdana" w:hAnsi="Verdana"/>
        </w:rPr>
        <w:t xml:space="preserve">fficers </w:t>
      </w:r>
      <w:r w:rsidR="00A539F5" w:rsidRPr="005604A6">
        <w:rPr>
          <w:rFonts w:ascii="Verdana" w:hAnsi="Verdana"/>
        </w:rPr>
        <w:t>m</w:t>
      </w:r>
      <w:r w:rsidR="00A539F5">
        <w:rPr>
          <w:rFonts w:ascii="Verdana" w:hAnsi="Verdana"/>
        </w:rPr>
        <w:t>anage</w:t>
      </w:r>
      <w:r w:rsidR="00A539F5" w:rsidRPr="005604A6">
        <w:rPr>
          <w:rFonts w:ascii="Verdana" w:hAnsi="Verdana"/>
        </w:rPr>
        <w:t xml:space="preserve"> the effective deployment of those </w:t>
      </w:r>
      <w:r w:rsidR="00A539F5">
        <w:rPr>
          <w:rFonts w:ascii="Verdana" w:hAnsi="Verdana"/>
        </w:rPr>
        <w:t>resources</w:t>
      </w:r>
      <w:r w:rsidR="00A539F5" w:rsidRPr="005604A6">
        <w:rPr>
          <w:rFonts w:ascii="Verdana" w:hAnsi="Verdana"/>
        </w:rPr>
        <w:t xml:space="preserve"> in line with the Council’s </w:t>
      </w:r>
      <w:r w:rsidR="00A539F5">
        <w:rPr>
          <w:rFonts w:ascii="Verdana" w:hAnsi="Verdana"/>
        </w:rPr>
        <w:t>objectives and priorities</w:t>
      </w:r>
      <w:r w:rsidR="00694CDC">
        <w:rPr>
          <w:rFonts w:ascii="Verdana" w:hAnsi="Verdana"/>
        </w:rPr>
        <w:t xml:space="preserve"> as set out in the Co</w:t>
      </w:r>
      <w:r w:rsidR="00F215F1">
        <w:rPr>
          <w:rFonts w:ascii="Verdana" w:hAnsi="Verdana"/>
        </w:rPr>
        <w:t>uncil</w:t>
      </w:r>
      <w:r w:rsidR="00694CDC">
        <w:rPr>
          <w:rFonts w:ascii="Verdana" w:hAnsi="Verdana"/>
        </w:rPr>
        <w:t xml:space="preserve"> Plan</w:t>
      </w:r>
      <w:r w:rsidR="00A539F5">
        <w:rPr>
          <w:rFonts w:ascii="Verdana" w:hAnsi="Verdana"/>
        </w:rPr>
        <w:t>;</w:t>
      </w:r>
    </w:p>
    <w:p w14:paraId="5CB2D9A9" w14:textId="1CEBE43F" w:rsidR="00A539F5" w:rsidRPr="00E53B12" w:rsidRDefault="005356EF" w:rsidP="00A539F5">
      <w:pPr>
        <w:numPr>
          <w:ilvl w:val="0"/>
          <w:numId w:val="4"/>
        </w:numPr>
        <w:spacing w:line="276" w:lineRule="auto"/>
        <w:ind w:left="1701" w:hanging="567"/>
        <w:rPr>
          <w:rFonts w:ascii="Verdana" w:hAnsi="Verdana"/>
        </w:rPr>
      </w:pPr>
      <w:r>
        <w:rPr>
          <w:rFonts w:ascii="Verdana" w:hAnsi="Verdana"/>
        </w:rPr>
        <w:t>T</w:t>
      </w:r>
      <w:r w:rsidR="00A539F5" w:rsidRPr="00361C23">
        <w:rPr>
          <w:rFonts w:ascii="Verdana" w:hAnsi="Verdana"/>
        </w:rPr>
        <w:t xml:space="preserve">he revenue and capital </w:t>
      </w:r>
      <w:r w:rsidR="00721488">
        <w:rPr>
          <w:rFonts w:ascii="Verdana" w:hAnsi="Verdana"/>
        </w:rPr>
        <w:t>F</w:t>
      </w:r>
      <w:r w:rsidR="009C4001">
        <w:rPr>
          <w:rFonts w:ascii="Verdana" w:hAnsi="Verdana"/>
        </w:rPr>
        <w:t xml:space="preserve">inancial </w:t>
      </w:r>
      <w:r w:rsidR="00721488">
        <w:rPr>
          <w:rFonts w:ascii="Verdana" w:hAnsi="Verdana"/>
        </w:rPr>
        <w:t>P</w:t>
      </w:r>
      <w:r w:rsidR="00A539F5" w:rsidRPr="00361C23">
        <w:rPr>
          <w:rFonts w:ascii="Verdana" w:hAnsi="Verdana"/>
        </w:rPr>
        <w:t>la</w:t>
      </w:r>
      <w:r w:rsidR="00A539F5">
        <w:rPr>
          <w:rFonts w:ascii="Verdana" w:hAnsi="Verdana"/>
        </w:rPr>
        <w:t xml:space="preserve">ns approved by Council provide </w:t>
      </w:r>
      <w:r w:rsidR="00A539F5" w:rsidRPr="00361C23">
        <w:rPr>
          <w:rFonts w:ascii="Verdana" w:hAnsi="Verdana"/>
        </w:rPr>
        <w:t xml:space="preserve">stability in </w:t>
      </w:r>
      <w:r w:rsidR="00A539F5" w:rsidRPr="000D7AAD">
        <w:rPr>
          <w:rFonts w:ascii="Verdana" w:hAnsi="Verdana"/>
        </w:rPr>
        <w:t>resource planning</w:t>
      </w:r>
      <w:r w:rsidR="00110045" w:rsidRPr="000D7AAD">
        <w:rPr>
          <w:rFonts w:ascii="Verdana" w:hAnsi="Verdana"/>
        </w:rPr>
        <w:t xml:space="preserve">; </w:t>
      </w:r>
    </w:p>
    <w:p w14:paraId="360B46C5" w14:textId="78D04E3A" w:rsidR="000D7AAD" w:rsidRPr="00E53B12" w:rsidRDefault="005356EF" w:rsidP="00E53B12">
      <w:pPr>
        <w:numPr>
          <w:ilvl w:val="0"/>
          <w:numId w:val="4"/>
        </w:numPr>
        <w:spacing w:line="276" w:lineRule="auto"/>
        <w:ind w:left="1701" w:hanging="567"/>
        <w:rPr>
          <w:rFonts w:ascii="Verdana" w:hAnsi="Verdana"/>
        </w:rPr>
      </w:pPr>
      <w:r>
        <w:rPr>
          <w:rFonts w:ascii="Verdana" w:hAnsi="Verdana"/>
        </w:rPr>
        <w:t>S</w:t>
      </w:r>
      <w:r w:rsidR="000D7AAD" w:rsidRPr="000D7AAD">
        <w:rPr>
          <w:rFonts w:ascii="Verdana" w:hAnsi="Verdana"/>
        </w:rPr>
        <w:t xml:space="preserve">ervice </w:t>
      </w:r>
      <w:r w:rsidR="00A539F5" w:rsidRPr="000D7AAD">
        <w:rPr>
          <w:rFonts w:ascii="Verdana" w:hAnsi="Verdana"/>
        </w:rPr>
        <w:t>changes required to</w:t>
      </w:r>
      <w:r w:rsidR="000D7AAD" w:rsidRPr="000D7AAD">
        <w:rPr>
          <w:rFonts w:ascii="Verdana" w:hAnsi="Verdana"/>
        </w:rPr>
        <w:t xml:space="preserve"> deliver financial sustainability for the Council </w:t>
      </w:r>
      <w:r w:rsidR="000D7AAD" w:rsidRPr="00930137">
        <w:rPr>
          <w:rFonts w:ascii="Verdana" w:hAnsi="Verdana"/>
        </w:rPr>
        <w:t xml:space="preserve">are managed corporately via </w:t>
      </w:r>
      <w:r w:rsidR="00D118D8" w:rsidRPr="00930137">
        <w:rPr>
          <w:rFonts w:ascii="Verdana" w:hAnsi="Verdana"/>
        </w:rPr>
        <w:t xml:space="preserve">the Transformation </w:t>
      </w:r>
      <w:r w:rsidR="00721488">
        <w:rPr>
          <w:rFonts w:ascii="Verdana" w:hAnsi="Verdana"/>
        </w:rPr>
        <w:t>P</w:t>
      </w:r>
      <w:r w:rsidR="00D118D8" w:rsidRPr="00930137">
        <w:rPr>
          <w:rFonts w:ascii="Verdana" w:hAnsi="Verdana"/>
        </w:rPr>
        <w:t>rogramme</w:t>
      </w:r>
      <w:r w:rsidR="00721488">
        <w:rPr>
          <w:rFonts w:ascii="Verdana" w:hAnsi="Verdana"/>
        </w:rPr>
        <w:t>; and</w:t>
      </w:r>
    </w:p>
    <w:p w14:paraId="43552F7A" w14:textId="0E461C25" w:rsidR="000D7AAD" w:rsidRPr="00930137" w:rsidRDefault="000D7AAD" w:rsidP="006459DC">
      <w:pPr>
        <w:numPr>
          <w:ilvl w:val="0"/>
          <w:numId w:val="4"/>
        </w:numPr>
        <w:spacing w:line="276" w:lineRule="auto"/>
        <w:ind w:left="1701" w:hanging="567"/>
        <w:rPr>
          <w:rFonts w:ascii="Verdana" w:hAnsi="Verdana"/>
        </w:rPr>
      </w:pPr>
      <w:r w:rsidRPr="00930137">
        <w:rPr>
          <w:rFonts w:ascii="Verdana" w:hAnsi="Verdana"/>
        </w:rPr>
        <w:t xml:space="preserve">Stakeholder views are taken into account via </w:t>
      </w:r>
      <w:r w:rsidR="00E46EBC" w:rsidRPr="00930137">
        <w:rPr>
          <w:rFonts w:ascii="Verdana" w:hAnsi="Verdana"/>
        </w:rPr>
        <w:t xml:space="preserve">Elected </w:t>
      </w:r>
      <w:r w:rsidR="00721488">
        <w:rPr>
          <w:rFonts w:ascii="Verdana" w:hAnsi="Verdana"/>
        </w:rPr>
        <w:t>M</w:t>
      </w:r>
      <w:r w:rsidR="00E46EBC" w:rsidRPr="00930137">
        <w:rPr>
          <w:rFonts w:ascii="Verdana" w:hAnsi="Verdana"/>
        </w:rPr>
        <w:t xml:space="preserve">ember briefings and </w:t>
      </w:r>
      <w:r w:rsidRPr="00930137">
        <w:rPr>
          <w:rFonts w:ascii="Verdana" w:hAnsi="Verdana"/>
        </w:rPr>
        <w:t>the budget survey.</w:t>
      </w:r>
    </w:p>
    <w:p w14:paraId="18F88F53" w14:textId="77777777" w:rsidR="00995916" w:rsidRPr="006A0283" w:rsidRDefault="00995916" w:rsidP="001143A1">
      <w:pPr>
        <w:rPr>
          <w:rFonts w:ascii="Verdana" w:hAnsi="Verdana"/>
        </w:rPr>
      </w:pPr>
    </w:p>
    <w:p w14:paraId="4028031A" w14:textId="45B1679E" w:rsidR="00995916" w:rsidRPr="00E53B12" w:rsidRDefault="00FD099F" w:rsidP="00E53B12">
      <w:pPr>
        <w:numPr>
          <w:ilvl w:val="1"/>
          <w:numId w:val="10"/>
        </w:numPr>
        <w:ind w:left="1134" w:hanging="567"/>
        <w:rPr>
          <w:rFonts w:ascii="Verdana" w:hAnsi="Verdana"/>
        </w:rPr>
      </w:pPr>
      <w:r w:rsidRPr="00FD099F">
        <w:rPr>
          <w:rFonts w:ascii="Verdana" w:hAnsi="Verdana"/>
        </w:rPr>
        <w:t xml:space="preserve">The </w:t>
      </w:r>
      <w:r w:rsidR="000F3DF4">
        <w:rPr>
          <w:rFonts w:ascii="Verdana" w:hAnsi="Verdana"/>
        </w:rPr>
        <w:t>F</w:t>
      </w:r>
      <w:r w:rsidRPr="00FD099F">
        <w:rPr>
          <w:rFonts w:ascii="Verdana" w:hAnsi="Verdana"/>
        </w:rPr>
        <w:t xml:space="preserve">inancial </w:t>
      </w:r>
      <w:r w:rsidR="000F3DF4">
        <w:rPr>
          <w:rFonts w:ascii="Verdana" w:hAnsi="Verdana"/>
        </w:rPr>
        <w:t>P</w:t>
      </w:r>
      <w:r w:rsidRPr="00FD099F">
        <w:rPr>
          <w:rFonts w:ascii="Verdana" w:hAnsi="Verdana"/>
        </w:rPr>
        <w:t>lan seeks to ensure that the Council’s budget is targeted so that it meets the needs of the Council Plan.  As well as dealing with current cost and demand pressures</w:t>
      </w:r>
      <w:r w:rsidR="00721488">
        <w:rPr>
          <w:rFonts w:ascii="Verdana" w:hAnsi="Verdana"/>
        </w:rPr>
        <w:t>,</w:t>
      </w:r>
      <w:r w:rsidRPr="00FD099F">
        <w:rPr>
          <w:rFonts w:ascii="Verdana" w:hAnsi="Verdana"/>
        </w:rPr>
        <w:t xml:space="preserve"> there are a number of different policy issues which also require to be addressed including the need to ensure the budget</w:t>
      </w:r>
      <w:r w:rsidR="00721488">
        <w:rPr>
          <w:rFonts w:ascii="Verdana" w:hAnsi="Verdana"/>
        </w:rPr>
        <w:t xml:space="preserve"> </w:t>
      </w:r>
      <w:r w:rsidRPr="00FD099F">
        <w:rPr>
          <w:rFonts w:ascii="Verdana" w:hAnsi="Verdana"/>
        </w:rPr>
        <w:t xml:space="preserve">- </w:t>
      </w:r>
      <w:r w:rsidRPr="00456BA4">
        <w:rPr>
          <w:rFonts w:ascii="Verdana" w:hAnsi="Verdana"/>
        </w:rPr>
        <w:t>provides the best possible stimulus to the local economy</w:t>
      </w:r>
      <w:r w:rsidR="00721488">
        <w:rPr>
          <w:rFonts w:ascii="Verdana" w:hAnsi="Verdana"/>
        </w:rPr>
        <w:t>;</w:t>
      </w:r>
      <w:r w:rsidRPr="00456BA4">
        <w:rPr>
          <w:rFonts w:ascii="Verdana" w:hAnsi="Verdana"/>
        </w:rPr>
        <w:t xml:space="preserve"> provides adequate resources to respond to the current inflationary pressures being experienced</w:t>
      </w:r>
      <w:r w:rsidR="00721488">
        <w:rPr>
          <w:rFonts w:ascii="Verdana" w:hAnsi="Verdana"/>
        </w:rPr>
        <w:t>;</w:t>
      </w:r>
      <w:r w:rsidRPr="00456BA4">
        <w:rPr>
          <w:rFonts w:ascii="Verdana" w:hAnsi="Verdana"/>
        </w:rPr>
        <w:t xml:space="preserve"> responds appropriately to the wider Climate Emergency declared by the Council in 2020</w:t>
      </w:r>
      <w:r w:rsidR="00721488">
        <w:rPr>
          <w:rFonts w:ascii="Verdana" w:hAnsi="Verdana"/>
        </w:rPr>
        <w:t>;</w:t>
      </w:r>
      <w:r w:rsidRPr="00456BA4">
        <w:rPr>
          <w:rFonts w:ascii="Verdana" w:hAnsi="Verdana"/>
        </w:rPr>
        <w:t xml:space="preserve">  </w:t>
      </w:r>
      <w:r w:rsidR="00721488">
        <w:rPr>
          <w:rFonts w:ascii="Verdana" w:hAnsi="Verdana"/>
        </w:rPr>
        <w:t xml:space="preserve">and </w:t>
      </w:r>
      <w:r w:rsidRPr="00456BA4">
        <w:rPr>
          <w:rFonts w:ascii="Verdana" w:hAnsi="Verdana"/>
        </w:rPr>
        <w:t>looks after those who are most vulnerable in our society and targets resources through early intervention and prevention programmes to reduce future demand for public services.</w:t>
      </w:r>
      <w:r w:rsidRPr="005257EB">
        <w:rPr>
          <w:rFonts w:ascii="Verdana" w:hAnsi="Verdana"/>
        </w:rPr>
        <w:t xml:space="preserve"> </w:t>
      </w:r>
    </w:p>
    <w:p w14:paraId="104B812C" w14:textId="77777777" w:rsidR="00995916" w:rsidRDefault="00995916" w:rsidP="00FD099F">
      <w:pPr>
        <w:ind w:left="1134"/>
        <w:rPr>
          <w:rFonts w:ascii="Verdana" w:hAnsi="Verdana"/>
        </w:rPr>
      </w:pPr>
    </w:p>
    <w:p w14:paraId="1D2EBB97" w14:textId="08B7EEC5" w:rsidR="00A539F5" w:rsidRDefault="00A539F5" w:rsidP="008902F9">
      <w:pPr>
        <w:numPr>
          <w:ilvl w:val="1"/>
          <w:numId w:val="10"/>
        </w:numPr>
        <w:ind w:left="1134" w:hanging="567"/>
        <w:rPr>
          <w:rFonts w:ascii="Verdana" w:hAnsi="Verdana"/>
        </w:rPr>
      </w:pPr>
      <w:r w:rsidRPr="006161E6">
        <w:rPr>
          <w:rFonts w:ascii="Verdana" w:hAnsi="Verdana"/>
        </w:rPr>
        <w:t xml:space="preserve">The recommended high level </w:t>
      </w:r>
      <w:r w:rsidR="00721488">
        <w:rPr>
          <w:rFonts w:ascii="Verdana" w:hAnsi="Verdana"/>
        </w:rPr>
        <w:t>F</w:t>
      </w:r>
      <w:r w:rsidRPr="006161E6">
        <w:rPr>
          <w:rFonts w:ascii="Verdana" w:hAnsi="Verdana"/>
        </w:rPr>
        <w:t xml:space="preserve">inancial </w:t>
      </w:r>
      <w:r w:rsidR="00721488">
        <w:rPr>
          <w:rFonts w:ascii="Verdana" w:hAnsi="Verdana"/>
        </w:rPr>
        <w:t>S</w:t>
      </w:r>
      <w:r w:rsidRPr="006161E6">
        <w:rPr>
          <w:rFonts w:ascii="Verdana" w:hAnsi="Verdana"/>
        </w:rPr>
        <w:t>tr</w:t>
      </w:r>
      <w:r>
        <w:rPr>
          <w:rFonts w:ascii="Verdana" w:hAnsi="Verdana"/>
        </w:rPr>
        <w:t xml:space="preserve">ategy to </w:t>
      </w:r>
      <w:r w:rsidR="006A0283">
        <w:rPr>
          <w:rFonts w:ascii="Verdana" w:hAnsi="Verdana"/>
        </w:rPr>
        <w:t xml:space="preserve">be followed over the </w:t>
      </w:r>
      <w:r w:rsidR="006A0283" w:rsidRPr="000D7AAD">
        <w:rPr>
          <w:rFonts w:ascii="Verdana" w:hAnsi="Verdana"/>
        </w:rPr>
        <w:t>period 202</w:t>
      </w:r>
      <w:r w:rsidR="000D7AAD" w:rsidRPr="000D7AAD">
        <w:rPr>
          <w:rFonts w:ascii="Verdana" w:hAnsi="Verdana"/>
        </w:rPr>
        <w:t>4</w:t>
      </w:r>
      <w:r w:rsidR="006A0283" w:rsidRPr="000D7AAD">
        <w:rPr>
          <w:rFonts w:ascii="Verdana" w:hAnsi="Verdana"/>
        </w:rPr>
        <w:t>/2</w:t>
      </w:r>
      <w:r w:rsidR="000D7AAD" w:rsidRPr="000D7AAD">
        <w:rPr>
          <w:rFonts w:ascii="Verdana" w:hAnsi="Verdana"/>
        </w:rPr>
        <w:t>5</w:t>
      </w:r>
      <w:r w:rsidR="006A0283" w:rsidRPr="000D7AAD">
        <w:rPr>
          <w:rFonts w:ascii="Verdana" w:hAnsi="Verdana"/>
        </w:rPr>
        <w:t xml:space="preserve"> – 202</w:t>
      </w:r>
      <w:r w:rsidR="000D7AAD" w:rsidRPr="000D7AAD">
        <w:rPr>
          <w:rFonts w:ascii="Verdana" w:hAnsi="Verdana"/>
        </w:rPr>
        <w:t>8</w:t>
      </w:r>
      <w:r w:rsidR="006A0283" w:rsidRPr="000D7AAD">
        <w:rPr>
          <w:rFonts w:ascii="Verdana" w:hAnsi="Verdana"/>
        </w:rPr>
        <w:t>/2</w:t>
      </w:r>
      <w:r w:rsidR="000D7AAD" w:rsidRPr="000D7AAD">
        <w:rPr>
          <w:rFonts w:ascii="Verdana" w:hAnsi="Verdana"/>
        </w:rPr>
        <w:t>9</w:t>
      </w:r>
      <w:r w:rsidRPr="000D7AAD">
        <w:rPr>
          <w:rFonts w:ascii="Verdana" w:hAnsi="Verdana"/>
        </w:rPr>
        <w:t xml:space="preserve"> is</w:t>
      </w:r>
      <w:r w:rsidRPr="006161E6">
        <w:rPr>
          <w:rFonts w:ascii="Verdana" w:hAnsi="Verdana"/>
        </w:rPr>
        <w:t xml:space="preserve"> therefore</w:t>
      </w:r>
      <w:r w:rsidR="0022347D">
        <w:rPr>
          <w:rFonts w:ascii="Verdana" w:hAnsi="Verdana"/>
        </w:rPr>
        <w:t>,</w:t>
      </w:r>
      <w:r w:rsidRPr="006161E6">
        <w:rPr>
          <w:rFonts w:ascii="Verdana" w:hAnsi="Verdana"/>
        </w:rPr>
        <w:t xml:space="preserve"> to:-</w:t>
      </w:r>
    </w:p>
    <w:p w14:paraId="24DF450E" w14:textId="77777777" w:rsidR="00A539F5" w:rsidRPr="00A539F5" w:rsidRDefault="00A539F5" w:rsidP="00A539F5">
      <w:pPr>
        <w:rPr>
          <w:rFonts w:ascii="Verdana" w:hAnsi="Verdana"/>
        </w:rPr>
      </w:pPr>
    </w:p>
    <w:p w14:paraId="24690294" w14:textId="76007B6B" w:rsidR="00A539F5" w:rsidRPr="000D7AAD" w:rsidRDefault="00C52742" w:rsidP="00AB27DA">
      <w:pPr>
        <w:numPr>
          <w:ilvl w:val="0"/>
          <w:numId w:val="5"/>
        </w:numPr>
        <w:rPr>
          <w:rFonts w:ascii="Verdana" w:hAnsi="Verdana"/>
          <w:b/>
        </w:rPr>
      </w:pPr>
      <w:r w:rsidRPr="00A36E3D">
        <w:rPr>
          <w:rFonts w:ascii="Verdana" w:hAnsi="Verdana"/>
          <w:b/>
        </w:rPr>
        <w:t>e</w:t>
      </w:r>
      <w:r w:rsidR="00C54FBF" w:rsidRPr="00A36E3D">
        <w:rPr>
          <w:rFonts w:ascii="Verdana" w:hAnsi="Verdana"/>
          <w:b/>
        </w:rPr>
        <w:t xml:space="preserve">nsure the </w:t>
      </w:r>
      <w:r w:rsidR="00DA31A6" w:rsidRPr="00A36E3D">
        <w:rPr>
          <w:rFonts w:ascii="Verdana" w:hAnsi="Verdana"/>
          <w:b/>
        </w:rPr>
        <w:t>long-term</w:t>
      </w:r>
      <w:r w:rsidR="00C54FBF" w:rsidRPr="00A36E3D">
        <w:rPr>
          <w:rFonts w:ascii="Verdana" w:hAnsi="Verdana"/>
          <w:b/>
        </w:rPr>
        <w:t xml:space="preserve"> stability of the </w:t>
      </w:r>
      <w:r w:rsidR="00246733" w:rsidRPr="00A36E3D">
        <w:rPr>
          <w:rFonts w:ascii="Verdana" w:hAnsi="Verdana"/>
          <w:b/>
        </w:rPr>
        <w:t>Council</w:t>
      </w:r>
      <w:r w:rsidR="00C54FBF" w:rsidRPr="00A36E3D">
        <w:rPr>
          <w:rFonts w:ascii="Verdana" w:hAnsi="Verdana"/>
          <w:b/>
        </w:rPr>
        <w:t xml:space="preserve"> by </w:t>
      </w:r>
      <w:r w:rsidR="00A539F5" w:rsidRPr="00A36E3D">
        <w:rPr>
          <w:rFonts w:ascii="Verdana" w:hAnsi="Verdana"/>
          <w:b/>
        </w:rPr>
        <w:t>set</w:t>
      </w:r>
      <w:r w:rsidR="00C54FBF" w:rsidRPr="00A36E3D">
        <w:rPr>
          <w:rFonts w:ascii="Verdana" w:hAnsi="Verdana"/>
          <w:b/>
        </w:rPr>
        <w:t>ting</w:t>
      </w:r>
      <w:r w:rsidR="00A539F5" w:rsidRPr="00A36E3D">
        <w:rPr>
          <w:rFonts w:ascii="Verdana" w:hAnsi="Verdana"/>
          <w:b/>
        </w:rPr>
        <w:t xml:space="preserve"> a </w:t>
      </w:r>
      <w:r w:rsidR="00A539F5" w:rsidRPr="000D7AAD">
        <w:rPr>
          <w:rFonts w:ascii="Verdana" w:hAnsi="Verdana"/>
          <w:b/>
        </w:rPr>
        <w:t>prudent, sustainable budget in line with available resources;</w:t>
      </w:r>
    </w:p>
    <w:p w14:paraId="6B94AF18" w14:textId="44C1C84A" w:rsidR="00C54FBF" w:rsidRPr="000D7AAD" w:rsidRDefault="00A539F5" w:rsidP="00AB27DA">
      <w:pPr>
        <w:numPr>
          <w:ilvl w:val="0"/>
          <w:numId w:val="5"/>
        </w:numPr>
        <w:rPr>
          <w:rFonts w:ascii="Verdana" w:hAnsi="Verdana"/>
          <w:b/>
        </w:rPr>
      </w:pPr>
      <w:r w:rsidRPr="000D7AAD">
        <w:rPr>
          <w:rFonts w:ascii="Verdana" w:hAnsi="Verdana"/>
          <w:b/>
        </w:rPr>
        <w:t>continue to invest in</w:t>
      </w:r>
      <w:r w:rsidR="000D7AAD" w:rsidRPr="000D7AAD">
        <w:rPr>
          <w:rFonts w:ascii="Verdana" w:hAnsi="Verdana"/>
          <w:b/>
        </w:rPr>
        <w:t xml:space="preserve"> the approved</w:t>
      </w:r>
      <w:r w:rsidRPr="000D7AAD">
        <w:rPr>
          <w:rFonts w:ascii="Verdana" w:hAnsi="Verdana"/>
          <w:b/>
        </w:rPr>
        <w:t xml:space="preserve"> </w:t>
      </w:r>
      <w:r w:rsidR="003225CA" w:rsidRPr="000D7AAD">
        <w:rPr>
          <w:rFonts w:ascii="Verdana" w:hAnsi="Verdana"/>
          <w:b/>
        </w:rPr>
        <w:t xml:space="preserve">education, </w:t>
      </w:r>
      <w:r w:rsidR="00C54FBF" w:rsidRPr="000D7AAD">
        <w:rPr>
          <w:rFonts w:ascii="Verdana" w:hAnsi="Verdana"/>
          <w:b/>
        </w:rPr>
        <w:t xml:space="preserve">community </w:t>
      </w:r>
      <w:r w:rsidRPr="000D7AAD">
        <w:rPr>
          <w:rFonts w:ascii="Verdana" w:hAnsi="Verdana"/>
          <w:b/>
        </w:rPr>
        <w:t xml:space="preserve">infrastructure </w:t>
      </w:r>
      <w:r w:rsidR="003225CA" w:rsidRPr="000D7AAD">
        <w:rPr>
          <w:rFonts w:ascii="Verdana" w:hAnsi="Verdana"/>
          <w:b/>
        </w:rPr>
        <w:t xml:space="preserve">and economic growth </w:t>
      </w:r>
      <w:r w:rsidR="000D7AAD" w:rsidRPr="000D7AAD">
        <w:rPr>
          <w:rFonts w:ascii="Verdana" w:hAnsi="Verdana"/>
          <w:b/>
        </w:rPr>
        <w:t xml:space="preserve">projects </w:t>
      </w:r>
      <w:r w:rsidRPr="000D7AAD">
        <w:rPr>
          <w:rFonts w:ascii="Verdana" w:hAnsi="Verdana"/>
          <w:b/>
        </w:rPr>
        <w:t xml:space="preserve">that will raise </w:t>
      </w:r>
      <w:r w:rsidRPr="000D7AAD">
        <w:rPr>
          <w:rFonts w:ascii="Verdana" w:hAnsi="Verdana"/>
          <w:b/>
        </w:rPr>
        <w:lastRenderedPageBreak/>
        <w:t xml:space="preserve">standards, </w:t>
      </w:r>
      <w:r w:rsidR="003225CA" w:rsidRPr="000D7AAD">
        <w:rPr>
          <w:rFonts w:ascii="Verdana" w:hAnsi="Verdana"/>
          <w:b/>
        </w:rPr>
        <w:t xml:space="preserve">address the threat of high unemployment levels where possible, </w:t>
      </w:r>
      <w:r w:rsidRPr="000D7AAD">
        <w:rPr>
          <w:rFonts w:ascii="Verdana" w:hAnsi="Verdana"/>
          <w:b/>
        </w:rPr>
        <w:t>improve quality of life for local</w:t>
      </w:r>
      <w:r w:rsidR="00C52742" w:rsidRPr="000D7AAD">
        <w:rPr>
          <w:rFonts w:ascii="Verdana" w:hAnsi="Verdana"/>
          <w:b/>
        </w:rPr>
        <w:t xml:space="preserve"> people </w:t>
      </w:r>
      <w:r w:rsidR="00C54FBF" w:rsidRPr="000D7AAD">
        <w:rPr>
          <w:rFonts w:ascii="Verdana" w:hAnsi="Verdana"/>
          <w:b/>
        </w:rPr>
        <w:t xml:space="preserve">and </w:t>
      </w:r>
      <w:r w:rsidR="00C52742" w:rsidRPr="000D7AAD">
        <w:rPr>
          <w:rFonts w:ascii="Verdana" w:hAnsi="Verdana"/>
          <w:b/>
        </w:rPr>
        <w:t>encourage active</w:t>
      </w:r>
      <w:r w:rsidR="00C54FBF" w:rsidRPr="000D7AAD">
        <w:rPr>
          <w:rFonts w:ascii="Verdana" w:hAnsi="Verdana"/>
          <w:b/>
        </w:rPr>
        <w:t>, healthy lifestyles;</w:t>
      </w:r>
    </w:p>
    <w:p w14:paraId="420E28ED" w14:textId="77777777" w:rsidR="00A539F5" w:rsidRPr="00A36E3D" w:rsidRDefault="00C54FBF" w:rsidP="00AB27DA">
      <w:pPr>
        <w:numPr>
          <w:ilvl w:val="0"/>
          <w:numId w:val="5"/>
        </w:numPr>
        <w:rPr>
          <w:rFonts w:ascii="Verdana" w:hAnsi="Verdana"/>
          <w:b/>
        </w:rPr>
      </w:pPr>
      <w:r w:rsidRPr="00A36E3D">
        <w:rPr>
          <w:rFonts w:ascii="Verdana" w:hAnsi="Verdana"/>
          <w:b/>
        </w:rPr>
        <w:t xml:space="preserve">work with community planning partners to invest in early intervention and prevention programmes to </w:t>
      </w:r>
      <w:r w:rsidR="00A539F5" w:rsidRPr="00A36E3D">
        <w:rPr>
          <w:rFonts w:ascii="Verdana" w:hAnsi="Verdana"/>
          <w:b/>
        </w:rPr>
        <w:t>reduce future demand for services;</w:t>
      </w:r>
    </w:p>
    <w:p w14:paraId="3444D3A8" w14:textId="77777777" w:rsidR="00C54FBF" w:rsidRPr="00A36E3D" w:rsidRDefault="00C54FBF" w:rsidP="00AB27DA">
      <w:pPr>
        <w:numPr>
          <w:ilvl w:val="0"/>
          <w:numId w:val="5"/>
        </w:numPr>
        <w:rPr>
          <w:rFonts w:ascii="Verdana" w:hAnsi="Verdana"/>
          <w:b/>
        </w:rPr>
      </w:pPr>
      <w:r w:rsidRPr="00A36E3D">
        <w:rPr>
          <w:rFonts w:ascii="Verdana" w:hAnsi="Verdana"/>
          <w:b/>
        </w:rPr>
        <w:t xml:space="preserve">continue to work with local RSL’s deploying the affordable housing budget to provide safe warm homes through the Strategic Housing Improvement Plan;  </w:t>
      </w:r>
    </w:p>
    <w:p w14:paraId="4F78996A" w14:textId="024EF098" w:rsidR="00C52742" w:rsidRPr="00420A40" w:rsidRDefault="00A539F5" w:rsidP="00AB27DA">
      <w:pPr>
        <w:numPr>
          <w:ilvl w:val="0"/>
          <w:numId w:val="5"/>
        </w:numPr>
        <w:rPr>
          <w:rFonts w:ascii="Verdana" w:hAnsi="Verdana"/>
          <w:b/>
        </w:rPr>
      </w:pPr>
      <w:r w:rsidRPr="00A36E3D">
        <w:rPr>
          <w:rFonts w:ascii="Verdana" w:hAnsi="Verdana"/>
          <w:b/>
        </w:rPr>
        <w:t xml:space="preserve">set a </w:t>
      </w:r>
      <w:r w:rsidR="00092B6A">
        <w:rPr>
          <w:rFonts w:ascii="Verdana" w:hAnsi="Verdana"/>
          <w:b/>
        </w:rPr>
        <w:t>C</w:t>
      </w:r>
      <w:r w:rsidRPr="00A36E3D">
        <w:rPr>
          <w:rFonts w:ascii="Verdana" w:hAnsi="Verdana"/>
          <w:b/>
        </w:rPr>
        <w:t xml:space="preserve">apital </w:t>
      </w:r>
      <w:r w:rsidR="00092B6A">
        <w:rPr>
          <w:rFonts w:ascii="Verdana" w:hAnsi="Verdana"/>
          <w:b/>
        </w:rPr>
        <w:t>P</w:t>
      </w:r>
      <w:r w:rsidRPr="00A36E3D">
        <w:rPr>
          <w:rFonts w:ascii="Verdana" w:hAnsi="Verdana"/>
          <w:b/>
        </w:rPr>
        <w:t>rogramme which keeps debt within prudent</w:t>
      </w:r>
      <w:r w:rsidR="002C0AB7">
        <w:rPr>
          <w:rFonts w:ascii="Verdana" w:hAnsi="Verdana"/>
          <w:b/>
        </w:rPr>
        <w:t>,</w:t>
      </w:r>
      <w:r w:rsidRPr="00A36E3D">
        <w:rPr>
          <w:rFonts w:ascii="Verdana" w:hAnsi="Verdana"/>
          <w:b/>
        </w:rPr>
        <w:t xml:space="preserve"> </w:t>
      </w:r>
      <w:r w:rsidRPr="00420A40">
        <w:rPr>
          <w:rFonts w:ascii="Verdana" w:hAnsi="Verdana"/>
          <w:b/>
        </w:rPr>
        <w:t xml:space="preserve">sustainable limits as set out in the </w:t>
      </w:r>
      <w:r w:rsidR="00712430">
        <w:rPr>
          <w:rFonts w:ascii="Verdana" w:hAnsi="Verdana"/>
          <w:b/>
        </w:rPr>
        <w:t>T</w:t>
      </w:r>
      <w:r w:rsidRPr="00420A40">
        <w:rPr>
          <w:rFonts w:ascii="Verdana" w:hAnsi="Verdana"/>
          <w:b/>
        </w:rPr>
        <w:t xml:space="preserve">reasury </w:t>
      </w:r>
      <w:r w:rsidR="005E6E07">
        <w:rPr>
          <w:rFonts w:ascii="Verdana" w:hAnsi="Verdana"/>
          <w:b/>
        </w:rPr>
        <w:t xml:space="preserve">Management </w:t>
      </w:r>
      <w:r w:rsidR="00712430">
        <w:rPr>
          <w:rFonts w:ascii="Verdana" w:hAnsi="Verdana"/>
          <w:b/>
        </w:rPr>
        <w:t>S</w:t>
      </w:r>
      <w:r w:rsidRPr="00420A40">
        <w:rPr>
          <w:rFonts w:ascii="Verdana" w:hAnsi="Verdana"/>
          <w:b/>
        </w:rPr>
        <w:t>trategy;</w:t>
      </w:r>
    </w:p>
    <w:p w14:paraId="60A258FD" w14:textId="07390413" w:rsidR="00A539F5" w:rsidRPr="00420A40" w:rsidRDefault="00C52742" w:rsidP="00AB27DA">
      <w:pPr>
        <w:numPr>
          <w:ilvl w:val="0"/>
          <w:numId w:val="5"/>
        </w:numPr>
        <w:rPr>
          <w:rFonts w:ascii="Verdana" w:hAnsi="Verdana"/>
          <w:b/>
        </w:rPr>
      </w:pPr>
      <w:r w:rsidRPr="00420A40">
        <w:rPr>
          <w:rFonts w:ascii="Verdana" w:hAnsi="Verdana"/>
          <w:b/>
        </w:rPr>
        <w:t>p</w:t>
      </w:r>
      <w:r w:rsidR="00A539F5" w:rsidRPr="00420A40">
        <w:rPr>
          <w:rFonts w:ascii="Verdana" w:hAnsi="Verdana"/>
          <w:b/>
        </w:rPr>
        <w:t>rovide for loans charges of £</w:t>
      </w:r>
      <w:r w:rsidR="00420A40" w:rsidRPr="00420A40">
        <w:rPr>
          <w:rFonts w:ascii="Verdana" w:hAnsi="Verdana"/>
          <w:b/>
        </w:rPr>
        <w:t>18.2</w:t>
      </w:r>
      <w:r w:rsidR="008807CB" w:rsidRPr="00420A40">
        <w:rPr>
          <w:rFonts w:ascii="Verdana" w:hAnsi="Verdana"/>
          <w:b/>
        </w:rPr>
        <w:t xml:space="preserve">m </w:t>
      </w:r>
      <w:r w:rsidR="006A0283" w:rsidRPr="00420A40">
        <w:rPr>
          <w:rFonts w:ascii="Verdana" w:hAnsi="Verdana"/>
          <w:b/>
        </w:rPr>
        <w:t>(202</w:t>
      </w:r>
      <w:r w:rsidR="00420A40" w:rsidRPr="00420A40">
        <w:rPr>
          <w:rFonts w:ascii="Verdana" w:hAnsi="Verdana"/>
          <w:b/>
        </w:rPr>
        <w:t>4</w:t>
      </w:r>
      <w:r w:rsidR="006A0283" w:rsidRPr="00420A40">
        <w:rPr>
          <w:rFonts w:ascii="Verdana" w:hAnsi="Verdana"/>
          <w:b/>
        </w:rPr>
        <w:t>/2</w:t>
      </w:r>
      <w:r w:rsidR="00420A40" w:rsidRPr="00420A40">
        <w:rPr>
          <w:rFonts w:ascii="Verdana" w:hAnsi="Verdana"/>
          <w:b/>
        </w:rPr>
        <w:t>5</w:t>
      </w:r>
      <w:r w:rsidR="00A539F5" w:rsidRPr="00420A40">
        <w:rPr>
          <w:rFonts w:ascii="Verdana" w:hAnsi="Verdana"/>
          <w:b/>
        </w:rPr>
        <w:t xml:space="preserve">) to finance capital investment recognising the </w:t>
      </w:r>
      <w:r w:rsidR="00DA31A6" w:rsidRPr="00420A40">
        <w:rPr>
          <w:rFonts w:ascii="Verdana" w:hAnsi="Verdana"/>
          <w:b/>
        </w:rPr>
        <w:t>long-term</w:t>
      </w:r>
      <w:r w:rsidR="00A539F5" w:rsidRPr="00420A40">
        <w:rPr>
          <w:rFonts w:ascii="Verdana" w:hAnsi="Verdana"/>
          <w:b/>
        </w:rPr>
        <w:t xml:space="preserve"> implications of capital borrowing.  This figure is planned to rise in future years reflecting the Council’s capital plans;</w:t>
      </w:r>
    </w:p>
    <w:p w14:paraId="4F3CC7D0" w14:textId="592D8683" w:rsidR="00A539F5" w:rsidRPr="00420A40" w:rsidRDefault="00A539F5" w:rsidP="00AB27DA">
      <w:pPr>
        <w:numPr>
          <w:ilvl w:val="0"/>
          <w:numId w:val="5"/>
        </w:numPr>
        <w:rPr>
          <w:rFonts w:ascii="Verdana" w:hAnsi="Verdana"/>
          <w:b/>
        </w:rPr>
      </w:pPr>
      <w:r w:rsidRPr="00420A40">
        <w:rPr>
          <w:rFonts w:ascii="Verdana" w:hAnsi="Verdana"/>
          <w:b/>
        </w:rPr>
        <w:t>maximise income while keeping fees charged to service users at an affordable level;</w:t>
      </w:r>
    </w:p>
    <w:p w14:paraId="69CA5199" w14:textId="5535625D" w:rsidR="00A539F5" w:rsidRPr="00420A40" w:rsidRDefault="000F56FC" w:rsidP="00AB27DA">
      <w:pPr>
        <w:numPr>
          <w:ilvl w:val="0"/>
          <w:numId w:val="5"/>
        </w:numPr>
        <w:rPr>
          <w:rFonts w:ascii="Verdana" w:hAnsi="Verdana"/>
          <w:b/>
        </w:rPr>
      </w:pPr>
      <w:r>
        <w:rPr>
          <w:rFonts w:ascii="Verdana" w:hAnsi="Verdana"/>
          <w:b/>
        </w:rPr>
        <w:t xml:space="preserve">support the </w:t>
      </w:r>
      <w:r w:rsidR="00CD59B1">
        <w:rPr>
          <w:rFonts w:ascii="Verdana" w:hAnsi="Verdana"/>
          <w:b/>
        </w:rPr>
        <w:t>t</w:t>
      </w:r>
      <w:r>
        <w:rPr>
          <w:rFonts w:ascii="Verdana" w:hAnsi="Verdana"/>
          <w:b/>
        </w:rPr>
        <w:t>ransformation of</w:t>
      </w:r>
      <w:r w:rsidR="000D7AAD" w:rsidRPr="00420A40">
        <w:rPr>
          <w:rFonts w:ascii="Verdana" w:hAnsi="Verdana"/>
          <w:b/>
        </w:rPr>
        <w:t xml:space="preserve"> services</w:t>
      </w:r>
      <w:r>
        <w:rPr>
          <w:rFonts w:ascii="Verdana" w:hAnsi="Verdana"/>
          <w:b/>
        </w:rPr>
        <w:t xml:space="preserve"> and reviews </w:t>
      </w:r>
      <w:r w:rsidR="00CE2E8A">
        <w:rPr>
          <w:rFonts w:ascii="Verdana" w:hAnsi="Verdana"/>
          <w:b/>
        </w:rPr>
        <w:t>level and method by which services are delivered</w:t>
      </w:r>
      <w:r w:rsidR="000D7AAD" w:rsidRPr="00420A40">
        <w:rPr>
          <w:rFonts w:ascii="Verdana" w:hAnsi="Verdana"/>
          <w:b/>
        </w:rPr>
        <w:t xml:space="preserve"> to ensure the Council remains financially sustainable</w:t>
      </w:r>
      <w:r w:rsidR="000C287F">
        <w:rPr>
          <w:rFonts w:ascii="Verdana" w:hAnsi="Verdana"/>
          <w:b/>
        </w:rPr>
        <w:t>;</w:t>
      </w:r>
    </w:p>
    <w:p w14:paraId="11A94F06" w14:textId="301B7EC2" w:rsidR="00A539F5" w:rsidRPr="00CE2E8A" w:rsidRDefault="00067CCC" w:rsidP="00AB27DA">
      <w:pPr>
        <w:numPr>
          <w:ilvl w:val="0"/>
          <w:numId w:val="5"/>
        </w:numPr>
        <w:rPr>
          <w:rFonts w:ascii="Verdana" w:hAnsi="Verdana"/>
          <w:b/>
        </w:rPr>
      </w:pPr>
      <w:r w:rsidRPr="00CE2E8A">
        <w:rPr>
          <w:rFonts w:ascii="Verdana" w:hAnsi="Verdana"/>
          <w:b/>
        </w:rPr>
        <w:t xml:space="preserve">to </w:t>
      </w:r>
      <w:r w:rsidR="00D90A8E" w:rsidRPr="00CE2E8A">
        <w:rPr>
          <w:rFonts w:ascii="Verdana" w:hAnsi="Verdana"/>
          <w:b/>
        </w:rPr>
        <w:t>recognis</w:t>
      </w:r>
      <w:r w:rsidR="00F32BD7" w:rsidRPr="00CE2E8A">
        <w:rPr>
          <w:rFonts w:ascii="Verdana" w:hAnsi="Verdana"/>
          <w:b/>
        </w:rPr>
        <w:t>e</w:t>
      </w:r>
      <w:r w:rsidR="00A539F5" w:rsidRPr="00CE2E8A">
        <w:rPr>
          <w:rFonts w:ascii="Verdana" w:hAnsi="Verdana"/>
          <w:b/>
        </w:rPr>
        <w:t xml:space="preserve"> the challenges faced by the organisation</w:t>
      </w:r>
      <w:r w:rsidR="000C287F">
        <w:rPr>
          <w:rFonts w:ascii="Verdana" w:hAnsi="Verdana"/>
          <w:b/>
        </w:rPr>
        <w:t xml:space="preserve"> and</w:t>
      </w:r>
      <w:r w:rsidR="007150D4" w:rsidRPr="00CE2E8A">
        <w:rPr>
          <w:rFonts w:ascii="Verdana" w:hAnsi="Verdana"/>
          <w:b/>
        </w:rPr>
        <w:t xml:space="preserve"> </w:t>
      </w:r>
      <w:r w:rsidR="00A539F5" w:rsidRPr="00CE2E8A">
        <w:rPr>
          <w:rFonts w:ascii="Verdana" w:hAnsi="Verdana"/>
          <w:b/>
        </w:rPr>
        <w:t xml:space="preserve">maintain unallocated reserves of </w:t>
      </w:r>
      <w:r w:rsidR="000D7AAD" w:rsidRPr="00CE2E8A">
        <w:rPr>
          <w:rFonts w:ascii="Verdana" w:hAnsi="Verdana"/>
          <w:b/>
        </w:rPr>
        <w:t>c</w:t>
      </w:r>
      <w:r w:rsidR="00A539F5" w:rsidRPr="00CE2E8A">
        <w:rPr>
          <w:rFonts w:ascii="Verdana" w:hAnsi="Verdana"/>
          <w:b/>
        </w:rPr>
        <w:t>£</w:t>
      </w:r>
      <w:r w:rsidR="000D7AAD" w:rsidRPr="00CE2E8A">
        <w:rPr>
          <w:rFonts w:ascii="Verdana" w:hAnsi="Verdana"/>
          <w:b/>
        </w:rPr>
        <w:t>7.</w:t>
      </w:r>
      <w:r w:rsidR="00916442">
        <w:rPr>
          <w:rFonts w:ascii="Verdana" w:hAnsi="Verdana"/>
          <w:b/>
        </w:rPr>
        <w:t>4</w:t>
      </w:r>
      <w:r w:rsidR="000D7AAD" w:rsidRPr="00CE2E8A">
        <w:rPr>
          <w:rFonts w:ascii="Verdana" w:hAnsi="Verdana"/>
          <w:b/>
        </w:rPr>
        <w:t>m</w:t>
      </w:r>
      <w:r w:rsidR="00AF2E0A" w:rsidRPr="00CE2E8A">
        <w:rPr>
          <w:rFonts w:ascii="Verdana" w:hAnsi="Verdana"/>
          <w:b/>
        </w:rPr>
        <w:t xml:space="preserve">, </w:t>
      </w:r>
      <w:r w:rsidR="008A03A1">
        <w:rPr>
          <w:rFonts w:ascii="Verdana" w:hAnsi="Verdana"/>
          <w:b/>
        </w:rPr>
        <w:t>2</w:t>
      </w:r>
      <w:r w:rsidR="00AF2E0A" w:rsidRPr="00CE2E8A">
        <w:rPr>
          <w:rFonts w:ascii="Verdana" w:hAnsi="Verdana"/>
          <w:b/>
        </w:rPr>
        <w:t>% of net revenue expenditure</w:t>
      </w:r>
      <w:r w:rsidR="007B2FD5" w:rsidRPr="00CE2E8A">
        <w:rPr>
          <w:rFonts w:ascii="Verdana" w:hAnsi="Verdana"/>
          <w:b/>
        </w:rPr>
        <w:t xml:space="preserve"> for 202</w:t>
      </w:r>
      <w:r w:rsidR="000D7AAD" w:rsidRPr="00CE2E8A">
        <w:rPr>
          <w:rFonts w:ascii="Verdana" w:hAnsi="Verdana"/>
          <w:b/>
        </w:rPr>
        <w:t>4</w:t>
      </w:r>
      <w:r w:rsidR="007B2FD5" w:rsidRPr="00CE2E8A">
        <w:rPr>
          <w:rFonts w:ascii="Verdana" w:hAnsi="Verdana"/>
          <w:b/>
        </w:rPr>
        <w:t>/2</w:t>
      </w:r>
      <w:r w:rsidR="000D7AAD" w:rsidRPr="00CE2E8A">
        <w:rPr>
          <w:rFonts w:ascii="Verdana" w:hAnsi="Verdana"/>
          <w:b/>
        </w:rPr>
        <w:t>5</w:t>
      </w:r>
      <w:r w:rsidR="000C287F">
        <w:rPr>
          <w:rFonts w:ascii="Verdana" w:hAnsi="Verdana"/>
          <w:b/>
        </w:rPr>
        <w:t xml:space="preserve">, </w:t>
      </w:r>
      <w:r w:rsidR="00A539F5" w:rsidRPr="00CE2E8A">
        <w:rPr>
          <w:rFonts w:ascii="Verdana" w:hAnsi="Verdana"/>
          <w:b/>
        </w:rPr>
        <w:t>as outlined in section 5 below</w:t>
      </w:r>
      <w:r w:rsidR="000C287F">
        <w:rPr>
          <w:rFonts w:ascii="Verdana" w:hAnsi="Verdana"/>
          <w:b/>
        </w:rPr>
        <w:t>,</w:t>
      </w:r>
      <w:r w:rsidR="00A539F5" w:rsidRPr="00CE2E8A">
        <w:rPr>
          <w:rFonts w:ascii="Verdana" w:hAnsi="Verdana"/>
          <w:b/>
        </w:rPr>
        <w:t xml:space="preserve"> and in line with the assessed risk register in </w:t>
      </w:r>
      <w:r w:rsidR="00246733" w:rsidRPr="00CE2E8A">
        <w:rPr>
          <w:rFonts w:ascii="Verdana" w:hAnsi="Verdana"/>
          <w:b/>
        </w:rPr>
        <w:t>A</w:t>
      </w:r>
      <w:r w:rsidR="00A539F5" w:rsidRPr="00CE2E8A">
        <w:rPr>
          <w:rFonts w:ascii="Verdana" w:hAnsi="Verdana"/>
          <w:b/>
        </w:rPr>
        <w:t>ppendix 1.</w:t>
      </w:r>
    </w:p>
    <w:p w14:paraId="5F6588B7" w14:textId="51195FF6" w:rsidR="000D15CD" w:rsidRDefault="000C287F" w:rsidP="00AB27DA">
      <w:pPr>
        <w:numPr>
          <w:ilvl w:val="0"/>
          <w:numId w:val="5"/>
        </w:numPr>
        <w:rPr>
          <w:rFonts w:ascii="Verdana" w:hAnsi="Verdana"/>
          <w:b/>
        </w:rPr>
      </w:pPr>
      <w:r>
        <w:rPr>
          <w:rFonts w:ascii="Verdana" w:hAnsi="Verdana"/>
          <w:b/>
        </w:rPr>
        <w:t>u</w:t>
      </w:r>
      <w:r w:rsidR="00CE2E8A">
        <w:rPr>
          <w:rFonts w:ascii="Verdana" w:hAnsi="Verdana"/>
          <w:b/>
        </w:rPr>
        <w:t>se any additional Scottish Government funding</w:t>
      </w:r>
      <w:r w:rsidR="00DD2977">
        <w:rPr>
          <w:rFonts w:ascii="Verdana" w:hAnsi="Verdana"/>
          <w:b/>
        </w:rPr>
        <w:t>,</w:t>
      </w:r>
      <w:r w:rsidR="00CE2E8A">
        <w:rPr>
          <w:rFonts w:ascii="Verdana" w:hAnsi="Verdana"/>
          <w:b/>
        </w:rPr>
        <w:t xml:space="preserve"> confirmed after the </w:t>
      </w:r>
      <w:r w:rsidR="00353274">
        <w:rPr>
          <w:rFonts w:ascii="Verdana" w:hAnsi="Verdana"/>
          <w:b/>
        </w:rPr>
        <w:t>F</w:t>
      </w:r>
      <w:r w:rsidR="00CE2E8A">
        <w:rPr>
          <w:rFonts w:ascii="Verdana" w:hAnsi="Verdana"/>
          <w:b/>
        </w:rPr>
        <w:t>inancial Plan is approved</w:t>
      </w:r>
      <w:r w:rsidR="00DD2977">
        <w:rPr>
          <w:rFonts w:ascii="Verdana" w:hAnsi="Verdana"/>
          <w:b/>
        </w:rPr>
        <w:t>,</w:t>
      </w:r>
      <w:r w:rsidR="00CE2E8A">
        <w:rPr>
          <w:rFonts w:ascii="Verdana" w:hAnsi="Verdana"/>
          <w:b/>
        </w:rPr>
        <w:t xml:space="preserve"> to </w:t>
      </w:r>
      <w:r w:rsidR="00DC6FAC">
        <w:rPr>
          <w:rFonts w:ascii="Verdana" w:hAnsi="Verdana"/>
          <w:b/>
        </w:rPr>
        <w:t xml:space="preserve">partly </w:t>
      </w:r>
      <w:r w:rsidR="00CE2E8A">
        <w:rPr>
          <w:rFonts w:ascii="Verdana" w:hAnsi="Verdana"/>
          <w:b/>
        </w:rPr>
        <w:t xml:space="preserve">replenish the </w:t>
      </w:r>
      <w:r w:rsidR="002E03FF">
        <w:rPr>
          <w:rFonts w:ascii="Verdana" w:hAnsi="Verdana"/>
          <w:b/>
        </w:rPr>
        <w:t>R</w:t>
      </w:r>
      <w:r w:rsidR="00353274">
        <w:rPr>
          <w:rFonts w:ascii="Verdana" w:hAnsi="Verdana"/>
          <w:b/>
        </w:rPr>
        <w:t>eserves</w:t>
      </w:r>
      <w:r w:rsidR="00CE2E8A">
        <w:rPr>
          <w:rFonts w:ascii="Verdana" w:hAnsi="Verdana"/>
          <w:b/>
        </w:rPr>
        <w:t xml:space="preserve"> used to balance the </w:t>
      </w:r>
      <w:r w:rsidR="00353274">
        <w:rPr>
          <w:rFonts w:ascii="Verdana" w:hAnsi="Verdana"/>
          <w:b/>
        </w:rPr>
        <w:t>Financial</w:t>
      </w:r>
      <w:r w:rsidR="00CE2E8A">
        <w:rPr>
          <w:rFonts w:ascii="Verdana" w:hAnsi="Verdana"/>
          <w:b/>
        </w:rPr>
        <w:t xml:space="preserve"> </w:t>
      </w:r>
      <w:r w:rsidR="00353274">
        <w:rPr>
          <w:rFonts w:ascii="Verdana" w:hAnsi="Verdana"/>
          <w:b/>
        </w:rPr>
        <w:t>Plan</w:t>
      </w:r>
      <w:r w:rsidR="00CE2E8A">
        <w:rPr>
          <w:rFonts w:ascii="Verdana" w:hAnsi="Verdana"/>
          <w:b/>
        </w:rPr>
        <w:t xml:space="preserve"> </w:t>
      </w:r>
      <w:r w:rsidR="00353274">
        <w:rPr>
          <w:rFonts w:ascii="Verdana" w:hAnsi="Verdana"/>
          <w:b/>
        </w:rPr>
        <w:t>in</w:t>
      </w:r>
      <w:r w:rsidR="00CE2E8A">
        <w:rPr>
          <w:rFonts w:ascii="Verdana" w:hAnsi="Verdana"/>
          <w:b/>
        </w:rPr>
        <w:t xml:space="preserve"> 2024/25.</w:t>
      </w:r>
    </w:p>
    <w:p w14:paraId="329D4B4F" w14:textId="77777777" w:rsidR="00E53B12" w:rsidRDefault="00E53B12" w:rsidP="00E53B12">
      <w:pPr>
        <w:rPr>
          <w:rFonts w:ascii="Verdana" w:hAnsi="Verdana"/>
          <w:b/>
        </w:rPr>
      </w:pPr>
    </w:p>
    <w:p w14:paraId="439B48DB" w14:textId="3453EC34" w:rsidR="00BD3386" w:rsidRPr="00BD3386" w:rsidRDefault="00A539F5" w:rsidP="00E53B12">
      <w:pPr>
        <w:ind w:left="567" w:hanging="567"/>
        <w:rPr>
          <w:rFonts w:ascii="Verdana" w:hAnsi="Verdana"/>
          <w:b/>
        </w:rPr>
      </w:pPr>
      <w:r>
        <w:rPr>
          <w:rFonts w:ascii="Verdana" w:hAnsi="Verdana"/>
          <w:b/>
        </w:rPr>
        <w:t>5</w:t>
      </w:r>
      <w:r w:rsidR="00E53B12">
        <w:rPr>
          <w:rFonts w:ascii="Verdana" w:hAnsi="Verdana"/>
          <w:b/>
        </w:rPr>
        <w:t xml:space="preserve">     </w:t>
      </w:r>
      <w:r>
        <w:rPr>
          <w:rFonts w:ascii="Verdana" w:hAnsi="Verdana"/>
          <w:b/>
        </w:rPr>
        <w:t>RESERVES</w:t>
      </w:r>
    </w:p>
    <w:p w14:paraId="3746D9B1" w14:textId="77777777" w:rsidR="00BD3386" w:rsidRDefault="00BD3386" w:rsidP="00BD3386">
      <w:pPr>
        <w:ind w:left="1134" w:hanging="567"/>
        <w:rPr>
          <w:rFonts w:ascii="Verdana" w:hAnsi="Verdana"/>
        </w:rPr>
      </w:pPr>
    </w:p>
    <w:p w14:paraId="341A36DD" w14:textId="77777777" w:rsidR="00BD3386" w:rsidRPr="00BD3386" w:rsidRDefault="00BD3386" w:rsidP="00BD3386">
      <w:pPr>
        <w:ind w:left="1134" w:hanging="567"/>
        <w:rPr>
          <w:rFonts w:ascii="Verdana" w:hAnsi="Verdana"/>
          <w:b/>
        </w:rPr>
      </w:pPr>
      <w:r>
        <w:rPr>
          <w:rFonts w:ascii="Verdana" w:hAnsi="Verdana"/>
        </w:rPr>
        <w:t>5.1</w:t>
      </w:r>
      <w:r>
        <w:rPr>
          <w:rFonts w:ascii="Verdana" w:hAnsi="Verdana"/>
        </w:rPr>
        <w:tab/>
      </w:r>
      <w:r w:rsidR="00A539F5">
        <w:rPr>
          <w:rFonts w:ascii="Verdana" w:hAnsi="Verdana"/>
          <w:b/>
        </w:rPr>
        <w:t>Reserves</w:t>
      </w:r>
    </w:p>
    <w:p w14:paraId="6CB794C6" w14:textId="7BE562D5" w:rsidR="00BD3386" w:rsidRPr="00A539F5" w:rsidRDefault="00A539F5" w:rsidP="00ED5370">
      <w:pPr>
        <w:ind w:left="1134"/>
        <w:rPr>
          <w:rFonts w:ascii="Verdana" w:hAnsi="Verdana"/>
        </w:rPr>
      </w:pPr>
      <w:r w:rsidRPr="00A539F5">
        <w:rPr>
          <w:rFonts w:ascii="Verdana" w:hAnsi="Verdana"/>
        </w:rPr>
        <w:t>The Council maintains a number of funds and balances</w:t>
      </w:r>
      <w:r w:rsidR="000D7AAD">
        <w:rPr>
          <w:rFonts w:ascii="Verdana" w:hAnsi="Verdana"/>
        </w:rPr>
        <w:t xml:space="preserve">, known as </w:t>
      </w:r>
      <w:r w:rsidR="002E03FF">
        <w:rPr>
          <w:rFonts w:ascii="Verdana" w:hAnsi="Verdana"/>
        </w:rPr>
        <w:t>R</w:t>
      </w:r>
      <w:r w:rsidR="000D7AAD">
        <w:rPr>
          <w:rFonts w:ascii="Verdana" w:hAnsi="Verdana"/>
        </w:rPr>
        <w:t>eserves,</w:t>
      </w:r>
      <w:r w:rsidRPr="00A539F5">
        <w:rPr>
          <w:rFonts w:ascii="Verdana" w:hAnsi="Verdana"/>
        </w:rPr>
        <w:t xml:space="preserve"> which are reported to Elected Members at regular intervals during the financial year. </w:t>
      </w:r>
      <w:r w:rsidR="000D7AAD" w:rsidRPr="00F91228">
        <w:rPr>
          <w:rFonts w:ascii="Verdana" w:hAnsi="Verdana"/>
        </w:rPr>
        <w:t xml:space="preserve">The Council holds </w:t>
      </w:r>
      <w:r w:rsidR="002E03FF">
        <w:rPr>
          <w:rFonts w:ascii="Verdana" w:hAnsi="Verdana"/>
        </w:rPr>
        <w:t>R</w:t>
      </w:r>
      <w:r w:rsidR="000D7AAD" w:rsidRPr="00F91228">
        <w:rPr>
          <w:rFonts w:ascii="Verdana" w:hAnsi="Verdana"/>
        </w:rPr>
        <w:t>eserves in order to manage identified risks, smo</w:t>
      </w:r>
      <w:r w:rsidR="000D7AAD">
        <w:rPr>
          <w:rFonts w:ascii="Verdana" w:hAnsi="Verdana"/>
        </w:rPr>
        <w:t xml:space="preserve">oth uneven cash flows and provide a contingency against unforeseen circumstances. The existence and management of adequate </w:t>
      </w:r>
      <w:r w:rsidR="002E03FF">
        <w:rPr>
          <w:rFonts w:ascii="Verdana" w:hAnsi="Verdana"/>
        </w:rPr>
        <w:t>R</w:t>
      </w:r>
      <w:r w:rsidR="000D7AAD">
        <w:rPr>
          <w:rFonts w:ascii="Verdana" w:hAnsi="Verdana"/>
        </w:rPr>
        <w:t xml:space="preserve">eserves is a fundamental aspect of any sound financial strategy. The </w:t>
      </w:r>
      <w:r w:rsidR="002E03FF">
        <w:rPr>
          <w:rFonts w:ascii="Verdana" w:hAnsi="Verdana"/>
        </w:rPr>
        <w:t>F</w:t>
      </w:r>
      <w:r w:rsidR="000D7AAD">
        <w:rPr>
          <w:rFonts w:ascii="Verdana" w:hAnsi="Verdana"/>
        </w:rPr>
        <w:t xml:space="preserve">inancial </w:t>
      </w:r>
      <w:r w:rsidR="002E03FF">
        <w:rPr>
          <w:rFonts w:ascii="Verdana" w:hAnsi="Verdana"/>
        </w:rPr>
        <w:t>S</w:t>
      </w:r>
      <w:r w:rsidR="000D7AAD">
        <w:rPr>
          <w:rFonts w:ascii="Verdana" w:hAnsi="Verdana"/>
        </w:rPr>
        <w:t xml:space="preserve">trategy and the associated </w:t>
      </w:r>
      <w:r w:rsidR="002E03FF">
        <w:rPr>
          <w:rFonts w:ascii="Verdana" w:hAnsi="Verdana"/>
        </w:rPr>
        <w:t>R</w:t>
      </w:r>
      <w:r w:rsidR="000D7AAD">
        <w:rPr>
          <w:rFonts w:ascii="Verdana" w:hAnsi="Verdana"/>
        </w:rPr>
        <w:t xml:space="preserve">eserves position is subject to scrutiny by the Council’s external auditors. </w:t>
      </w:r>
      <w:r w:rsidRPr="00A539F5">
        <w:rPr>
          <w:rFonts w:ascii="Verdana" w:hAnsi="Verdana"/>
        </w:rPr>
        <w:t>Table 1 below shows the projected bala</w:t>
      </w:r>
      <w:r w:rsidR="007B2FD5">
        <w:rPr>
          <w:rFonts w:ascii="Verdana" w:hAnsi="Verdana"/>
        </w:rPr>
        <w:t>nce o</w:t>
      </w:r>
      <w:r w:rsidR="000D7AAD">
        <w:rPr>
          <w:rFonts w:ascii="Verdana" w:hAnsi="Verdana"/>
        </w:rPr>
        <w:t>f</w:t>
      </w:r>
      <w:r w:rsidR="007B2FD5">
        <w:rPr>
          <w:rFonts w:ascii="Verdana" w:hAnsi="Verdana"/>
        </w:rPr>
        <w:t xml:space="preserve"> each fund </w:t>
      </w:r>
      <w:r w:rsidR="000D7AAD">
        <w:rPr>
          <w:rFonts w:ascii="Verdana" w:hAnsi="Verdana"/>
        </w:rPr>
        <w:t xml:space="preserve">held within </w:t>
      </w:r>
      <w:r w:rsidR="002E03FF">
        <w:rPr>
          <w:rFonts w:ascii="Verdana" w:hAnsi="Verdana"/>
        </w:rPr>
        <w:t>R</w:t>
      </w:r>
      <w:r w:rsidR="000D7AAD">
        <w:rPr>
          <w:rFonts w:ascii="Verdana" w:hAnsi="Verdana"/>
        </w:rPr>
        <w:t xml:space="preserve">eserves </w:t>
      </w:r>
      <w:r w:rsidR="007B2FD5">
        <w:rPr>
          <w:rFonts w:ascii="Verdana" w:hAnsi="Verdana"/>
        </w:rPr>
        <w:t>at 1 April 202</w:t>
      </w:r>
      <w:r w:rsidR="00E635D1">
        <w:rPr>
          <w:rFonts w:ascii="Verdana" w:hAnsi="Verdana"/>
        </w:rPr>
        <w:t>4</w:t>
      </w:r>
      <w:r w:rsidRPr="00A539F5">
        <w:rPr>
          <w:rFonts w:ascii="Verdana" w:hAnsi="Verdana"/>
        </w:rPr>
        <w:t>.</w:t>
      </w:r>
    </w:p>
    <w:p w14:paraId="59D35DA0" w14:textId="77777777" w:rsidR="00BD3386" w:rsidRDefault="00BD3386" w:rsidP="00BD3386">
      <w:pPr>
        <w:ind w:left="1701" w:hanging="567"/>
        <w:rPr>
          <w:rFonts w:ascii="Verdana" w:hAnsi="Verdana"/>
        </w:rPr>
      </w:pPr>
    </w:p>
    <w:p w14:paraId="60D6BDD7" w14:textId="73C27B57" w:rsidR="000D7AAD" w:rsidRPr="000D7AAD" w:rsidRDefault="000D7AAD" w:rsidP="00BD3386">
      <w:pPr>
        <w:ind w:left="1701" w:hanging="567"/>
        <w:rPr>
          <w:rFonts w:ascii="Verdana" w:hAnsi="Verdana"/>
          <w:bCs/>
          <w:i/>
          <w:iCs/>
        </w:rPr>
      </w:pPr>
      <w:r w:rsidRPr="000D7AAD">
        <w:rPr>
          <w:rFonts w:ascii="Verdana" w:hAnsi="Verdana"/>
          <w:bCs/>
          <w:i/>
          <w:iCs/>
        </w:rPr>
        <w:t>Table 1 Funds and Balances</w:t>
      </w:r>
    </w:p>
    <w:tbl>
      <w:tblPr>
        <w:tblW w:w="424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3"/>
        <w:gridCol w:w="1800"/>
      </w:tblGrid>
      <w:tr w:rsidR="00A539F5" w:rsidRPr="000D7AAD" w14:paraId="1C4D9A2F" w14:textId="77777777" w:rsidTr="00E826C4">
        <w:tc>
          <w:tcPr>
            <w:tcW w:w="3899" w:type="pct"/>
          </w:tcPr>
          <w:p w14:paraId="1CBB99F8" w14:textId="199E94E3" w:rsidR="00A539F5" w:rsidRPr="000D7AAD" w:rsidRDefault="00A539F5" w:rsidP="00B4320A">
            <w:pPr>
              <w:spacing w:before="60" w:after="60"/>
              <w:rPr>
                <w:rFonts w:ascii="Verdana" w:hAnsi="Verdana"/>
                <w:b/>
              </w:rPr>
            </w:pPr>
          </w:p>
        </w:tc>
        <w:tc>
          <w:tcPr>
            <w:tcW w:w="1101" w:type="pct"/>
          </w:tcPr>
          <w:p w14:paraId="640E8693" w14:textId="3ABF7B0B" w:rsidR="00A539F5" w:rsidRPr="000D7AAD" w:rsidRDefault="006A0283" w:rsidP="00B4320A">
            <w:pPr>
              <w:spacing w:before="60" w:after="60"/>
              <w:jc w:val="center"/>
              <w:rPr>
                <w:rFonts w:ascii="Verdana" w:hAnsi="Verdana"/>
                <w:b/>
              </w:rPr>
            </w:pPr>
            <w:r w:rsidRPr="000D7AAD">
              <w:rPr>
                <w:rFonts w:ascii="Verdana" w:hAnsi="Verdana"/>
                <w:b/>
              </w:rPr>
              <w:t>1 April 202</w:t>
            </w:r>
            <w:r w:rsidR="000D7AAD" w:rsidRPr="000D7AAD">
              <w:rPr>
                <w:rFonts w:ascii="Verdana" w:hAnsi="Verdana"/>
                <w:b/>
              </w:rPr>
              <w:t>4</w:t>
            </w:r>
            <w:r w:rsidR="00A539F5" w:rsidRPr="000D7AAD">
              <w:rPr>
                <w:rFonts w:ascii="Verdana" w:hAnsi="Verdana"/>
                <w:b/>
              </w:rPr>
              <w:t xml:space="preserve"> (est £m)</w:t>
            </w:r>
          </w:p>
        </w:tc>
      </w:tr>
      <w:tr w:rsidR="00A539F5" w:rsidRPr="000D7AAD" w14:paraId="5539356A" w14:textId="77777777" w:rsidTr="00E826C4">
        <w:tc>
          <w:tcPr>
            <w:tcW w:w="3899" w:type="pct"/>
          </w:tcPr>
          <w:p w14:paraId="6820BC50" w14:textId="77777777" w:rsidR="00A539F5" w:rsidRPr="000D7AAD" w:rsidRDefault="00694CDC" w:rsidP="00B4320A">
            <w:pPr>
              <w:pStyle w:val="Header"/>
              <w:tabs>
                <w:tab w:val="clear" w:pos="4153"/>
                <w:tab w:val="clear" w:pos="8306"/>
              </w:tabs>
              <w:spacing w:before="60" w:after="60"/>
              <w:ind w:left="-74"/>
              <w:rPr>
                <w:rFonts w:ascii="Verdana" w:hAnsi="Verdana"/>
                <w:b/>
              </w:rPr>
            </w:pPr>
            <w:r w:rsidRPr="000D7AAD">
              <w:rPr>
                <w:rFonts w:ascii="Verdana" w:hAnsi="Verdana"/>
                <w:b/>
              </w:rPr>
              <w:t xml:space="preserve">Specific </w:t>
            </w:r>
            <w:r w:rsidR="00A539F5" w:rsidRPr="000D7AAD">
              <w:rPr>
                <w:rFonts w:ascii="Verdana" w:hAnsi="Verdana"/>
                <w:b/>
              </w:rPr>
              <w:t>Funds</w:t>
            </w:r>
          </w:p>
        </w:tc>
        <w:tc>
          <w:tcPr>
            <w:tcW w:w="1101" w:type="pct"/>
          </w:tcPr>
          <w:p w14:paraId="4AE52E97" w14:textId="77777777" w:rsidR="00A539F5" w:rsidRPr="000D7AAD" w:rsidRDefault="00A539F5" w:rsidP="00B4320A">
            <w:pPr>
              <w:pStyle w:val="Header"/>
              <w:tabs>
                <w:tab w:val="clear" w:pos="4153"/>
                <w:tab w:val="clear" w:pos="8306"/>
                <w:tab w:val="decimal" w:pos="1167"/>
              </w:tabs>
              <w:spacing w:before="60" w:after="60"/>
              <w:rPr>
                <w:rFonts w:ascii="Verdana" w:hAnsi="Verdana"/>
                <w:b/>
                <w:i/>
              </w:rPr>
            </w:pPr>
          </w:p>
        </w:tc>
      </w:tr>
      <w:tr w:rsidR="00A539F5" w:rsidRPr="000D7AAD" w14:paraId="78D3FBD9" w14:textId="77777777" w:rsidTr="00E826C4">
        <w:tc>
          <w:tcPr>
            <w:tcW w:w="3899" w:type="pct"/>
          </w:tcPr>
          <w:p w14:paraId="0EC30631" w14:textId="77777777" w:rsidR="00A539F5" w:rsidRPr="000D7AAD" w:rsidRDefault="00A539F5" w:rsidP="00B4320A">
            <w:pPr>
              <w:pStyle w:val="Header"/>
              <w:tabs>
                <w:tab w:val="clear" w:pos="4153"/>
                <w:tab w:val="clear" w:pos="8306"/>
              </w:tabs>
              <w:spacing w:before="60" w:after="60"/>
              <w:ind w:left="-74"/>
              <w:rPr>
                <w:rFonts w:ascii="Verdana" w:hAnsi="Verdana"/>
              </w:rPr>
            </w:pPr>
            <w:r w:rsidRPr="000D7AAD">
              <w:rPr>
                <w:rFonts w:ascii="Verdana" w:hAnsi="Verdana"/>
              </w:rPr>
              <w:t>Corporate Property Repairs and Renewals Fund</w:t>
            </w:r>
          </w:p>
        </w:tc>
        <w:tc>
          <w:tcPr>
            <w:tcW w:w="1101" w:type="pct"/>
          </w:tcPr>
          <w:p w14:paraId="6AD141BE" w14:textId="77777777" w:rsidR="00A539F5" w:rsidRPr="000D7AAD" w:rsidRDefault="00A539F5" w:rsidP="00B4320A">
            <w:pPr>
              <w:pStyle w:val="Header"/>
              <w:tabs>
                <w:tab w:val="clear" w:pos="4153"/>
                <w:tab w:val="clear" w:pos="8306"/>
                <w:tab w:val="decimal" w:pos="1585"/>
              </w:tabs>
              <w:spacing w:before="60" w:after="60"/>
              <w:rPr>
                <w:rFonts w:ascii="Verdana" w:hAnsi="Verdana"/>
              </w:rPr>
            </w:pPr>
            <w:r w:rsidRPr="000D7AAD">
              <w:rPr>
                <w:rFonts w:ascii="Verdana" w:hAnsi="Verdana"/>
              </w:rPr>
              <w:t xml:space="preserve">      0</w:t>
            </w:r>
          </w:p>
        </w:tc>
      </w:tr>
      <w:tr w:rsidR="00A539F5" w:rsidRPr="000D7AAD" w14:paraId="52D7FD32" w14:textId="77777777" w:rsidTr="00E826C4">
        <w:tc>
          <w:tcPr>
            <w:tcW w:w="3899" w:type="pct"/>
          </w:tcPr>
          <w:p w14:paraId="7771AE56" w14:textId="77777777" w:rsidR="00A539F5" w:rsidRPr="000D7AAD" w:rsidRDefault="00A539F5" w:rsidP="00B4320A">
            <w:pPr>
              <w:spacing w:before="60" w:after="60"/>
              <w:ind w:left="-74"/>
              <w:rPr>
                <w:rFonts w:ascii="Verdana" w:hAnsi="Verdana"/>
              </w:rPr>
            </w:pPr>
            <w:r w:rsidRPr="000D7AAD">
              <w:rPr>
                <w:rFonts w:ascii="Verdana" w:hAnsi="Verdana"/>
              </w:rPr>
              <w:t>Plant and Vehicles Renewals Fund</w:t>
            </w:r>
          </w:p>
        </w:tc>
        <w:tc>
          <w:tcPr>
            <w:tcW w:w="1101" w:type="pct"/>
          </w:tcPr>
          <w:p w14:paraId="5F3A18D8" w14:textId="254943E3" w:rsidR="00A539F5" w:rsidRPr="000D7AAD" w:rsidRDefault="000D7AAD" w:rsidP="003C6287">
            <w:pPr>
              <w:pStyle w:val="Header"/>
              <w:tabs>
                <w:tab w:val="clear" w:pos="4153"/>
                <w:tab w:val="clear" w:pos="8306"/>
                <w:tab w:val="decimal" w:pos="1167"/>
              </w:tabs>
              <w:spacing w:before="60" w:after="60"/>
              <w:rPr>
                <w:rFonts w:ascii="Verdana" w:hAnsi="Verdana"/>
              </w:rPr>
            </w:pPr>
            <w:r w:rsidRPr="000D7AAD">
              <w:rPr>
                <w:rFonts w:ascii="Verdana" w:hAnsi="Verdana"/>
              </w:rPr>
              <w:t>4.785</w:t>
            </w:r>
          </w:p>
        </w:tc>
      </w:tr>
      <w:tr w:rsidR="00B36D02" w:rsidRPr="000D7AAD" w14:paraId="24858805" w14:textId="77777777" w:rsidTr="00E826C4">
        <w:tc>
          <w:tcPr>
            <w:tcW w:w="3899" w:type="pct"/>
          </w:tcPr>
          <w:p w14:paraId="43194221" w14:textId="77777777" w:rsidR="00B36D02" w:rsidRPr="000D7AAD" w:rsidRDefault="00B36D02" w:rsidP="00B4320A">
            <w:pPr>
              <w:spacing w:before="60" w:after="60"/>
              <w:ind w:left="1134" w:hanging="1208"/>
              <w:rPr>
                <w:rFonts w:ascii="Verdana" w:hAnsi="Verdana"/>
              </w:rPr>
            </w:pPr>
            <w:r w:rsidRPr="000D7AAD">
              <w:rPr>
                <w:rFonts w:ascii="Verdana" w:hAnsi="Verdana"/>
              </w:rPr>
              <w:t>Pitch &amp; Play Park Replacement fund</w:t>
            </w:r>
          </w:p>
        </w:tc>
        <w:tc>
          <w:tcPr>
            <w:tcW w:w="1101" w:type="pct"/>
          </w:tcPr>
          <w:p w14:paraId="3B0AB319" w14:textId="1D8289ED" w:rsidR="00B36D02" w:rsidRPr="000D7AAD" w:rsidRDefault="007B2FD5" w:rsidP="00B36D02">
            <w:pPr>
              <w:pStyle w:val="Header"/>
              <w:tabs>
                <w:tab w:val="clear" w:pos="4153"/>
                <w:tab w:val="clear" w:pos="8306"/>
                <w:tab w:val="decimal" w:pos="1167"/>
              </w:tabs>
              <w:spacing w:before="60" w:after="60"/>
              <w:rPr>
                <w:rFonts w:ascii="Verdana" w:hAnsi="Verdana"/>
              </w:rPr>
            </w:pPr>
            <w:r w:rsidRPr="000D7AAD">
              <w:rPr>
                <w:rFonts w:ascii="Verdana" w:hAnsi="Verdana"/>
              </w:rPr>
              <w:t>1</w:t>
            </w:r>
            <w:r w:rsidR="000D7AAD" w:rsidRPr="000D7AAD">
              <w:rPr>
                <w:rFonts w:ascii="Verdana" w:hAnsi="Verdana"/>
              </w:rPr>
              <w:t>.875</w:t>
            </w:r>
          </w:p>
        </w:tc>
      </w:tr>
      <w:tr w:rsidR="00A539F5" w:rsidRPr="000D7AAD" w14:paraId="3525CA87" w14:textId="77777777" w:rsidTr="00E826C4">
        <w:tc>
          <w:tcPr>
            <w:tcW w:w="3899" w:type="pct"/>
          </w:tcPr>
          <w:p w14:paraId="31BFFBAA" w14:textId="77777777" w:rsidR="00A539F5" w:rsidRPr="000D7AAD" w:rsidRDefault="00A539F5" w:rsidP="00B4320A">
            <w:pPr>
              <w:spacing w:before="60" w:after="60"/>
              <w:ind w:left="1134" w:hanging="1208"/>
              <w:rPr>
                <w:rFonts w:ascii="Verdana" w:hAnsi="Verdana"/>
              </w:rPr>
            </w:pPr>
            <w:r w:rsidRPr="000D7AAD">
              <w:rPr>
                <w:rFonts w:ascii="Verdana" w:hAnsi="Verdana"/>
              </w:rPr>
              <w:t>Insurance Fund</w:t>
            </w:r>
          </w:p>
        </w:tc>
        <w:tc>
          <w:tcPr>
            <w:tcW w:w="1101" w:type="pct"/>
          </w:tcPr>
          <w:p w14:paraId="2D26660D" w14:textId="26B35998" w:rsidR="00A539F5" w:rsidRPr="000D7AAD" w:rsidRDefault="00A539F5" w:rsidP="00B36D02">
            <w:pPr>
              <w:pStyle w:val="Header"/>
              <w:tabs>
                <w:tab w:val="clear" w:pos="4153"/>
                <w:tab w:val="clear" w:pos="8306"/>
                <w:tab w:val="decimal" w:pos="1167"/>
              </w:tabs>
              <w:spacing w:before="60" w:after="60"/>
              <w:rPr>
                <w:rFonts w:ascii="Verdana" w:hAnsi="Verdana"/>
              </w:rPr>
            </w:pPr>
            <w:r w:rsidRPr="000D7AAD">
              <w:rPr>
                <w:rFonts w:ascii="Verdana" w:hAnsi="Verdana"/>
              </w:rPr>
              <w:t>1.</w:t>
            </w:r>
            <w:r w:rsidR="000D7AAD" w:rsidRPr="000D7AAD">
              <w:rPr>
                <w:rFonts w:ascii="Verdana" w:hAnsi="Verdana"/>
              </w:rPr>
              <w:t>027</w:t>
            </w:r>
          </w:p>
        </w:tc>
      </w:tr>
      <w:tr w:rsidR="00A539F5" w:rsidRPr="000D7AAD" w14:paraId="158FF506" w14:textId="77777777" w:rsidTr="00E826C4">
        <w:tc>
          <w:tcPr>
            <w:tcW w:w="3899" w:type="pct"/>
          </w:tcPr>
          <w:p w14:paraId="05D773AA" w14:textId="77777777" w:rsidR="00A539F5" w:rsidRPr="000D7AAD" w:rsidRDefault="00A539F5" w:rsidP="00B4320A">
            <w:pPr>
              <w:spacing w:before="60" w:after="60"/>
              <w:ind w:left="1134" w:hanging="1208"/>
              <w:rPr>
                <w:rFonts w:ascii="Verdana" w:hAnsi="Verdana"/>
              </w:rPr>
            </w:pPr>
            <w:r w:rsidRPr="000D7AAD">
              <w:rPr>
                <w:rFonts w:ascii="Verdana" w:hAnsi="Verdana"/>
              </w:rPr>
              <w:t xml:space="preserve">Capital Fund </w:t>
            </w:r>
            <w:r w:rsidR="00246733" w:rsidRPr="000D7AAD">
              <w:rPr>
                <w:rFonts w:ascii="Verdana" w:hAnsi="Verdana"/>
              </w:rPr>
              <w:t>e</w:t>
            </w:r>
            <w:r w:rsidRPr="000D7AAD">
              <w:rPr>
                <w:rFonts w:ascii="Verdana" w:hAnsi="Verdana"/>
              </w:rPr>
              <w:t>xcl</w:t>
            </w:r>
            <w:r w:rsidR="00F32BD7" w:rsidRPr="000D7AAD">
              <w:rPr>
                <w:rFonts w:ascii="Verdana" w:hAnsi="Verdana"/>
              </w:rPr>
              <w:t>.</w:t>
            </w:r>
            <w:r w:rsidRPr="000D7AAD">
              <w:rPr>
                <w:rFonts w:ascii="Verdana" w:hAnsi="Verdana"/>
              </w:rPr>
              <w:t xml:space="preserve"> Developer Contributions</w:t>
            </w:r>
          </w:p>
        </w:tc>
        <w:tc>
          <w:tcPr>
            <w:tcW w:w="1101" w:type="pct"/>
          </w:tcPr>
          <w:p w14:paraId="357CF356" w14:textId="3C6C7AEF" w:rsidR="00A539F5" w:rsidRPr="000D7AAD" w:rsidRDefault="003C6287" w:rsidP="003C6287">
            <w:pPr>
              <w:pStyle w:val="Header"/>
              <w:tabs>
                <w:tab w:val="clear" w:pos="4153"/>
                <w:tab w:val="clear" w:pos="8306"/>
                <w:tab w:val="decimal" w:pos="1167"/>
              </w:tabs>
              <w:spacing w:before="60" w:after="60"/>
              <w:rPr>
                <w:rFonts w:ascii="Verdana" w:hAnsi="Verdana"/>
              </w:rPr>
            </w:pPr>
            <w:r w:rsidRPr="000D7AAD">
              <w:rPr>
                <w:rFonts w:ascii="Verdana" w:hAnsi="Verdana"/>
              </w:rPr>
              <w:t>1</w:t>
            </w:r>
            <w:r w:rsidR="007B2FD5" w:rsidRPr="000D7AAD">
              <w:rPr>
                <w:rFonts w:ascii="Verdana" w:hAnsi="Verdana"/>
              </w:rPr>
              <w:t>.</w:t>
            </w:r>
            <w:r w:rsidR="000D7AAD" w:rsidRPr="000D7AAD">
              <w:rPr>
                <w:rFonts w:ascii="Verdana" w:hAnsi="Verdana"/>
              </w:rPr>
              <w:t>151</w:t>
            </w:r>
          </w:p>
        </w:tc>
      </w:tr>
      <w:tr w:rsidR="00A539F5" w:rsidRPr="000D7AAD" w14:paraId="0791BF42" w14:textId="77777777" w:rsidTr="00E826C4">
        <w:tc>
          <w:tcPr>
            <w:tcW w:w="3899" w:type="pct"/>
          </w:tcPr>
          <w:p w14:paraId="4EB7A54B" w14:textId="77777777" w:rsidR="00A539F5" w:rsidRPr="000D7AAD" w:rsidRDefault="00A539F5" w:rsidP="00B4320A">
            <w:pPr>
              <w:spacing w:before="60" w:after="60"/>
              <w:ind w:left="1134"/>
              <w:rPr>
                <w:rFonts w:ascii="Verdana" w:hAnsi="Verdana"/>
                <w:b/>
              </w:rPr>
            </w:pPr>
          </w:p>
        </w:tc>
        <w:tc>
          <w:tcPr>
            <w:tcW w:w="1101" w:type="pct"/>
          </w:tcPr>
          <w:p w14:paraId="764D1E56" w14:textId="77777777" w:rsidR="00A539F5" w:rsidRPr="000D7AAD" w:rsidRDefault="00A539F5" w:rsidP="00B4320A">
            <w:pPr>
              <w:pStyle w:val="Header"/>
              <w:tabs>
                <w:tab w:val="clear" w:pos="4153"/>
                <w:tab w:val="clear" w:pos="8306"/>
                <w:tab w:val="decimal" w:pos="1167"/>
              </w:tabs>
              <w:spacing w:before="60" w:after="60"/>
              <w:rPr>
                <w:rFonts w:ascii="Verdana" w:hAnsi="Verdana"/>
              </w:rPr>
            </w:pPr>
          </w:p>
        </w:tc>
      </w:tr>
      <w:tr w:rsidR="00A539F5" w:rsidRPr="000D7AAD" w14:paraId="7019094A" w14:textId="77777777" w:rsidTr="00E826C4">
        <w:tc>
          <w:tcPr>
            <w:tcW w:w="3899" w:type="pct"/>
          </w:tcPr>
          <w:p w14:paraId="7D62FDBF" w14:textId="77777777" w:rsidR="00A539F5" w:rsidRPr="000D7AAD" w:rsidRDefault="00A539F5" w:rsidP="00B4320A">
            <w:pPr>
              <w:spacing w:before="60" w:after="60"/>
              <w:ind w:left="1134" w:hanging="1208"/>
              <w:rPr>
                <w:rFonts w:ascii="Verdana" w:hAnsi="Verdana"/>
              </w:rPr>
            </w:pPr>
            <w:r w:rsidRPr="000D7AAD">
              <w:rPr>
                <w:rFonts w:ascii="Verdana" w:hAnsi="Verdana"/>
                <w:b/>
              </w:rPr>
              <w:t>General Fund – Earmarked</w:t>
            </w:r>
          </w:p>
        </w:tc>
        <w:tc>
          <w:tcPr>
            <w:tcW w:w="1101" w:type="pct"/>
          </w:tcPr>
          <w:p w14:paraId="59AD801F" w14:textId="77777777" w:rsidR="00A539F5" w:rsidRPr="000D7AAD" w:rsidRDefault="00A539F5" w:rsidP="00B4320A">
            <w:pPr>
              <w:pStyle w:val="Header"/>
              <w:tabs>
                <w:tab w:val="clear" w:pos="4153"/>
                <w:tab w:val="clear" w:pos="8306"/>
                <w:tab w:val="decimal" w:pos="1167"/>
              </w:tabs>
              <w:spacing w:before="60" w:after="60"/>
              <w:rPr>
                <w:rFonts w:ascii="Verdana" w:hAnsi="Verdana"/>
              </w:rPr>
            </w:pPr>
          </w:p>
        </w:tc>
      </w:tr>
      <w:tr w:rsidR="00A539F5" w:rsidRPr="000D7AAD" w14:paraId="48F4E26D" w14:textId="77777777" w:rsidTr="00E826C4">
        <w:tc>
          <w:tcPr>
            <w:tcW w:w="3899" w:type="pct"/>
          </w:tcPr>
          <w:p w14:paraId="0B864888" w14:textId="77777777" w:rsidR="00A539F5" w:rsidRPr="000D7AAD" w:rsidRDefault="00A539F5" w:rsidP="00B4320A">
            <w:pPr>
              <w:spacing w:before="60" w:after="60"/>
              <w:ind w:left="1134" w:hanging="1208"/>
              <w:rPr>
                <w:rFonts w:ascii="Verdana" w:hAnsi="Verdana"/>
              </w:rPr>
            </w:pPr>
            <w:r w:rsidRPr="000D7AAD">
              <w:rPr>
                <w:rFonts w:ascii="Verdana" w:hAnsi="Verdana"/>
              </w:rPr>
              <w:t>Devolved School Management</w:t>
            </w:r>
          </w:p>
        </w:tc>
        <w:tc>
          <w:tcPr>
            <w:tcW w:w="1101" w:type="pct"/>
          </w:tcPr>
          <w:p w14:paraId="39994B92" w14:textId="3AE6A120" w:rsidR="00A539F5" w:rsidRPr="000D7AAD" w:rsidRDefault="000D7AAD" w:rsidP="00B4320A">
            <w:pPr>
              <w:pStyle w:val="Header"/>
              <w:tabs>
                <w:tab w:val="clear" w:pos="4153"/>
                <w:tab w:val="clear" w:pos="8306"/>
                <w:tab w:val="decimal" w:pos="1167"/>
              </w:tabs>
              <w:spacing w:before="60" w:after="60"/>
              <w:rPr>
                <w:rFonts w:ascii="Verdana" w:hAnsi="Verdana"/>
              </w:rPr>
            </w:pPr>
            <w:r w:rsidRPr="000D7AAD">
              <w:rPr>
                <w:rFonts w:ascii="Verdana" w:hAnsi="Verdana"/>
              </w:rPr>
              <w:t>1.</w:t>
            </w:r>
            <w:r w:rsidR="002E03FF">
              <w:rPr>
                <w:rFonts w:ascii="Verdana" w:hAnsi="Verdana"/>
              </w:rPr>
              <w:t>402</w:t>
            </w:r>
          </w:p>
        </w:tc>
      </w:tr>
      <w:tr w:rsidR="00A539F5" w:rsidRPr="000D7AAD" w14:paraId="1E52D588" w14:textId="77777777" w:rsidTr="00E826C4">
        <w:tc>
          <w:tcPr>
            <w:tcW w:w="3899" w:type="pct"/>
          </w:tcPr>
          <w:p w14:paraId="759F46E3" w14:textId="77777777" w:rsidR="00A539F5" w:rsidRPr="000D7AAD" w:rsidRDefault="00694CDC" w:rsidP="00B4320A">
            <w:pPr>
              <w:spacing w:before="60" w:after="60"/>
              <w:ind w:left="1134" w:hanging="1208"/>
              <w:rPr>
                <w:rFonts w:ascii="Verdana" w:hAnsi="Verdana"/>
              </w:rPr>
            </w:pPr>
            <w:r w:rsidRPr="000D7AAD">
              <w:rPr>
                <w:rFonts w:ascii="Verdana" w:hAnsi="Verdana"/>
              </w:rPr>
              <w:t>Earmarked</w:t>
            </w:r>
            <w:r w:rsidR="00A539F5" w:rsidRPr="000D7AAD">
              <w:rPr>
                <w:rFonts w:ascii="Verdana" w:hAnsi="Verdana"/>
              </w:rPr>
              <w:t xml:space="preserve"> Departmental Reserves</w:t>
            </w:r>
            <w:r w:rsidR="007B2FD5" w:rsidRPr="000D7AAD">
              <w:rPr>
                <w:rFonts w:ascii="Verdana" w:hAnsi="Verdana"/>
              </w:rPr>
              <w:t xml:space="preserve"> (incl. Recovery Fund</w:t>
            </w:r>
            <w:r w:rsidRPr="000D7AAD">
              <w:rPr>
                <w:rFonts w:ascii="Verdana" w:hAnsi="Verdana"/>
              </w:rPr>
              <w:t>)</w:t>
            </w:r>
          </w:p>
        </w:tc>
        <w:tc>
          <w:tcPr>
            <w:tcW w:w="1101" w:type="pct"/>
          </w:tcPr>
          <w:p w14:paraId="7A6F63C1" w14:textId="79A08134" w:rsidR="000D7AAD" w:rsidRPr="000D7AAD" w:rsidRDefault="002E03FF" w:rsidP="00B4320A">
            <w:pPr>
              <w:tabs>
                <w:tab w:val="decimal" w:pos="1167"/>
              </w:tabs>
              <w:spacing w:before="60" w:after="60"/>
              <w:rPr>
                <w:rFonts w:ascii="Verdana" w:hAnsi="Verdana"/>
              </w:rPr>
            </w:pPr>
            <w:r>
              <w:rPr>
                <w:rFonts w:ascii="Verdana" w:hAnsi="Verdana"/>
              </w:rPr>
              <w:t>3.779</w:t>
            </w:r>
          </w:p>
        </w:tc>
      </w:tr>
      <w:tr w:rsidR="00A539F5" w:rsidRPr="000D7AAD" w14:paraId="6692B8E9" w14:textId="77777777" w:rsidTr="00E826C4">
        <w:tc>
          <w:tcPr>
            <w:tcW w:w="3899" w:type="pct"/>
          </w:tcPr>
          <w:p w14:paraId="6AD683F7" w14:textId="77777777" w:rsidR="00A539F5" w:rsidRPr="000D7AAD" w:rsidRDefault="00A539F5" w:rsidP="00B4320A">
            <w:pPr>
              <w:spacing w:before="60" w:after="60"/>
              <w:ind w:hanging="80"/>
              <w:rPr>
                <w:rFonts w:ascii="Verdana" w:hAnsi="Verdana"/>
              </w:rPr>
            </w:pPr>
            <w:r w:rsidRPr="000D7AAD">
              <w:rPr>
                <w:rFonts w:ascii="Verdana" w:hAnsi="Verdana"/>
              </w:rPr>
              <w:t>Allocated reserves</w:t>
            </w:r>
          </w:p>
        </w:tc>
        <w:tc>
          <w:tcPr>
            <w:tcW w:w="1101" w:type="pct"/>
          </w:tcPr>
          <w:p w14:paraId="42919876" w14:textId="13634DD5" w:rsidR="00A539F5" w:rsidRPr="000D7AAD" w:rsidRDefault="00BC3C78" w:rsidP="00B4320A">
            <w:pPr>
              <w:tabs>
                <w:tab w:val="decimal" w:pos="1167"/>
              </w:tabs>
              <w:spacing w:before="60" w:after="60"/>
              <w:rPr>
                <w:rFonts w:ascii="Verdana" w:hAnsi="Verdana"/>
              </w:rPr>
            </w:pPr>
            <w:r>
              <w:rPr>
                <w:rFonts w:ascii="Verdana" w:hAnsi="Verdana"/>
              </w:rPr>
              <w:t>26.518</w:t>
            </w:r>
          </w:p>
        </w:tc>
      </w:tr>
      <w:tr w:rsidR="00A539F5" w:rsidRPr="000D7AAD" w14:paraId="77C6D20B" w14:textId="77777777" w:rsidTr="00E826C4">
        <w:trPr>
          <w:trHeight w:val="87"/>
        </w:trPr>
        <w:tc>
          <w:tcPr>
            <w:tcW w:w="3899" w:type="pct"/>
          </w:tcPr>
          <w:p w14:paraId="25CCBEE1" w14:textId="77777777" w:rsidR="00A539F5" w:rsidRPr="000D7AAD" w:rsidRDefault="00A539F5" w:rsidP="00B4320A">
            <w:pPr>
              <w:spacing w:before="60" w:after="60"/>
              <w:ind w:left="1134" w:hanging="1208"/>
              <w:rPr>
                <w:rFonts w:ascii="Verdana" w:hAnsi="Verdana"/>
                <w:b/>
              </w:rPr>
            </w:pPr>
          </w:p>
        </w:tc>
        <w:tc>
          <w:tcPr>
            <w:tcW w:w="1101" w:type="pct"/>
          </w:tcPr>
          <w:p w14:paraId="3AC3775C" w14:textId="77777777" w:rsidR="00A539F5" w:rsidRPr="000D7AAD" w:rsidRDefault="00A539F5" w:rsidP="00B4320A">
            <w:pPr>
              <w:tabs>
                <w:tab w:val="decimal" w:pos="1167"/>
              </w:tabs>
              <w:spacing w:before="60" w:after="60"/>
              <w:rPr>
                <w:rFonts w:ascii="Verdana" w:hAnsi="Verdana"/>
              </w:rPr>
            </w:pPr>
          </w:p>
        </w:tc>
      </w:tr>
      <w:tr w:rsidR="00A539F5" w:rsidRPr="000D7AAD" w14:paraId="4658B9BA" w14:textId="77777777" w:rsidTr="00E826C4">
        <w:trPr>
          <w:trHeight w:val="87"/>
        </w:trPr>
        <w:tc>
          <w:tcPr>
            <w:tcW w:w="3899" w:type="pct"/>
          </w:tcPr>
          <w:p w14:paraId="2174F718" w14:textId="30F61736" w:rsidR="00A539F5" w:rsidRPr="000D7AAD" w:rsidRDefault="00A539F5" w:rsidP="00B4320A">
            <w:pPr>
              <w:spacing w:before="60" w:after="60"/>
              <w:ind w:left="1134" w:hanging="1208"/>
              <w:rPr>
                <w:rFonts w:ascii="Verdana" w:hAnsi="Verdana"/>
                <w:b/>
              </w:rPr>
            </w:pPr>
            <w:r w:rsidRPr="000D7AAD">
              <w:rPr>
                <w:rFonts w:ascii="Verdana" w:hAnsi="Verdana"/>
                <w:b/>
              </w:rPr>
              <w:t xml:space="preserve">General Fund – </w:t>
            </w:r>
            <w:r w:rsidR="0022466C">
              <w:rPr>
                <w:rFonts w:ascii="Verdana" w:hAnsi="Verdana"/>
                <w:b/>
              </w:rPr>
              <w:t>Unallocated Reserves</w:t>
            </w:r>
          </w:p>
        </w:tc>
        <w:tc>
          <w:tcPr>
            <w:tcW w:w="1101" w:type="pct"/>
          </w:tcPr>
          <w:p w14:paraId="1F381A61" w14:textId="2EF030B3" w:rsidR="00A539F5" w:rsidRPr="000D7AAD" w:rsidRDefault="000D7AAD" w:rsidP="00B4320A">
            <w:pPr>
              <w:tabs>
                <w:tab w:val="decimal" w:pos="1167"/>
              </w:tabs>
              <w:spacing w:before="60" w:after="60"/>
              <w:rPr>
                <w:rFonts w:ascii="Verdana" w:hAnsi="Verdana"/>
              </w:rPr>
            </w:pPr>
            <w:r w:rsidRPr="000D7AAD">
              <w:rPr>
                <w:rFonts w:ascii="Verdana" w:hAnsi="Verdana"/>
              </w:rPr>
              <w:t>7</w:t>
            </w:r>
            <w:r w:rsidR="0095267D">
              <w:rPr>
                <w:rFonts w:ascii="Verdana" w:hAnsi="Verdana"/>
              </w:rPr>
              <w:t>.</w:t>
            </w:r>
            <w:r w:rsidR="00BE150D">
              <w:rPr>
                <w:rFonts w:ascii="Verdana" w:hAnsi="Verdana"/>
              </w:rPr>
              <w:t>414</w:t>
            </w:r>
          </w:p>
        </w:tc>
      </w:tr>
      <w:tr w:rsidR="00A539F5" w:rsidRPr="000D7AAD" w14:paraId="780EAAFA" w14:textId="77777777" w:rsidTr="00E826C4">
        <w:tc>
          <w:tcPr>
            <w:tcW w:w="3899" w:type="pct"/>
          </w:tcPr>
          <w:p w14:paraId="54DA0124" w14:textId="77777777" w:rsidR="00A539F5" w:rsidRPr="000D7AAD" w:rsidRDefault="00A539F5" w:rsidP="00B4320A">
            <w:pPr>
              <w:spacing w:before="60" w:after="60"/>
              <w:ind w:left="1134" w:hanging="1208"/>
              <w:rPr>
                <w:rFonts w:ascii="Verdana" w:hAnsi="Verdana"/>
                <w:b/>
              </w:rPr>
            </w:pPr>
          </w:p>
        </w:tc>
        <w:tc>
          <w:tcPr>
            <w:tcW w:w="1101" w:type="pct"/>
          </w:tcPr>
          <w:p w14:paraId="4A6AA37C" w14:textId="77777777" w:rsidR="00A539F5" w:rsidRPr="000D7AAD" w:rsidRDefault="00A539F5" w:rsidP="00B4320A">
            <w:pPr>
              <w:tabs>
                <w:tab w:val="decimal" w:pos="1167"/>
              </w:tabs>
              <w:spacing w:before="60" w:after="60"/>
              <w:rPr>
                <w:rFonts w:ascii="Verdana" w:hAnsi="Verdana"/>
              </w:rPr>
            </w:pPr>
          </w:p>
        </w:tc>
      </w:tr>
      <w:tr w:rsidR="00A539F5" w:rsidRPr="005604A6" w14:paraId="5E73DE90" w14:textId="77777777" w:rsidTr="00E826C4">
        <w:trPr>
          <w:trHeight w:val="90"/>
        </w:trPr>
        <w:tc>
          <w:tcPr>
            <w:tcW w:w="3899" w:type="pct"/>
          </w:tcPr>
          <w:p w14:paraId="65C23E57" w14:textId="77777777" w:rsidR="00A539F5" w:rsidRPr="000D7AAD" w:rsidRDefault="00A539F5" w:rsidP="00B4320A">
            <w:pPr>
              <w:spacing w:before="60" w:after="60"/>
              <w:ind w:left="1134" w:hanging="1208"/>
              <w:rPr>
                <w:rFonts w:ascii="Verdana" w:hAnsi="Verdana"/>
                <w:b/>
              </w:rPr>
            </w:pPr>
            <w:r w:rsidRPr="000D7AAD">
              <w:rPr>
                <w:rFonts w:ascii="Verdana" w:hAnsi="Verdana"/>
                <w:b/>
              </w:rPr>
              <w:t>Total</w:t>
            </w:r>
          </w:p>
        </w:tc>
        <w:tc>
          <w:tcPr>
            <w:tcW w:w="1101" w:type="pct"/>
          </w:tcPr>
          <w:p w14:paraId="67DE83D1" w14:textId="205A7CDC" w:rsidR="00A539F5" w:rsidRPr="000D7AAD" w:rsidRDefault="00042B0F" w:rsidP="00B4320A">
            <w:pPr>
              <w:tabs>
                <w:tab w:val="decimal" w:pos="1167"/>
              </w:tabs>
              <w:spacing w:before="60" w:after="60"/>
              <w:rPr>
                <w:rFonts w:ascii="Verdana" w:hAnsi="Verdana"/>
                <w:b/>
                <w:u w:val="single"/>
              </w:rPr>
            </w:pPr>
            <w:r>
              <w:rPr>
                <w:rFonts w:ascii="Verdana" w:hAnsi="Verdana"/>
                <w:b/>
                <w:u w:val="single"/>
              </w:rPr>
              <w:t>47.951</w:t>
            </w:r>
          </w:p>
        </w:tc>
      </w:tr>
    </w:tbl>
    <w:p w14:paraId="1E2E1AE6" w14:textId="77777777" w:rsidR="00A539F5" w:rsidRDefault="00A539F5" w:rsidP="00BD3386">
      <w:pPr>
        <w:ind w:left="1701" w:hanging="567"/>
        <w:rPr>
          <w:rFonts w:ascii="Verdana" w:hAnsi="Verdana"/>
        </w:rPr>
      </w:pPr>
    </w:p>
    <w:p w14:paraId="3E0B5279" w14:textId="0E4123A7" w:rsidR="000D7AAD" w:rsidRPr="00A539F5" w:rsidRDefault="00BD3386" w:rsidP="00A539F5">
      <w:pPr>
        <w:ind w:left="1134" w:hanging="567"/>
        <w:rPr>
          <w:rFonts w:ascii="Verdana" w:hAnsi="Verdana"/>
        </w:rPr>
      </w:pPr>
      <w:r>
        <w:rPr>
          <w:rFonts w:ascii="Verdana" w:hAnsi="Verdana"/>
        </w:rPr>
        <w:t>5.2</w:t>
      </w:r>
      <w:r>
        <w:rPr>
          <w:rFonts w:ascii="Verdana" w:hAnsi="Verdana"/>
        </w:rPr>
        <w:tab/>
      </w:r>
      <w:r w:rsidR="000D7AAD">
        <w:rPr>
          <w:rFonts w:ascii="Verdana" w:hAnsi="Verdana"/>
        </w:rPr>
        <w:t xml:space="preserve">The level of </w:t>
      </w:r>
      <w:r w:rsidR="007909A2">
        <w:rPr>
          <w:rFonts w:ascii="Verdana" w:hAnsi="Verdana"/>
        </w:rPr>
        <w:t>U</w:t>
      </w:r>
      <w:r w:rsidR="000D7AAD">
        <w:rPr>
          <w:rFonts w:ascii="Verdana" w:hAnsi="Verdana"/>
        </w:rPr>
        <w:t xml:space="preserve">nallocated </w:t>
      </w:r>
      <w:r w:rsidR="007909A2">
        <w:rPr>
          <w:rFonts w:ascii="Verdana" w:hAnsi="Verdana"/>
        </w:rPr>
        <w:t>R</w:t>
      </w:r>
      <w:r w:rsidR="000D7AAD">
        <w:rPr>
          <w:rFonts w:ascii="Verdana" w:hAnsi="Verdana"/>
        </w:rPr>
        <w:t>eserves has reduced since 2023/24</w:t>
      </w:r>
      <w:r w:rsidR="00DD40EE">
        <w:rPr>
          <w:rFonts w:ascii="Verdana" w:hAnsi="Verdana"/>
        </w:rPr>
        <w:t xml:space="preserve"> although it should be noted that </w:t>
      </w:r>
      <w:r w:rsidR="00070142">
        <w:rPr>
          <w:rFonts w:ascii="Verdana" w:hAnsi="Verdana"/>
        </w:rPr>
        <w:t xml:space="preserve">prior to the top up of balances during the COVID-19 period, the general fund balance </w:t>
      </w:r>
      <w:r w:rsidR="008931CD">
        <w:rPr>
          <w:rFonts w:ascii="Verdana" w:hAnsi="Verdana"/>
        </w:rPr>
        <w:t xml:space="preserve">held in 2021/22 was £6.3m, therefore the forecast reserve </w:t>
      </w:r>
      <w:r w:rsidR="008365B6">
        <w:rPr>
          <w:rFonts w:ascii="Verdana" w:hAnsi="Verdana"/>
        </w:rPr>
        <w:t xml:space="preserve">of £7.4m </w:t>
      </w:r>
      <w:proofErr w:type="gramStart"/>
      <w:r w:rsidR="008931CD">
        <w:rPr>
          <w:rFonts w:ascii="Verdana" w:hAnsi="Verdana"/>
        </w:rPr>
        <w:t>at</w:t>
      </w:r>
      <w:proofErr w:type="gramEnd"/>
      <w:r w:rsidR="008931CD">
        <w:rPr>
          <w:rFonts w:ascii="Verdana" w:hAnsi="Verdana"/>
        </w:rPr>
        <w:t xml:space="preserve"> 1</w:t>
      </w:r>
      <w:r w:rsidR="008931CD" w:rsidRPr="00456BA4">
        <w:rPr>
          <w:rFonts w:ascii="Verdana" w:hAnsi="Verdana"/>
          <w:vertAlign w:val="superscript"/>
        </w:rPr>
        <w:t>st</w:t>
      </w:r>
      <w:r w:rsidR="008931CD">
        <w:rPr>
          <w:rFonts w:ascii="Verdana" w:hAnsi="Verdana"/>
        </w:rPr>
        <w:t xml:space="preserve"> April 2024 represents an increase from</w:t>
      </w:r>
      <w:r w:rsidR="005444CD">
        <w:rPr>
          <w:rFonts w:ascii="Verdana" w:hAnsi="Verdana"/>
        </w:rPr>
        <w:t xml:space="preserve"> that </w:t>
      </w:r>
      <w:r w:rsidR="008365B6">
        <w:rPr>
          <w:rFonts w:ascii="Verdana" w:hAnsi="Verdana"/>
        </w:rPr>
        <w:t>level</w:t>
      </w:r>
      <w:r w:rsidR="005444CD">
        <w:rPr>
          <w:rFonts w:ascii="Verdana" w:hAnsi="Verdana"/>
        </w:rPr>
        <w:t>.</w:t>
      </w:r>
      <w:r w:rsidR="000D7AAD">
        <w:rPr>
          <w:rFonts w:ascii="Verdana" w:hAnsi="Verdana"/>
        </w:rPr>
        <w:t xml:space="preserve"> </w:t>
      </w:r>
      <w:r w:rsidR="005444CD">
        <w:rPr>
          <w:rFonts w:ascii="Verdana" w:hAnsi="Verdana"/>
        </w:rPr>
        <w:t>T</w:t>
      </w:r>
      <w:r w:rsidR="000D7AAD">
        <w:rPr>
          <w:rFonts w:ascii="Verdana" w:hAnsi="Verdana"/>
        </w:rPr>
        <w:t xml:space="preserve">he total </w:t>
      </w:r>
      <w:r w:rsidR="007909A2">
        <w:rPr>
          <w:rFonts w:ascii="Verdana" w:hAnsi="Verdana"/>
        </w:rPr>
        <w:t>R</w:t>
      </w:r>
      <w:r w:rsidR="000D7AAD">
        <w:rPr>
          <w:rFonts w:ascii="Verdana" w:hAnsi="Verdana"/>
        </w:rPr>
        <w:t>eserves figure</w:t>
      </w:r>
      <w:r w:rsidR="005447CE">
        <w:rPr>
          <w:rFonts w:ascii="Verdana" w:hAnsi="Verdana"/>
        </w:rPr>
        <w:t xml:space="preserve"> is </w:t>
      </w:r>
      <w:r w:rsidR="00B83692">
        <w:rPr>
          <w:rFonts w:ascii="Verdana" w:hAnsi="Verdana"/>
        </w:rPr>
        <w:t xml:space="preserve">broadly </w:t>
      </w:r>
      <w:r w:rsidR="005447CE">
        <w:rPr>
          <w:rFonts w:ascii="Verdana" w:hAnsi="Verdana"/>
        </w:rPr>
        <w:t xml:space="preserve">in line with figures as at </w:t>
      </w:r>
      <w:r w:rsidR="00A16521">
        <w:rPr>
          <w:rFonts w:ascii="Verdana" w:hAnsi="Verdana"/>
        </w:rPr>
        <w:t>1</w:t>
      </w:r>
      <w:r w:rsidR="00A16521" w:rsidRPr="00456BA4">
        <w:rPr>
          <w:rFonts w:ascii="Verdana" w:hAnsi="Verdana"/>
          <w:vertAlign w:val="superscript"/>
        </w:rPr>
        <w:t>st</w:t>
      </w:r>
      <w:r w:rsidR="00A16521">
        <w:rPr>
          <w:rFonts w:ascii="Verdana" w:hAnsi="Verdana"/>
        </w:rPr>
        <w:t xml:space="preserve"> April 2023 however </w:t>
      </w:r>
      <w:r w:rsidR="00B83692">
        <w:rPr>
          <w:rFonts w:ascii="Verdana" w:hAnsi="Verdana"/>
        </w:rPr>
        <w:t>e</w:t>
      </w:r>
      <w:r w:rsidR="00A16521">
        <w:rPr>
          <w:rFonts w:ascii="Verdana" w:hAnsi="Verdana"/>
        </w:rPr>
        <w:t xml:space="preserve">armarked </w:t>
      </w:r>
      <w:r w:rsidR="00B83692">
        <w:rPr>
          <w:rFonts w:ascii="Verdana" w:hAnsi="Verdana"/>
        </w:rPr>
        <w:t>d</w:t>
      </w:r>
      <w:r w:rsidR="00AF243F">
        <w:rPr>
          <w:rFonts w:ascii="Verdana" w:hAnsi="Verdana"/>
        </w:rPr>
        <w:t xml:space="preserve">epartmental </w:t>
      </w:r>
      <w:r w:rsidR="007909A2">
        <w:rPr>
          <w:rFonts w:ascii="Verdana" w:hAnsi="Verdana"/>
        </w:rPr>
        <w:t>R</w:t>
      </w:r>
      <w:r w:rsidR="00A16521">
        <w:rPr>
          <w:rFonts w:ascii="Verdana" w:hAnsi="Verdana"/>
        </w:rPr>
        <w:t>eserves ha</w:t>
      </w:r>
      <w:r w:rsidR="00B83692">
        <w:rPr>
          <w:rFonts w:ascii="Verdana" w:hAnsi="Verdana"/>
        </w:rPr>
        <w:t>ve</w:t>
      </w:r>
      <w:r w:rsidR="00A16521">
        <w:rPr>
          <w:rFonts w:ascii="Verdana" w:hAnsi="Verdana"/>
        </w:rPr>
        <w:t xml:space="preserve"> significantly reduced due to the </w:t>
      </w:r>
      <w:r w:rsidR="00AF243F">
        <w:rPr>
          <w:rFonts w:ascii="Verdana" w:hAnsi="Verdana"/>
        </w:rPr>
        <w:t>in</w:t>
      </w:r>
      <w:r w:rsidR="007909A2">
        <w:rPr>
          <w:rFonts w:ascii="Verdana" w:hAnsi="Verdana"/>
        </w:rPr>
        <w:t>-</w:t>
      </w:r>
      <w:r w:rsidR="00A16521">
        <w:rPr>
          <w:rFonts w:ascii="Verdana" w:hAnsi="Verdana"/>
        </w:rPr>
        <w:t xml:space="preserve">year </w:t>
      </w:r>
      <w:r w:rsidR="00AF243F">
        <w:rPr>
          <w:rFonts w:ascii="Verdana" w:hAnsi="Verdana"/>
        </w:rPr>
        <w:t>financial</w:t>
      </w:r>
      <w:r w:rsidR="00A16521">
        <w:rPr>
          <w:rFonts w:ascii="Verdana" w:hAnsi="Verdana"/>
        </w:rPr>
        <w:t xml:space="preserve"> position and </w:t>
      </w:r>
      <w:r w:rsidR="001F0C41">
        <w:rPr>
          <w:rFonts w:ascii="Verdana" w:hAnsi="Verdana"/>
        </w:rPr>
        <w:t xml:space="preserve">allocated </w:t>
      </w:r>
      <w:r w:rsidR="007909A2">
        <w:rPr>
          <w:rFonts w:ascii="Verdana" w:hAnsi="Verdana"/>
        </w:rPr>
        <w:t>R</w:t>
      </w:r>
      <w:r w:rsidR="001F0C41">
        <w:rPr>
          <w:rFonts w:ascii="Verdana" w:hAnsi="Verdana"/>
        </w:rPr>
        <w:t>eserves ha</w:t>
      </w:r>
      <w:r w:rsidR="00B83692">
        <w:rPr>
          <w:rFonts w:ascii="Verdana" w:hAnsi="Verdana"/>
        </w:rPr>
        <w:t>ve</w:t>
      </w:r>
      <w:r w:rsidR="001F0C41">
        <w:rPr>
          <w:rFonts w:ascii="Verdana" w:hAnsi="Verdana"/>
        </w:rPr>
        <w:t xml:space="preserve"> </w:t>
      </w:r>
      <w:r w:rsidR="000D7AAD">
        <w:rPr>
          <w:rFonts w:ascii="Verdana" w:hAnsi="Verdana"/>
        </w:rPr>
        <w:t xml:space="preserve">increased due to the creation of a £20m </w:t>
      </w:r>
      <w:r w:rsidR="007909A2">
        <w:rPr>
          <w:rFonts w:ascii="Verdana" w:hAnsi="Verdana"/>
        </w:rPr>
        <w:t>C</w:t>
      </w:r>
      <w:r w:rsidR="000D7AAD">
        <w:rPr>
          <w:rFonts w:ascii="Verdana" w:hAnsi="Verdana"/>
        </w:rPr>
        <w:t xml:space="preserve">hange </w:t>
      </w:r>
      <w:r w:rsidR="007909A2">
        <w:rPr>
          <w:rFonts w:ascii="Verdana" w:hAnsi="Verdana"/>
        </w:rPr>
        <w:t>F</w:t>
      </w:r>
      <w:r w:rsidR="000D7AAD">
        <w:rPr>
          <w:rFonts w:ascii="Verdana" w:hAnsi="Verdana"/>
        </w:rPr>
        <w:t>und following changes to service concession arrangements as approved by Council in February 2023.</w:t>
      </w:r>
    </w:p>
    <w:p w14:paraId="643B340D" w14:textId="77777777" w:rsidR="00B83692" w:rsidRDefault="00B83692" w:rsidP="00E53B12">
      <w:pPr>
        <w:rPr>
          <w:rFonts w:ascii="Verdana" w:hAnsi="Verdana"/>
        </w:rPr>
      </w:pPr>
    </w:p>
    <w:p w14:paraId="285B5B29" w14:textId="09D61C40" w:rsidR="00B611CF" w:rsidRDefault="00BD3386" w:rsidP="00B611CF">
      <w:pPr>
        <w:ind w:left="1134" w:hanging="567"/>
        <w:rPr>
          <w:rFonts w:ascii="Verdana" w:hAnsi="Verdana"/>
        </w:rPr>
      </w:pPr>
      <w:r>
        <w:rPr>
          <w:rFonts w:ascii="Verdana" w:hAnsi="Verdana"/>
        </w:rPr>
        <w:t>5.3</w:t>
      </w:r>
      <w:r>
        <w:rPr>
          <w:rFonts w:ascii="Verdana" w:hAnsi="Verdana"/>
        </w:rPr>
        <w:tab/>
      </w:r>
      <w:r w:rsidR="00A539F5" w:rsidRPr="005604A6">
        <w:rPr>
          <w:rFonts w:ascii="Verdana" w:hAnsi="Verdana"/>
        </w:rPr>
        <w:t xml:space="preserve">A Corporate Financial Risk Register </w:t>
      </w:r>
      <w:r w:rsidR="00C00E28">
        <w:rPr>
          <w:rFonts w:ascii="Verdana" w:hAnsi="Verdana"/>
        </w:rPr>
        <w:t xml:space="preserve">(Appendix 1) </w:t>
      </w:r>
      <w:r w:rsidR="00A539F5" w:rsidRPr="005604A6">
        <w:rPr>
          <w:rFonts w:ascii="Verdana" w:hAnsi="Verdana"/>
        </w:rPr>
        <w:t>has again been used as the basis f</w:t>
      </w:r>
      <w:r w:rsidR="00A539F5">
        <w:rPr>
          <w:rFonts w:ascii="Verdana" w:hAnsi="Verdana"/>
        </w:rPr>
        <w:t>o</w:t>
      </w:r>
      <w:r w:rsidR="00BA3F5F">
        <w:rPr>
          <w:rFonts w:ascii="Verdana" w:hAnsi="Verdana"/>
        </w:rPr>
        <w:t xml:space="preserve">r setting </w:t>
      </w:r>
      <w:r w:rsidR="00B83692">
        <w:rPr>
          <w:rFonts w:ascii="Verdana" w:hAnsi="Verdana"/>
        </w:rPr>
        <w:t xml:space="preserve">unallocated </w:t>
      </w:r>
      <w:r w:rsidR="0056224B">
        <w:rPr>
          <w:rFonts w:ascii="Verdana" w:hAnsi="Verdana"/>
        </w:rPr>
        <w:t>R</w:t>
      </w:r>
      <w:r w:rsidR="00BA3F5F">
        <w:rPr>
          <w:rFonts w:ascii="Verdana" w:hAnsi="Verdana"/>
        </w:rPr>
        <w:t>eserve levels in 202</w:t>
      </w:r>
      <w:r w:rsidR="000D7AAD">
        <w:rPr>
          <w:rFonts w:ascii="Verdana" w:hAnsi="Verdana"/>
        </w:rPr>
        <w:t>4</w:t>
      </w:r>
      <w:r w:rsidR="00BA3F5F">
        <w:rPr>
          <w:rFonts w:ascii="Verdana" w:hAnsi="Verdana"/>
        </w:rPr>
        <w:t>/2</w:t>
      </w:r>
      <w:r w:rsidR="000D7AAD">
        <w:rPr>
          <w:rFonts w:ascii="Verdana" w:hAnsi="Verdana"/>
        </w:rPr>
        <w:t>5</w:t>
      </w:r>
      <w:r w:rsidR="00A539F5" w:rsidRPr="005604A6">
        <w:rPr>
          <w:rFonts w:ascii="Verdana" w:hAnsi="Verdana"/>
        </w:rPr>
        <w:t xml:space="preserve"> and future years. This approach seeks to quantify</w:t>
      </w:r>
      <w:r w:rsidR="00A539F5">
        <w:rPr>
          <w:rFonts w:ascii="Verdana" w:hAnsi="Verdana"/>
        </w:rPr>
        <w:t xml:space="preserve"> the risks facing the C</w:t>
      </w:r>
      <w:r w:rsidR="00A539F5" w:rsidRPr="005604A6">
        <w:rPr>
          <w:rFonts w:ascii="Verdana" w:hAnsi="Verdana"/>
        </w:rPr>
        <w:t>ouncil’s finances</w:t>
      </w:r>
      <w:r w:rsidR="0084472C">
        <w:rPr>
          <w:rFonts w:ascii="Verdana" w:hAnsi="Verdana"/>
        </w:rPr>
        <w:t>.</w:t>
      </w:r>
      <w:r w:rsidR="00A539F5" w:rsidRPr="005604A6">
        <w:rPr>
          <w:rFonts w:ascii="Verdana" w:hAnsi="Verdana"/>
        </w:rPr>
        <w:t xml:space="preserve"> </w:t>
      </w:r>
      <w:r w:rsidR="0084472C">
        <w:rPr>
          <w:rFonts w:ascii="Verdana" w:hAnsi="Verdana"/>
        </w:rPr>
        <w:t>A</w:t>
      </w:r>
      <w:r w:rsidR="00B611CF" w:rsidRPr="005604A6">
        <w:rPr>
          <w:rFonts w:ascii="Verdana" w:hAnsi="Verdana"/>
        </w:rPr>
        <w:t xml:space="preserve"> review of the major</w:t>
      </w:r>
      <w:r w:rsidR="00B611CF">
        <w:rPr>
          <w:rFonts w:ascii="Verdana" w:hAnsi="Verdana"/>
        </w:rPr>
        <w:t xml:space="preserve"> financial</w:t>
      </w:r>
      <w:r w:rsidR="00B611CF" w:rsidRPr="005604A6">
        <w:rPr>
          <w:rFonts w:ascii="Verdana" w:hAnsi="Verdana"/>
        </w:rPr>
        <w:t xml:space="preserve"> risks facing the Council has been undertaken by senior finance officers</w:t>
      </w:r>
      <w:r w:rsidR="00F31ECD">
        <w:rPr>
          <w:rFonts w:ascii="Verdana" w:hAnsi="Verdana"/>
        </w:rPr>
        <w:t xml:space="preserve">, </w:t>
      </w:r>
      <w:r w:rsidR="004D52BB">
        <w:rPr>
          <w:rFonts w:ascii="Verdana" w:hAnsi="Verdana"/>
        </w:rPr>
        <w:t>the Chief Officer Audit and Risk</w:t>
      </w:r>
      <w:r w:rsidR="00801B11">
        <w:rPr>
          <w:rFonts w:ascii="Verdana" w:hAnsi="Verdana"/>
        </w:rPr>
        <w:t xml:space="preserve"> and the Corporate Risk Officer</w:t>
      </w:r>
      <w:r w:rsidR="00B611CF" w:rsidRPr="005604A6">
        <w:rPr>
          <w:rFonts w:ascii="Verdana" w:hAnsi="Verdana"/>
        </w:rPr>
        <w:t xml:space="preserve"> and</w:t>
      </w:r>
      <w:r w:rsidR="00B611CF">
        <w:rPr>
          <w:rFonts w:ascii="Verdana" w:hAnsi="Verdana"/>
        </w:rPr>
        <w:t xml:space="preserve"> </w:t>
      </w:r>
      <w:r w:rsidR="00B611CF" w:rsidRPr="00353274">
        <w:rPr>
          <w:rFonts w:ascii="Verdana" w:hAnsi="Verdana"/>
        </w:rPr>
        <w:t>include underlying inflation, over optimistic savings assumptions, over optimistic assumptions regarding future Government grant funding, delays in delivery of transformation plans, unconfirmed future pay and pension cost increases, the failure by managers to enact effective budgetary control, severe weather events, potential legal and contractual claims and unplanned emergencies in approving an appropriate level of unallocated balances.</w:t>
      </w:r>
      <w:r w:rsidR="00B611CF">
        <w:rPr>
          <w:rFonts w:ascii="Verdana" w:hAnsi="Verdana"/>
        </w:rPr>
        <w:t xml:space="preserve"> </w:t>
      </w:r>
    </w:p>
    <w:p w14:paraId="62FA2ABF" w14:textId="53C4F934" w:rsidR="00A539F5" w:rsidRDefault="00A539F5" w:rsidP="00BD3386">
      <w:pPr>
        <w:ind w:left="1134" w:hanging="567"/>
        <w:rPr>
          <w:rFonts w:ascii="Verdana" w:hAnsi="Verdana"/>
          <w:b/>
        </w:rPr>
      </w:pPr>
    </w:p>
    <w:p w14:paraId="3246C6B1" w14:textId="403F70CC" w:rsidR="00BD3386" w:rsidRPr="0025113D" w:rsidRDefault="0025113D" w:rsidP="00BD3386">
      <w:pPr>
        <w:ind w:left="1134" w:hanging="567"/>
        <w:rPr>
          <w:rFonts w:ascii="Verdana" w:hAnsi="Verdana"/>
          <w:b/>
        </w:rPr>
      </w:pPr>
      <w:r>
        <w:rPr>
          <w:rFonts w:ascii="Verdana" w:hAnsi="Verdana"/>
        </w:rPr>
        <w:t>5.4</w:t>
      </w:r>
      <w:r>
        <w:rPr>
          <w:rFonts w:ascii="Verdana" w:hAnsi="Verdana"/>
        </w:rPr>
        <w:tab/>
      </w:r>
      <w:r w:rsidR="00A539F5">
        <w:rPr>
          <w:rFonts w:ascii="Verdana" w:hAnsi="Verdana"/>
        </w:rPr>
        <w:t xml:space="preserve">The level of </w:t>
      </w:r>
      <w:r w:rsidR="00E12194">
        <w:rPr>
          <w:rFonts w:ascii="Verdana" w:hAnsi="Verdana"/>
        </w:rPr>
        <w:t>U</w:t>
      </w:r>
      <w:r w:rsidR="00A539F5">
        <w:rPr>
          <w:rFonts w:ascii="Verdana" w:hAnsi="Verdana"/>
        </w:rPr>
        <w:t>n</w:t>
      </w:r>
      <w:r w:rsidR="00A539F5" w:rsidRPr="005604A6">
        <w:rPr>
          <w:rFonts w:ascii="Verdana" w:hAnsi="Verdana"/>
        </w:rPr>
        <w:t xml:space="preserve">allocated </w:t>
      </w:r>
      <w:r w:rsidR="00E12194">
        <w:rPr>
          <w:rFonts w:ascii="Verdana" w:hAnsi="Verdana"/>
        </w:rPr>
        <w:t>R</w:t>
      </w:r>
      <w:r w:rsidR="0022466C">
        <w:rPr>
          <w:rFonts w:ascii="Verdana" w:hAnsi="Verdana"/>
        </w:rPr>
        <w:t xml:space="preserve">eserves </w:t>
      </w:r>
      <w:r w:rsidR="00A539F5" w:rsidRPr="005604A6">
        <w:rPr>
          <w:rFonts w:ascii="Verdana" w:hAnsi="Verdana"/>
        </w:rPr>
        <w:t xml:space="preserve">is directly informed by an assessment of the risks facing the Council. This approach, despite being subject to an element of informed judgement, fundamentally reflects the risks inherent in setting the revenue budget, the reasons why </w:t>
      </w:r>
      <w:r w:rsidR="00E12194">
        <w:rPr>
          <w:rFonts w:ascii="Verdana" w:hAnsi="Verdana"/>
        </w:rPr>
        <w:t>R</w:t>
      </w:r>
      <w:r w:rsidR="00A539F5" w:rsidRPr="005604A6">
        <w:rPr>
          <w:rFonts w:ascii="Verdana" w:hAnsi="Verdana"/>
        </w:rPr>
        <w:t xml:space="preserve">eserves are held in the first place, the scale and complexity of the organisation and also provides </w:t>
      </w:r>
      <w:r w:rsidR="00A539F5">
        <w:rPr>
          <w:rFonts w:ascii="Verdana" w:hAnsi="Verdana"/>
        </w:rPr>
        <w:t>an appropriate transparent rationale</w:t>
      </w:r>
      <w:r w:rsidR="00A539F5" w:rsidRPr="005604A6">
        <w:rPr>
          <w:rFonts w:ascii="Verdana" w:hAnsi="Verdana"/>
        </w:rPr>
        <w:t xml:space="preserve"> </w:t>
      </w:r>
      <w:r w:rsidR="00A539F5">
        <w:rPr>
          <w:rFonts w:ascii="Verdana" w:hAnsi="Verdana"/>
        </w:rPr>
        <w:t xml:space="preserve">for </w:t>
      </w:r>
      <w:r w:rsidR="00A539F5" w:rsidRPr="005604A6">
        <w:rPr>
          <w:rFonts w:ascii="Verdana" w:hAnsi="Verdana"/>
        </w:rPr>
        <w:t xml:space="preserve">the level of balances held.  </w:t>
      </w:r>
      <w:r>
        <w:rPr>
          <w:rFonts w:ascii="Verdana" w:hAnsi="Verdana"/>
          <w:b/>
        </w:rPr>
        <w:t xml:space="preserve"> </w:t>
      </w:r>
    </w:p>
    <w:p w14:paraId="60413DF4" w14:textId="77777777" w:rsidR="0025113D" w:rsidRDefault="0025113D" w:rsidP="00A539F5">
      <w:pPr>
        <w:rPr>
          <w:rFonts w:ascii="Verdana" w:hAnsi="Verdana"/>
        </w:rPr>
      </w:pPr>
    </w:p>
    <w:p w14:paraId="41F2A8AF" w14:textId="4F37F1E5" w:rsidR="0025113D" w:rsidRPr="0025113D" w:rsidRDefault="0025113D" w:rsidP="00BD3386">
      <w:pPr>
        <w:ind w:left="1134" w:hanging="567"/>
        <w:rPr>
          <w:rFonts w:ascii="Verdana" w:hAnsi="Verdana"/>
          <w:b/>
        </w:rPr>
      </w:pPr>
      <w:r>
        <w:rPr>
          <w:rFonts w:ascii="Verdana" w:hAnsi="Verdana"/>
        </w:rPr>
        <w:t>5.5</w:t>
      </w:r>
      <w:r>
        <w:rPr>
          <w:rFonts w:ascii="Verdana" w:hAnsi="Verdana"/>
        </w:rPr>
        <w:tab/>
      </w:r>
      <w:r w:rsidR="00A539F5">
        <w:rPr>
          <w:rFonts w:ascii="Verdana" w:hAnsi="Verdana"/>
          <w:b/>
        </w:rPr>
        <w:t xml:space="preserve">Unallocated </w:t>
      </w:r>
      <w:r w:rsidR="009A1EC9">
        <w:rPr>
          <w:rFonts w:ascii="Verdana" w:hAnsi="Verdana"/>
          <w:b/>
        </w:rPr>
        <w:t>R</w:t>
      </w:r>
      <w:r w:rsidR="00575F69">
        <w:rPr>
          <w:rFonts w:ascii="Verdana" w:hAnsi="Verdana"/>
          <w:b/>
        </w:rPr>
        <w:t>eserves</w:t>
      </w:r>
    </w:p>
    <w:p w14:paraId="153E22C2" w14:textId="7F9ECC66" w:rsidR="005D4056" w:rsidRPr="005604A6" w:rsidRDefault="00A539F5" w:rsidP="004B355A">
      <w:pPr>
        <w:pStyle w:val="Header"/>
        <w:tabs>
          <w:tab w:val="clear" w:pos="4153"/>
          <w:tab w:val="clear" w:pos="8306"/>
          <w:tab w:val="left" w:pos="567"/>
          <w:tab w:val="left" w:pos="1134"/>
        </w:tabs>
        <w:spacing w:before="60" w:after="60" w:line="280" w:lineRule="atLeast"/>
        <w:ind w:left="1134"/>
        <w:rPr>
          <w:rFonts w:ascii="Verdana" w:hAnsi="Verdana"/>
        </w:rPr>
      </w:pPr>
      <w:r w:rsidRPr="005604A6">
        <w:rPr>
          <w:rFonts w:ascii="Verdana" w:hAnsi="Verdana"/>
        </w:rPr>
        <w:t xml:space="preserve">Given the issues identified in the risk register and risks inherent in setting the revenue budget, </w:t>
      </w:r>
      <w:r w:rsidR="009A1EC9">
        <w:rPr>
          <w:rFonts w:ascii="Verdana" w:hAnsi="Verdana"/>
        </w:rPr>
        <w:t>M</w:t>
      </w:r>
      <w:r w:rsidRPr="005604A6">
        <w:rPr>
          <w:rFonts w:ascii="Verdana" w:hAnsi="Verdana"/>
        </w:rPr>
        <w:t xml:space="preserve">embers are recommended to maintain an unallocated general </w:t>
      </w:r>
      <w:r w:rsidRPr="00B4444A">
        <w:rPr>
          <w:rFonts w:ascii="Verdana" w:hAnsi="Verdana"/>
        </w:rPr>
        <w:t xml:space="preserve">fund </w:t>
      </w:r>
      <w:r w:rsidR="00B4444A" w:rsidRPr="00B4444A">
        <w:rPr>
          <w:rFonts w:ascii="Verdana" w:hAnsi="Verdana"/>
        </w:rPr>
        <w:t xml:space="preserve">equivalent </w:t>
      </w:r>
      <w:r w:rsidR="00B4444A" w:rsidRPr="00211A78">
        <w:rPr>
          <w:rFonts w:ascii="Verdana" w:hAnsi="Verdana"/>
        </w:rPr>
        <w:t xml:space="preserve">to </w:t>
      </w:r>
      <w:r w:rsidR="00575F69">
        <w:rPr>
          <w:rFonts w:ascii="Verdana" w:hAnsi="Verdana"/>
        </w:rPr>
        <w:t>c</w:t>
      </w:r>
      <w:r w:rsidR="003361FE" w:rsidRPr="000D7AAD">
        <w:rPr>
          <w:rFonts w:ascii="Verdana" w:hAnsi="Verdana"/>
        </w:rPr>
        <w:t>£</w:t>
      </w:r>
      <w:r w:rsidR="000D7AAD" w:rsidRPr="000D7AAD">
        <w:rPr>
          <w:rFonts w:ascii="Verdana" w:hAnsi="Verdana"/>
        </w:rPr>
        <w:t>7.</w:t>
      </w:r>
      <w:r w:rsidR="00E71B1A">
        <w:rPr>
          <w:rFonts w:ascii="Verdana" w:hAnsi="Verdana"/>
        </w:rPr>
        <w:t>4</w:t>
      </w:r>
      <w:r w:rsidRPr="000D7AAD">
        <w:rPr>
          <w:rFonts w:ascii="Verdana" w:hAnsi="Verdana"/>
        </w:rPr>
        <w:t>m</w:t>
      </w:r>
      <w:r w:rsidR="00E71271" w:rsidRPr="000D7AAD">
        <w:rPr>
          <w:rFonts w:ascii="Verdana" w:hAnsi="Verdana"/>
        </w:rPr>
        <w:t xml:space="preserve"> </w:t>
      </w:r>
      <w:r w:rsidR="0010363F" w:rsidRPr="000D7AAD">
        <w:rPr>
          <w:rFonts w:ascii="Verdana" w:hAnsi="Verdana"/>
        </w:rPr>
        <w:t>in</w:t>
      </w:r>
      <w:r w:rsidR="00BA3F5F" w:rsidRPr="000D7AAD">
        <w:rPr>
          <w:rFonts w:ascii="Verdana" w:hAnsi="Verdana"/>
        </w:rPr>
        <w:t xml:space="preserve"> 202</w:t>
      </w:r>
      <w:r w:rsidR="000D7AAD" w:rsidRPr="000D7AAD">
        <w:rPr>
          <w:rFonts w:ascii="Verdana" w:hAnsi="Verdana"/>
        </w:rPr>
        <w:t>4</w:t>
      </w:r>
      <w:r w:rsidR="00BA3F5F" w:rsidRPr="000D7AAD">
        <w:rPr>
          <w:rFonts w:ascii="Verdana" w:hAnsi="Verdana"/>
        </w:rPr>
        <w:t>/2</w:t>
      </w:r>
      <w:r w:rsidR="000D7AAD" w:rsidRPr="000D7AAD">
        <w:rPr>
          <w:rFonts w:ascii="Verdana" w:hAnsi="Verdana"/>
        </w:rPr>
        <w:t>5</w:t>
      </w:r>
      <w:r w:rsidRPr="000D7AAD">
        <w:rPr>
          <w:rFonts w:ascii="Verdana" w:hAnsi="Verdana"/>
        </w:rPr>
        <w:t>.</w:t>
      </w:r>
      <w:r w:rsidRPr="00211A78">
        <w:rPr>
          <w:rFonts w:ascii="Verdana" w:hAnsi="Verdana"/>
        </w:rPr>
        <w:t xml:space="preserve">  The </w:t>
      </w:r>
      <w:r w:rsidR="00157088">
        <w:rPr>
          <w:rFonts w:ascii="Verdana" w:hAnsi="Verdana"/>
        </w:rPr>
        <w:t>U</w:t>
      </w:r>
      <w:r w:rsidRPr="00211A78">
        <w:rPr>
          <w:rFonts w:ascii="Verdana" w:hAnsi="Verdana"/>
        </w:rPr>
        <w:t xml:space="preserve">nallocated </w:t>
      </w:r>
      <w:r w:rsidR="00157088">
        <w:rPr>
          <w:rFonts w:ascii="Verdana" w:hAnsi="Verdana"/>
        </w:rPr>
        <w:t>R</w:t>
      </w:r>
      <w:r w:rsidR="00575F69">
        <w:rPr>
          <w:rFonts w:ascii="Verdana" w:hAnsi="Verdana"/>
        </w:rPr>
        <w:t xml:space="preserve">eserve </w:t>
      </w:r>
      <w:r w:rsidRPr="00211A78">
        <w:rPr>
          <w:rFonts w:ascii="Verdana" w:hAnsi="Verdana"/>
        </w:rPr>
        <w:t xml:space="preserve">projected at the </w:t>
      </w:r>
      <w:proofErr w:type="gramStart"/>
      <w:r w:rsidRPr="00211A78">
        <w:rPr>
          <w:rFonts w:ascii="Verdana" w:hAnsi="Verdana"/>
        </w:rPr>
        <w:t>31</w:t>
      </w:r>
      <w:r w:rsidRPr="00211A78">
        <w:rPr>
          <w:rFonts w:ascii="Verdana" w:hAnsi="Verdana"/>
          <w:vertAlign w:val="superscript"/>
        </w:rPr>
        <w:t>st</w:t>
      </w:r>
      <w:proofErr w:type="gramEnd"/>
      <w:r w:rsidRPr="00211A78">
        <w:rPr>
          <w:rFonts w:ascii="Verdana" w:hAnsi="Verdana"/>
        </w:rPr>
        <w:t xml:space="preserve"> March</w:t>
      </w:r>
      <w:r w:rsidR="00BA3F5F" w:rsidRPr="00211A78">
        <w:rPr>
          <w:rFonts w:ascii="Verdana" w:hAnsi="Verdana"/>
        </w:rPr>
        <w:t xml:space="preserve"> 202</w:t>
      </w:r>
      <w:r w:rsidR="000D7AAD">
        <w:rPr>
          <w:rFonts w:ascii="Verdana" w:hAnsi="Verdana"/>
        </w:rPr>
        <w:t>4</w:t>
      </w:r>
      <w:r w:rsidRPr="00211A78">
        <w:rPr>
          <w:rFonts w:ascii="Verdana" w:hAnsi="Verdana"/>
        </w:rPr>
        <w:t xml:space="preserve"> equates to </w:t>
      </w:r>
      <w:r w:rsidR="00E40CEA">
        <w:rPr>
          <w:rFonts w:ascii="Verdana" w:hAnsi="Verdana"/>
        </w:rPr>
        <w:t>2.0</w:t>
      </w:r>
      <w:r w:rsidRPr="005F1827">
        <w:rPr>
          <w:rFonts w:ascii="Verdana" w:hAnsi="Verdana"/>
        </w:rPr>
        <w:t xml:space="preserve">% of net revenue expenditure and is sufficient </w:t>
      </w:r>
      <w:r w:rsidRPr="00E053C3">
        <w:rPr>
          <w:rFonts w:ascii="Verdana" w:hAnsi="Verdana"/>
        </w:rPr>
        <w:t xml:space="preserve">to </w:t>
      </w:r>
      <w:r w:rsidR="004065CF" w:rsidRPr="00E053C3">
        <w:rPr>
          <w:rFonts w:ascii="Verdana" w:hAnsi="Verdana"/>
        </w:rPr>
        <w:t xml:space="preserve">cover </w:t>
      </w:r>
      <w:r w:rsidR="00E477AE" w:rsidRPr="00E053C3">
        <w:rPr>
          <w:rFonts w:ascii="Verdana" w:hAnsi="Verdana"/>
        </w:rPr>
        <w:t>5</w:t>
      </w:r>
      <w:r w:rsidR="00E40CEA">
        <w:rPr>
          <w:rFonts w:ascii="Verdana" w:hAnsi="Verdana"/>
        </w:rPr>
        <w:t>0</w:t>
      </w:r>
      <w:r w:rsidRPr="00E053C3">
        <w:rPr>
          <w:rFonts w:ascii="Verdana" w:hAnsi="Verdana"/>
        </w:rPr>
        <w:t>%</w:t>
      </w:r>
      <w:r w:rsidRPr="00E053C3">
        <w:rPr>
          <w:rFonts w:ascii="Verdana" w:hAnsi="Verdana"/>
          <w:color w:val="FF0000"/>
        </w:rPr>
        <w:t xml:space="preserve"> </w:t>
      </w:r>
      <w:r w:rsidRPr="00E053C3">
        <w:rPr>
          <w:rFonts w:ascii="Verdana" w:hAnsi="Verdana"/>
        </w:rPr>
        <w:t>of the</w:t>
      </w:r>
      <w:r w:rsidRPr="00A745FC">
        <w:rPr>
          <w:rFonts w:ascii="Verdana" w:hAnsi="Verdana"/>
        </w:rPr>
        <w:t xml:space="preserve"> </w:t>
      </w:r>
      <w:r w:rsidR="00A36E3D">
        <w:rPr>
          <w:rFonts w:ascii="Verdana" w:hAnsi="Verdana"/>
        </w:rPr>
        <w:t xml:space="preserve">financial </w:t>
      </w:r>
      <w:r w:rsidRPr="00A745FC">
        <w:rPr>
          <w:rFonts w:ascii="Verdana" w:hAnsi="Verdana"/>
        </w:rPr>
        <w:t>risks</w:t>
      </w:r>
      <w:r w:rsidRPr="005604A6">
        <w:rPr>
          <w:rFonts w:ascii="Verdana" w:hAnsi="Verdana"/>
        </w:rPr>
        <w:t xml:space="preserve"> identified in the </w:t>
      </w:r>
      <w:r>
        <w:rPr>
          <w:rFonts w:ascii="Verdana" w:hAnsi="Verdana"/>
        </w:rPr>
        <w:t xml:space="preserve">finance </w:t>
      </w:r>
      <w:r w:rsidRPr="005604A6">
        <w:rPr>
          <w:rFonts w:ascii="Verdana" w:hAnsi="Verdana"/>
        </w:rPr>
        <w:t>risk register</w:t>
      </w:r>
      <w:r w:rsidR="00C00E28">
        <w:rPr>
          <w:rFonts w:ascii="Verdana" w:hAnsi="Verdana"/>
        </w:rPr>
        <w:t xml:space="preserve"> in Appendix 1,</w:t>
      </w:r>
      <w:r>
        <w:rPr>
          <w:rFonts w:ascii="Verdana" w:hAnsi="Verdana"/>
        </w:rPr>
        <w:t xml:space="preserve"> should they be realised</w:t>
      </w:r>
      <w:r w:rsidRPr="005604A6">
        <w:rPr>
          <w:rFonts w:ascii="Verdana" w:hAnsi="Verdana"/>
        </w:rPr>
        <w:t>.</w:t>
      </w:r>
    </w:p>
    <w:p w14:paraId="6C9FD41D" w14:textId="77777777" w:rsidR="00FD3623" w:rsidRDefault="00FD3623" w:rsidP="00A539F5">
      <w:pPr>
        <w:rPr>
          <w:rFonts w:ascii="Verdana" w:hAnsi="Verdana"/>
        </w:rPr>
      </w:pPr>
    </w:p>
    <w:p w14:paraId="1350EA18" w14:textId="4D1202C9" w:rsidR="00116A5B" w:rsidRDefault="0025113D" w:rsidP="008902F9">
      <w:pPr>
        <w:tabs>
          <w:tab w:val="left" w:pos="1134"/>
        </w:tabs>
        <w:ind w:left="567" w:hanging="567"/>
        <w:rPr>
          <w:rFonts w:ascii="Verdana" w:hAnsi="Verdana"/>
          <w:b/>
        </w:rPr>
      </w:pPr>
      <w:r>
        <w:rPr>
          <w:rFonts w:ascii="Verdana" w:hAnsi="Verdana"/>
          <w:b/>
        </w:rPr>
        <w:lastRenderedPageBreak/>
        <w:t>6</w:t>
      </w:r>
      <w:r>
        <w:rPr>
          <w:rFonts w:ascii="Verdana" w:hAnsi="Verdana"/>
          <w:b/>
        </w:rPr>
        <w:tab/>
      </w:r>
      <w:r w:rsidR="00116A5B">
        <w:rPr>
          <w:rFonts w:ascii="Verdana" w:hAnsi="Verdana"/>
          <w:b/>
        </w:rPr>
        <w:t>REVENUE RESOURCES</w:t>
      </w:r>
    </w:p>
    <w:p w14:paraId="54781F0F" w14:textId="77777777" w:rsidR="00116A5B" w:rsidRPr="00D05D02" w:rsidRDefault="00116A5B" w:rsidP="0025113D">
      <w:pPr>
        <w:ind w:left="567" w:hanging="567"/>
        <w:rPr>
          <w:rFonts w:ascii="Verdana" w:hAnsi="Verdana"/>
          <w:bCs/>
        </w:rPr>
      </w:pPr>
    </w:p>
    <w:p w14:paraId="0380EA2E" w14:textId="377655CE" w:rsidR="00674207" w:rsidRPr="00C00E28" w:rsidRDefault="00D43BC0" w:rsidP="00674207">
      <w:pPr>
        <w:ind w:left="1134" w:hanging="567"/>
        <w:rPr>
          <w:rFonts w:ascii="Verdana" w:hAnsi="Verdana"/>
        </w:rPr>
      </w:pPr>
      <w:r w:rsidRPr="00D43BC0">
        <w:rPr>
          <w:rFonts w:ascii="Verdana" w:hAnsi="Verdana"/>
        </w:rPr>
        <w:t>6.1</w:t>
      </w:r>
      <w:r w:rsidR="00A859F8">
        <w:rPr>
          <w:rFonts w:ascii="Verdana" w:hAnsi="Verdana"/>
        </w:rPr>
        <w:tab/>
      </w:r>
      <w:r w:rsidR="00116A5B" w:rsidRPr="00D43BC0">
        <w:rPr>
          <w:rFonts w:ascii="Verdana" w:hAnsi="Verdana"/>
        </w:rPr>
        <w:t xml:space="preserve">The total revenue </w:t>
      </w:r>
      <w:r w:rsidR="000F0AB5" w:rsidRPr="00D43BC0">
        <w:rPr>
          <w:rFonts w:ascii="Verdana" w:hAnsi="Verdana"/>
        </w:rPr>
        <w:t>funding</w:t>
      </w:r>
      <w:r w:rsidR="00116A5B" w:rsidRPr="00D43BC0">
        <w:rPr>
          <w:rFonts w:ascii="Verdana" w:hAnsi="Verdana"/>
        </w:rPr>
        <w:t xml:space="preserve"> </w:t>
      </w:r>
      <w:r w:rsidR="000F0AB5" w:rsidRPr="00D43BC0">
        <w:rPr>
          <w:rFonts w:ascii="Verdana" w:hAnsi="Verdana"/>
        </w:rPr>
        <w:t>available</w:t>
      </w:r>
      <w:r w:rsidR="00116A5B" w:rsidRPr="00D43BC0">
        <w:rPr>
          <w:rFonts w:ascii="Verdana" w:hAnsi="Verdana"/>
        </w:rPr>
        <w:t xml:space="preserve"> to the </w:t>
      </w:r>
      <w:r w:rsidR="0068377F">
        <w:rPr>
          <w:rFonts w:ascii="Verdana" w:hAnsi="Verdana"/>
        </w:rPr>
        <w:t>C</w:t>
      </w:r>
      <w:r w:rsidR="00116A5B" w:rsidRPr="00D43BC0">
        <w:rPr>
          <w:rFonts w:ascii="Verdana" w:hAnsi="Verdana"/>
        </w:rPr>
        <w:t>ouncil in 2024/25 is £370.</w:t>
      </w:r>
      <w:r w:rsidR="00DF21A6">
        <w:rPr>
          <w:rFonts w:ascii="Verdana" w:hAnsi="Verdana"/>
        </w:rPr>
        <w:t>2</w:t>
      </w:r>
      <w:r w:rsidR="00116A5B" w:rsidRPr="00D43BC0">
        <w:rPr>
          <w:rFonts w:ascii="Verdana" w:hAnsi="Verdana"/>
        </w:rPr>
        <w:t>m as</w:t>
      </w:r>
      <w:r w:rsidR="009E494C">
        <w:rPr>
          <w:rFonts w:ascii="Verdana" w:hAnsi="Verdana"/>
        </w:rPr>
        <w:t xml:space="preserve"> </w:t>
      </w:r>
      <w:r w:rsidR="00116A5B" w:rsidRPr="00D43BC0">
        <w:rPr>
          <w:rFonts w:ascii="Verdana" w:hAnsi="Verdana"/>
        </w:rPr>
        <w:t xml:space="preserve">detailed in the table below. </w:t>
      </w:r>
      <w:r w:rsidR="00CF6CD8" w:rsidRPr="00D43BC0">
        <w:rPr>
          <w:rFonts w:ascii="Verdana" w:hAnsi="Verdana"/>
        </w:rPr>
        <w:t xml:space="preserve">77% </w:t>
      </w:r>
      <w:r w:rsidR="00A94032" w:rsidRPr="00D43BC0">
        <w:rPr>
          <w:rFonts w:ascii="Verdana" w:hAnsi="Verdana"/>
        </w:rPr>
        <w:t>(£285</w:t>
      </w:r>
      <w:r w:rsidR="00474D90">
        <w:rPr>
          <w:rFonts w:ascii="Verdana" w:hAnsi="Verdana"/>
        </w:rPr>
        <w:t>.7</w:t>
      </w:r>
      <w:r w:rsidR="00A94032" w:rsidRPr="00D43BC0">
        <w:rPr>
          <w:rFonts w:ascii="Verdana" w:hAnsi="Verdana"/>
        </w:rPr>
        <w:t xml:space="preserve">m) </w:t>
      </w:r>
      <w:r w:rsidR="00CF6CD8" w:rsidRPr="00D43BC0">
        <w:rPr>
          <w:rFonts w:ascii="Verdana" w:hAnsi="Verdana"/>
        </w:rPr>
        <w:t>of the</w:t>
      </w:r>
      <w:r w:rsidR="00A94032" w:rsidRPr="00D43BC0">
        <w:rPr>
          <w:rFonts w:ascii="Verdana" w:hAnsi="Verdana"/>
        </w:rPr>
        <w:t xml:space="preserve"> total funding for 2024/25 will be made available via Scottish Government in the form of Aggregate External </w:t>
      </w:r>
      <w:r w:rsidR="00647F9D" w:rsidRPr="00D43BC0">
        <w:rPr>
          <w:rFonts w:ascii="Verdana" w:hAnsi="Verdana"/>
        </w:rPr>
        <w:t xml:space="preserve">Finance (AEF) with a further </w:t>
      </w:r>
      <w:r w:rsidR="0082307E" w:rsidRPr="00D43BC0">
        <w:rPr>
          <w:rFonts w:ascii="Verdana" w:hAnsi="Verdana"/>
        </w:rPr>
        <w:t>2.5% (£9.6m) coming through one</w:t>
      </w:r>
      <w:r w:rsidR="0068377F">
        <w:rPr>
          <w:rFonts w:ascii="Verdana" w:hAnsi="Verdana"/>
        </w:rPr>
        <w:t>-</w:t>
      </w:r>
      <w:r w:rsidR="0082307E" w:rsidRPr="00D43BC0">
        <w:rPr>
          <w:rFonts w:ascii="Verdana" w:hAnsi="Verdana"/>
        </w:rPr>
        <w:t>of</w:t>
      </w:r>
      <w:r w:rsidR="00C72441" w:rsidRPr="00D43BC0">
        <w:rPr>
          <w:rFonts w:ascii="Verdana" w:hAnsi="Verdana"/>
        </w:rPr>
        <w:t>f R</w:t>
      </w:r>
      <w:r w:rsidR="0082307E" w:rsidRPr="00D43BC0">
        <w:rPr>
          <w:rFonts w:ascii="Verdana" w:hAnsi="Verdana"/>
        </w:rPr>
        <w:t>eser</w:t>
      </w:r>
      <w:r w:rsidR="00C72441" w:rsidRPr="00D43BC0">
        <w:rPr>
          <w:rFonts w:ascii="Verdana" w:hAnsi="Verdana"/>
        </w:rPr>
        <w:t>v</w:t>
      </w:r>
      <w:r w:rsidR="0082307E" w:rsidRPr="00D43BC0">
        <w:rPr>
          <w:rFonts w:ascii="Verdana" w:hAnsi="Verdana"/>
        </w:rPr>
        <w:t xml:space="preserve">es and the remaining </w:t>
      </w:r>
      <w:r w:rsidR="003E59CC" w:rsidRPr="00D43BC0">
        <w:rPr>
          <w:rFonts w:ascii="Verdana" w:hAnsi="Verdana"/>
        </w:rPr>
        <w:t>20% (£7</w:t>
      </w:r>
      <w:r w:rsidR="007A18DB">
        <w:rPr>
          <w:rFonts w:ascii="Verdana" w:hAnsi="Verdana"/>
        </w:rPr>
        <w:t>4.9</w:t>
      </w:r>
      <w:r w:rsidR="003E59CC" w:rsidRPr="00D43BC0">
        <w:rPr>
          <w:rFonts w:ascii="Verdana" w:hAnsi="Verdana"/>
        </w:rPr>
        <w:t>m) being generated through Council Tax income</w:t>
      </w:r>
      <w:r w:rsidR="00C00E28">
        <w:rPr>
          <w:rFonts w:ascii="Verdana" w:hAnsi="Verdana"/>
        </w:rPr>
        <w:t>.</w:t>
      </w:r>
    </w:p>
    <w:p w14:paraId="308FBCE5" w14:textId="20D9F97C" w:rsidR="000F0AB5" w:rsidRPr="00C00E28" w:rsidRDefault="000F0AB5" w:rsidP="00C00E28">
      <w:pPr>
        <w:spacing w:before="60" w:after="60"/>
        <w:rPr>
          <w:i/>
          <w:iCs/>
        </w:rPr>
      </w:pPr>
      <w:r w:rsidRPr="00F01726">
        <w:rPr>
          <w:i/>
          <w:iCs/>
        </w:rPr>
        <w:t xml:space="preserve">Table </w:t>
      </w:r>
      <w:r w:rsidR="00F01726" w:rsidRPr="00F01726">
        <w:rPr>
          <w:i/>
          <w:iCs/>
        </w:rPr>
        <w:t>2</w:t>
      </w:r>
      <w:r w:rsidRPr="00F01726">
        <w:rPr>
          <w:i/>
          <w:iCs/>
        </w:rPr>
        <w:t>: Sum</w:t>
      </w:r>
      <w:r w:rsidRPr="000D7AAD">
        <w:rPr>
          <w:i/>
          <w:iCs/>
        </w:rPr>
        <w:t xml:space="preserve">mary </w:t>
      </w:r>
      <w:r>
        <w:rPr>
          <w:i/>
          <w:iCs/>
        </w:rPr>
        <w:t>o</w:t>
      </w:r>
      <w:r w:rsidRPr="000D7AAD">
        <w:rPr>
          <w:i/>
          <w:iCs/>
        </w:rPr>
        <w:t>f revenue resourcing within the financial plan</w:t>
      </w:r>
    </w:p>
    <w:p w14:paraId="7D4AAA4F" w14:textId="4EB15E6D" w:rsidR="000F0AB5" w:rsidRDefault="004969BD" w:rsidP="000F0AB5">
      <w:pPr>
        <w:spacing w:before="60" w:after="60"/>
      </w:pPr>
      <w:r>
        <w:rPr>
          <w:noProof/>
        </w:rPr>
        <w:drawing>
          <wp:inline distT="0" distB="0" distL="0" distR="0" wp14:anchorId="75486F86" wp14:editId="3F7EE3E4">
            <wp:extent cx="5695950" cy="2601853"/>
            <wp:effectExtent l="0" t="0" r="0" b="825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786" cy="2604975"/>
                    </a:xfrm>
                    <a:prstGeom prst="rect">
                      <a:avLst/>
                    </a:prstGeom>
                    <a:noFill/>
                    <a:ln>
                      <a:noFill/>
                    </a:ln>
                  </pic:spPr>
                </pic:pic>
              </a:graphicData>
            </a:graphic>
          </wp:inline>
        </w:drawing>
      </w:r>
    </w:p>
    <w:p w14:paraId="64EDAC87" w14:textId="77777777" w:rsidR="00116A5B" w:rsidRDefault="00116A5B" w:rsidP="00C72441">
      <w:pPr>
        <w:rPr>
          <w:rFonts w:ascii="Verdana" w:hAnsi="Verdana"/>
          <w:b/>
        </w:rPr>
      </w:pPr>
    </w:p>
    <w:p w14:paraId="1ADFDE63" w14:textId="3BA48FF9" w:rsidR="0025113D" w:rsidRPr="0025113D" w:rsidRDefault="00BA3F5F" w:rsidP="0025113D">
      <w:pPr>
        <w:ind w:left="567" w:hanging="567"/>
        <w:rPr>
          <w:rFonts w:ascii="Verdana" w:hAnsi="Verdana"/>
          <w:b/>
        </w:rPr>
      </w:pPr>
      <w:r>
        <w:rPr>
          <w:rFonts w:ascii="Verdana" w:hAnsi="Verdana"/>
          <w:b/>
        </w:rPr>
        <w:t xml:space="preserve">THE </w:t>
      </w:r>
      <w:r w:rsidR="00A36E3D" w:rsidRPr="00F215F1">
        <w:rPr>
          <w:rFonts w:ascii="Verdana" w:hAnsi="Verdana"/>
          <w:b/>
        </w:rPr>
        <w:t>AGGREGATE EXTERNAL FINANCE</w:t>
      </w:r>
      <w:r w:rsidR="00A36E3D" w:rsidRPr="00155762">
        <w:rPr>
          <w:rFonts w:ascii="Verdana" w:hAnsi="Verdana"/>
        </w:rPr>
        <w:t xml:space="preserve"> </w:t>
      </w:r>
      <w:r w:rsidR="00A36E3D">
        <w:rPr>
          <w:rFonts w:ascii="Verdana" w:hAnsi="Verdana"/>
        </w:rPr>
        <w:t>(</w:t>
      </w:r>
      <w:r>
        <w:rPr>
          <w:rFonts w:ascii="Verdana" w:hAnsi="Verdana"/>
          <w:b/>
        </w:rPr>
        <w:t>AEF</w:t>
      </w:r>
      <w:r w:rsidR="00A36E3D">
        <w:rPr>
          <w:rFonts w:ascii="Verdana" w:hAnsi="Verdana"/>
          <w:b/>
        </w:rPr>
        <w:t>)</w:t>
      </w:r>
      <w:r>
        <w:rPr>
          <w:rFonts w:ascii="Verdana" w:hAnsi="Verdana"/>
          <w:b/>
        </w:rPr>
        <w:t xml:space="preserve"> SETTLEMENT 202</w:t>
      </w:r>
      <w:r w:rsidR="000D7AAD">
        <w:rPr>
          <w:rFonts w:ascii="Verdana" w:hAnsi="Verdana"/>
          <w:b/>
        </w:rPr>
        <w:t>4</w:t>
      </w:r>
      <w:r>
        <w:rPr>
          <w:rFonts w:ascii="Verdana" w:hAnsi="Verdana"/>
          <w:b/>
        </w:rPr>
        <w:t>/2</w:t>
      </w:r>
      <w:r w:rsidR="000D7AAD">
        <w:rPr>
          <w:rFonts w:ascii="Verdana" w:hAnsi="Verdana"/>
          <w:b/>
        </w:rPr>
        <w:t>5</w:t>
      </w:r>
    </w:p>
    <w:p w14:paraId="004CDE5F" w14:textId="77777777" w:rsidR="00116A5B" w:rsidRDefault="00116A5B" w:rsidP="00C72441">
      <w:pPr>
        <w:rPr>
          <w:rFonts w:ascii="Verdana" w:hAnsi="Verdana"/>
        </w:rPr>
      </w:pPr>
    </w:p>
    <w:p w14:paraId="10E2C867" w14:textId="483C976A" w:rsidR="00265351" w:rsidRDefault="00C869B8" w:rsidP="006A4A3B">
      <w:pPr>
        <w:ind w:left="1134" w:hanging="567"/>
        <w:rPr>
          <w:rFonts w:ascii="Verdana" w:hAnsi="Verdana"/>
        </w:rPr>
      </w:pPr>
      <w:r>
        <w:rPr>
          <w:rFonts w:ascii="Verdana" w:hAnsi="Verdana"/>
        </w:rPr>
        <w:t>6</w:t>
      </w:r>
      <w:r w:rsidR="00C72441">
        <w:rPr>
          <w:rFonts w:ascii="Verdana" w:hAnsi="Verdana"/>
        </w:rPr>
        <w:t>.</w:t>
      </w:r>
      <w:r>
        <w:rPr>
          <w:rFonts w:ascii="Verdana" w:hAnsi="Verdana"/>
        </w:rPr>
        <w:t>2</w:t>
      </w:r>
      <w:r w:rsidR="00C72441">
        <w:rPr>
          <w:rFonts w:ascii="Verdana" w:hAnsi="Verdana"/>
        </w:rPr>
        <w:tab/>
      </w:r>
      <w:r w:rsidR="00A539F5">
        <w:rPr>
          <w:rFonts w:ascii="Verdana" w:hAnsi="Verdana"/>
        </w:rPr>
        <w:t>Mainstream support for Local G</w:t>
      </w:r>
      <w:r w:rsidR="00A539F5" w:rsidRPr="00155762">
        <w:rPr>
          <w:rFonts w:ascii="Verdana" w:hAnsi="Verdana"/>
        </w:rPr>
        <w:t xml:space="preserve">overnment </w:t>
      </w:r>
      <w:r w:rsidR="00A539F5">
        <w:rPr>
          <w:rFonts w:ascii="Verdana" w:hAnsi="Verdana"/>
        </w:rPr>
        <w:t xml:space="preserve">from the Scottish Government is </w:t>
      </w:r>
      <w:r w:rsidR="00A539F5" w:rsidRPr="00155762">
        <w:rPr>
          <w:rFonts w:ascii="Verdana" w:hAnsi="Verdana"/>
        </w:rPr>
        <w:t>collectively known as Aggregate External Finance (AEF) and comprises:-</w:t>
      </w:r>
    </w:p>
    <w:p w14:paraId="672ECAF7" w14:textId="77777777" w:rsidR="00A539F5" w:rsidRDefault="00A539F5" w:rsidP="006A4A3B">
      <w:pPr>
        <w:ind w:left="1701" w:hanging="567"/>
        <w:rPr>
          <w:rFonts w:ascii="Verdana" w:hAnsi="Verdana"/>
        </w:rPr>
      </w:pPr>
    </w:p>
    <w:p w14:paraId="092D64BD" w14:textId="72BA6692" w:rsidR="00A539F5" w:rsidRDefault="00A539F5" w:rsidP="006459DC">
      <w:pPr>
        <w:numPr>
          <w:ilvl w:val="0"/>
          <w:numId w:val="6"/>
        </w:numPr>
        <w:ind w:left="1701" w:hanging="567"/>
        <w:rPr>
          <w:rFonts w:ascii="Verdana" w:hAnsi="Verdana"/>
        </w:rPr>
      </w:pPr>
      <w:r w:rsidRPr="00155762">
        <w:rPr>
          <w:rFonts w:ascii="Verdana" w:hAnsi="Verdana"/>
        </w:rPr>
        <w:t xml:space="preserve">General Revenue </w:t>
      </w:r>
      <w:r w:rsidR="00777107">
        <w:rPr>
          <w:rFonts w:ascii="Verdana" w:hAnsi="Verdana"/>
        </w:rPr>
        <w:t>Grant</w:t>
      </w:r>
      <w:r w:rsidR="00777107" w:rsidRPr="00155762">
        <w:rPr>
          <w:rFonts w:ascii="Verdana" w:hAnsi="Verdana"/>
        </w:rPr>
        <w:t xml:space="preserve"> </w:t>
      </w:r>
      <w:r w:rsidRPr="00155762">
        <w:rPr>
          <w:rFonts w:ascii="Verdana" w:hAnsi="Verdana"/>
        </w:rPr>
        <w:t>to support expenditure on the complete range of Council Services</w:t>
      </w:r>
      <w:r>
        <w:rPr>
          <w:rFonts w:ascii="Verdana" w:hAnsi="Verdana"/>
        </w:rPr>
        <w:t>;</w:t>
      </w:r>
    </w:p>
    <w:p w14:paraId="2D7E5591" w14:textId="77777777" w:rsidR="00A539F5" w:rsidRDefault="00A539F5" w:rsidP="006459DC">
      <w:pPr>
        <w:numPr>
          <w:ilvl w:val="0"/>
          <w:numId w:val="6"/>
        </w:numPr>
        <w:ind w:left="1701" w:hanging="567"/>
        <w:rPr>
          <w:rFonts w:ascii="Verdana" w:hAnsi="Verdana"/>
        </w:rPr>
      </w:pPr>
      <w:r>
        <w:rPr>
          <w:rFonts w:ascii="Verdana" w:hAnsi="Verdana"/>
        </w:rPr>
        <w:t xml:space="preserve">A </w:t>
      </w:r>
      <w:r w:rsidRPr="00155762">
        <w:rPr>
          <w:rFonts w:ascii="Verdana" w:hAnsi="Verdana"/>
        </w:rPr>
        <w:t>d</w:t>
      </w:r>
      <w:r>
        <w:rPr>
          <w:rFonts w:ascii="Verdana" w:hAnsi="Verdana"/>
        </w:rPr>
        <w:t>istribution of funding fro</w:t>
      </w:r>
      <w:r w:rsidRPr="00155762">
        <w:rPr>
          <w:rFonts w:ascii="Verdana" w:hAnsi="Verdana"/>
        </w:rPr>
        <w:t>m the National Non-Domestic Rates Pool</w:t>
      </w:r>
      <w:r>
        <w:rPr>
          <w:rFonts w:ascii="Verdana" w:hAnsi="Verdana"/>
        </w:rPr>
        <w:t>;</w:t>
      </w:r>
      <w:r w:rsidR="00F32BD7">
        <w:rPr>
          <w:rFonts w:ascii="Verdana" w:hAnsi="Verdana"/>
        </w:rPr>
        <w:t xml:space="preserve"> and</w:t>
      </w:r>
    </w:p>
    <w:p w14:paraId="40D34D9C" w14:textId="77777777" w:rsidR="00E71FC8" w:rsidRDefault="00A539F5" w:rsidP="006459DC">
      <w:pPr>
        <w:numPr>
          <w:ilvl w:val="0"/>
          <w:numId w:val="6"/>
        </w:numPr>
        <w:ind w:left="1701" w:hanging="567"/>
        <w:rPr>
          <w:rFonts w:ascii="Verdana" w:hAnsi="Verdana"/>
        </w:rPr>
      </w:pPr>
      <w:r w:rsidRPr="00155762">
        <w:rPr>
          <w:rFonts w:ascii="Verdana" w:hAnsi="Verdana"/>
        </w:rPr>
        <w:t xml:space="preserve">Ring-fenced grants which must </w:t>
      </w:r>
      <w:r>
        <w:rPr>
          <w:rFonts w:ascii="Verdana" w:hAnsi="Verdana"/>
        </w:rPr>
        <w:t xml:space="preserve">be </w:t>
      </w:r>
      <w:r w:rsidRPr="00155762">
        <w:rPr>
          <w:rFonts w:ascii="Verdana" w:hAnsi="Verdana"/>
        </w:rPr>
        <w:t>use</w:t>
      </w:r>
      <w:r>
        <w:rPr>
          <w:rFonts w:ascii="Verdana" w:hAnsi="Verdana"/>
        </w:rPr>
        <w:t>d</w:t>
      </w:r>
      <w:r w:rsidRPr="00155762">
        <w:rPr>
          <w:rFonts w:ascii="Verdana" w:hAnsi="Verdana"/>
        </w:rPr>
        <w:t xml:space="preserve"> for specified purposes</w:t>
      </w:r>
      <w:r w:rsidR="00F32BD7">
        <w:rPr>
          <w:rFonts w:ascii="Verdana" w:hAnsi="Verdana"/>
        </w:rPr>
        <w:t>.</w:t>
      </w:r>
    </w:p>
    <w:p w14:paraId="4C586421" w14:textId="388FFEC7" w:rsidR="00674207" w:rsidRDefault="00674207" w:rsidP="006459DC">
      <w:pPr>
        <w:numPr>
          <w:ilvl w:val="0"/>
          <w:numId w:val="6"/>
        </w:numPr>
        <w:ind w:left="1701" w:hanging="567"/>
        <w:rPr>
          <w:rFonts w:ascii="Verdana" w:hAnsi="Verdana"/>
        </w:rPr>
      </w:pPr>
      <w:r>
        <w:rPr>
          <w:rFonts w:ascii="Verdana" w:hAnsi="Verdana"/>
        </w:rPr>
        <w:t>£</w:t>
      </w:r>
      <w:r w:rsidR="003C41FB">
        <w:rPr>
          <w:rFonts w:ascii="Verdana" w:hAnsi="Verdana"/>
        </w:rPr>
        <w:t xml:space="preserve">1.8m of funding is also assumed to fund the </w:t>
      </w:r>
      <w:r w:rsidR="00C62515">
        <w:rPr>
          <w:rFonts w:ascii="Verdana" w:hAnsi="Verdana"/>
        </w:rPr>
        <w:t xml:space="preserve">3% </w:t>
      </w:r>
      <w:r w:rsidR="003C41FB">
        <w:rPr>
          <w:rFonts w:ascii="Verdana" w:hAnsi="Verdana"/>
        </w:rPr>
        <w:t xml:space="preserve">increase </w:t>
      </w:r>
      <w:r w:rsidR="00C62515">
        <w:rPr>
          <w:rFonts w:ascii="Verdana" w:hAnsi="Verdana"/>
        </w:rPr>
        <w:t xml:space="preserve">to </w:t>
      </w:r>
      <w:r w:rsidR="003C41FB">
        <w:rPr>
          <w:rFonts w:ascii="Verdana" w:hAnsi="Verdana"/>
        </w:rPr>
        <w:t>teacher</w:t>
      </w:r>
      <w:r w:rsidR="00D21359">
        <w:rPr>
          <w:rFonts w:ascii="Verdana" w:hAnsi="Verdana"/>
        </w:rPr>
        <w:t>’</w:t>
      </w:r>
      <w:r w:rsidR="003C41FB">
        <w:rPr>
          <w:rFonts w:ascii="Verdana" w:hAnsi="Verdana"/>
        </w:rPr>
        <w:t xml:space="preserve">s </w:t>
      </w:r>
      <w:r w:rsidR="00D21359">
        <w:rPr>
          <w:rFonts w:ascii="Verdana" w:hAnsi="Verdana"/>
        </w:rPr>
        <w:t xml:space="preserve">employer </w:t>
      </w:r>
      <w:r w:rsidR="003C41FB">
        <w:rPr>
          <w:rFonts w:ascii="Verdana" w:hAnsi="Verdana"/>
        </w:rPr>
        <w:t>p</w:t>
      </w:r>
      <w:r w:rsidR="00C62515">
        <w:rPr>
          <w:rFonts w:ascii="Verdana" w:hAnsi="Verdana"/>
        </w:rPr>
        <w:t>ension</w:t>
      </w:r>
      <w:r w:rsidR="003C41FB">
        <w:rPr>
          <w:rFonts w:ascii="Verdana" w:hAnsi="Verdana"/>
        </w:rPr>
        <w:t xml:space="preserve"> contributions</w:t>
      </w:r>
      <w:r w:rsidR="00C62515">
        <w:rPr>
          <w:rFonts w:ascii="Verdana" w:hAnsi="Verdana"/>
        </w:rPr>
        <w:t xml:space="preserve"> from 1</w:t>
      </w:r>
      <w:r w:rsidR="00C62515" w:rsidRPr="00C62515">
        <w:rPr>
          <w:rFonts w:ascii="Verdana" w:hAnsi="Verdana"/>
          <w:vertAlign w:val="superscript"/>
        </w:rPr>
        <w:t>st</w:t>
      </w:r>
      <w:r w:rsidR="00C62515">
        <w:rPr>
          <w:rFonts w:ascii="Verdana" w:hAnsi="Verdana"/>
        </w:rPr>
        <w:t xml:space="preserve"> April 2024</w:t>
      </w:r>
      <w:r w:rsidR="003C41FB">
        <w:rPr>
          <w:rFonts w:ascii="Verdana" w:hAnsi="Verdana"/>
        </w:rPr>
        <w:t>.</w:t>
      </w:r>
      <w:r w:rsidR="00626E94">
        <w:rPr>
          <w:rFonts w:ascii="Verdana" w:hAnsi="Verdana"/>
        </w:rPr>
        <w:t xml:space="preserve"> </w:t>
      </w:r>
      <w:r w:rsidR="00D21359">
        <w:rPr>
          <w:rFonts w:ascii="Verdana" w:hAnsi="Verdana"/>
        </w:rPr>
        <w:t xml:space="preserve">The </w:t>
      </w:r>
      <w:r w:rsidR="00626E94">
        <w:rPr>
          <w:rFonts w:ascii="Verdana" w:hAnsi="Verdana"/>
        </w:rPr>
        <w:t xml:space="preserve">Scottish Government have confirmed their intention to pass through </w:t>
      </w:r>
      <w:r w:rsidR="00D21359">
        <w:rPr>
          <w:rFonts w:ascii="Verdana" w:hAnsi="Verdana"/>
        </w:rPr>
        <w:t xml:space="preserve">related </w:t>
      </w:r>
      <w:proofErr w:type="spellStart"/>
      <w:r w:rsidR="00D21359">
        <w:rPr>
          <w:rFonts w:ascii="Verdana" w:hAnsi="Verdana"/>
        </w:rPr>
        <w:t>consequentials</w:t>
      </w:r>
      <w:proofErr w:type="spellEnd"/>
      <w:r w:rsidR="00363324">
        <w:rPr>
          <w:rFonts w:ascii="Verdana" w:hAnsi="Verdana"/>
        </w:rPr>
        <w:t xml:space="preserve"> received </w:t>
      </w:r>
      <w:r w:rsidR="00D21359">
        <w:rPr>
          <w:rFonts w:ascii="Verdana" w:hAnsi="Verdana"/>
        </w:rPr>
        <w:t>via</w:t>
      </w:r>
      <w:r w:rsidR="00733391">
        <w:rPr>
          <w:rFonts w:ascii="Verdana" w:hAnsi="Verdana"/>
        </w:rPr>
        <w:t xml:space="preserve"> the Barnett Formula </w:t>
      </w:r>
      <w:r w:rsidR="00DD521E">
        <w:rPr>
          <w:rFonts w:ascii="Verdana" w:hAnsi="Verdana"/>
        </w:rPr>
        <w:t>however</w:t>
      </w:r>
      <w:r w:rsidR="00733391">
        <w:rPr>
          <w:rFonts w:ascii="Verdana" w:hAnsi="Verdana"/>
        </w:rPr>
        <w:t xml:space="preserve"> </w:t>
      </w:r>
      <w:r w:rsidR="00D21359">
        <w:rPr>
          <w:rFonts w:ascii="Verdana" w:hAnsi="Verdana"/>
        </w:rPr>
        <w:t>it is not yet known if this will be sufficient to fund the pressure in full</w:t>
      </w:r>
      <w:r w:rsidR="00DD521E">
        <w:rPr>
          <w:rFonts w:ascii="Verdana" w:hAnsi="Verdana"/>
        </w:rPr>
        <w:t xml:space="preserve">. </w:t>
      </w:r>
    </w:p>
    <w:p w14:paraId="69DA7E72" w14:textId="77777777" w:rsidR="00E71FC8" w:rsidRDefault="00E71FC8" w:rsidP="006A4A3B">
      <w:pPr>
        <w:ind w:left="2421"/>
        <w:rPr>
          <w:rFonts w:ascii="Verdana" w:hAnsi="Verdana"/>
        </w:rPr>
      </w:pPr>
    </w:p>
    <w:p w14:paraId="47632081" w14:textId="707FBA72" w:rsidR="000D7AAD" w:rsidRPr="00E71FC8" w:rsidRDefault="00C869B8" w:rsidP="00BB2403">
      <w:pPr>
        <w:ind w:left="1134" w:hanging="567"/>
        <w:rPr>
          <w:rFonts w:ascii="Verdana" w:hAnsi="Verdana"/>
        </w:rPr>
      </w:pPr>
      <w:r>
        <w:rPr>
          <w:rFonts w:ascii="Verdana" w:hAnsi="Verdana"/>
        </w:rPr>
        <w:t>6.3</w:t>
      </w:r>
      <w:r w:rsidR="00A539F5" w:rsidRPr="00E71FC8">
        <w:rPr>
          <w:rFonts w:ascii="Verdana" w:hAnsi="Verdana"/>
        </w:rPr>
        <w:tab/>
      </w:r>
      <w:r w:rsidR="00AC1549" w:rsidRPr="00E71FC8">
        <w:rPr>
          <w:rFonts w:ascii="Verdana" w:hAnsi="Verdana"/>
        </w:rPr>
        <w:t xml:space="preserve">The Local Government Finance Settlement, received </w:t>
      </w:r>
      <w:r w:rsidR="000D7AAD" w:rsidRPr="00E71FC8">
        <w:rPr>
          <w:rFonts w:ascii="Verdana" w:hAnsi="Verdana"/>
        </w:rPr>
        <w:t>in</w:t>
      </w:r>
      <w:r w:rsidR="00AC1549" w:rsidRPr="00E71FC8">
        <w:rPr>
          <w:rFonts w:ascii="Verdana" w:hAnsi="Verdana"/>
        </w:rPr>
        <w:t xml:space="preserve"> </w:t>
      </w:r>
      <w:r w:rsidR="000D7AAD" w:rsidRPr="00E71FC8">
        <w:rPr>
          <w:rFonts w:ascii="Verdana" w:hAnsi="Verdana"/>
        </w:rPr>
        <w:t>December 202</w:t>
      </w:r>
      <w:r w:rsidR="003A0921">
        <w:rPr>
          <w:rFonts w:ascii="Verdana" w:hAnsi="Verdana"/>
        </w:rPr>
        <w:t>3</w:t>
      </w:r>
      <w:r w:rsidR="00E71271" w:rsidRPr="00E71FC8">
        <w:rPr>
          <w:rFonts w:ascii="Verdana" w:hAnsi="Verdana"/>
          <w:highlight w:val="yellow"/>
        </w:rPr>
        <w:t xml:space="preserve"> </w:t>
      </w:r>
      <w:r w:rsidR="00AC1549" w:rsidRPr="00E71FC8">
        <w:rPr>
          <w:rFonts w:ascii="Verdana" w:hAnsi="Verdana"/>
        </w:rPr>
        <w:t xml:space="preserve">confirmed </w:t>
      </w:r>
      <w:r w:rsidR="00E75EE7" w:rsidRPr="00E71FC8">
        <w:rPr>
          <w:rFonts w:ascii="Verdana" w:hAnsi="Verdana"/>
        </w:rPr>
        <w:t>revenue resources of £13.9</w:t>
      </w:r>
      <w:r w:rsidR="00FF2BEF" w:rsidRPr="00E71FC8">
        <w:rPr>
          <w:rFonts w:ascii="Verdana" w:hAnsi="Verdana"/>
        </w:rPr>
        <w:t xml:space="preserve"> billion</w:t>
      </w:r>
      <w:r w:rsidR="00E75EE7" w:rsidRPr="00E71FC8">
        <w:rPr>
          <w:rFonts w:ascii="Verdana" w:hAnsi="Verdana"/>
        </w:rPr>
        <w:t xml:space="preserve"> nationally in 202</w:t>
      </w:r>
      <w:r w:rsidR="00F87A81">
        <w:rPr>
          <w:rFonts w:ascii="Verdana" w:hAnsi="Verdana"/>
        </w:rPr>
        <w:t>4</w:t>
      </w:r>
      <w:r w:rsidR="00E75EE7" w:rsidRPr="00E71FC8">
        <w:rPr>
          <w:rFonts w:ascii="Verdana" w:hAnsi="Verdana"/>
        </w:rPr>
        <w:t>/2</w:t>
      </w:r>
      <w:r w:rsidR="00F87A81">
        <w:rPr>
          <w:rFonts w:ascii="Verdana" w:hAnsi="Verdana"/>
        </w:rPr>
        <w:t>5</w:t>
      </w:r>
      <w:r w:rsidR="000D7AAD" w:rsidRPr="00E71FC8">
        <w:rPr>
          <w:rFonts w:ascii="Verdana" w:hAnsi="Verdana"/>
        </w:rPr>
        <w:t>. The progression through Parliament is set out below and the implications for</w:t>
      </w:r>
      <w:r w:rsidR="00B26320">
        <w:rPr>
          <w:rFonts w:ascii="Verdana" w:hAnsi="Verdana"/>
        </w:rPr>
        <w:t xml:space="preserve"> </w:t>
      </w:r>
      <w:r w:rsidR="000D7AAD" w:rsidRPr="00E71FC8">
        <w:rPr>
          <w:rFonts w:ascii="Verdana" w:hAnsi="Verdana"/>
        </w:rPr>
        <w:t>the Council budget are set out in section 7 below.</w:t>
      </w:r>
    </w:p>
    <w:p w14:paraId="30FBDCFC" w14:textId="77777777" w:rsidR="000D7AAD" w:rsidRDefault="000D7AAD" w:rsidP="006A4A3B">
      <w:pPr>
        <w:ind w:hanging="567"/>
        <w:rPr>
          <w:rFonts w:ascii="Verdana" w:hAnsi="Verdana"/>
        </w:rPr>
      </w:pPr>
    </w:p>
    <w:p w14:paraId="6B41A9D6" w14:textId="40A4E809" w:rsidR="000D7AAD" w:rsidRPr="000D7AAD" w:rsidRDefault="000D7AAD" w:rsidP="003F3D0B">
      <w:pPr>
        <w:numPr>
          <w:ilvl w:val="0"/>
          <w:numId w:val="8"/>
        </w:numPr>
        <w:ind w:left="1985" w:hanging="567"/>
        <w:rPr>
          <w:rFonts w:ascii="Verdana" w:hAnsi="Verdana" w:cs="Arial"/>
          <w:szCs w:val="22"/>
        </w:rPr>
      </w:pPr>
      <w:r w:rsidRPr="000D7AAD">
        <w:rPr>
          <w:rFonts w:ascii="Verdana" w:hAnsi="Verdana" w:cs="Arial"/>
          <w:szCs w:val="22"/>
        </w:rPr>
        <w:t xml:space="preserve">Local Government Financial Order – Laid in Parliament: 7 February </w:t>
      </w:r>
      <w:r w:rsidR="00BA0FA2">
        <w:rPr>
          <w:rFonts w:ascii="Verdana" w:hAnsi="Verdana" w:cs="Arial"/>
          <w:szCs w:val="22"/>
        </w:rPr>
        <w:t>2024</w:t>
      </w:r>
    </w:p>
    <w:p w14:paraId="511D6F73" w14:textId="676C01E9" w:rsidR="000D7AAD" w:rsidRPr="000D7AAD" w:rsidRDefault="000D7AAD" w:rsidP="003F3D0B">
      <w:pPr>
        <w:numPr>
          <w:ilvl w:val="0"/>
          <w:numId w:val="8"/>
        </w:numPr>
        <w:ind w:left="1985" w:hanging="567"/>
        <w:rPr>
          <w:rFonts w:ascii="Verdana" w:hAnsi="Verdana" w:cs="Arial"/>
          <w:szCs w:val="22"/>
        </w:rPr>
      </w:pPr>
      <w:r w:rsidRPr="000D7AAD">
        <w:rPr>
          <w:rFonts w:ascii="Verdana" w:hAnsi="Verdana" w:cs="Arial"/>
          <w:szCs w:val="22"/>
        </w:rPr>
        <w:t xml:space="preserve">Stage 1: 8 February </w:t>
      </w:r>
      <w:r w:rsidR="00BA0FA2">
        <w:rPr>
          <w:rFonts w:ascii="Verdana" w:hAnsi="Verdana" w:cs="Arial"/>
          <w:szCs w:val="22"/>
        </w:rPr>
        <w:t>2024</w:t>
      </w:r>
    </w:p>
    <w:p w14:paraId="71498097" w14:textId="2824658E" w:rsidR="000D7AAD" w:rsidRPr="000D7AAD" w:rsidRDefault="000D7AAD" w:rsidP="003F3D0B">
      <w:pPr>
        <w:numPr>
          <w:ilvl w:val="0"/>
          <w:numId w:val="8"/>
        </w:numPr>
        <w:ind w:left="1985" w:hanging="567"/>
        <w:rPr>
          <w:rFonts w:ascii="Verdana" w:hAnsi="Verdana" w:cs="Arial"/>
          <w:szCs w:val="22"/>
        </w:rPr>
      </w:pPr>
      <w:r w:rsidRPr="000D7AAD">
        <w:rPr>
          <w:rFonts w:ascii="Verdana" w:hAnsi="Verdana" w:cs="Arial"/>
          <w:szCs w:val="22"/>
        </w:rPr>
        <w:t xml:space="preserve">Stage 2: 20 February </w:t>
      </w:r>
      <w:r w:rsidR="00BA0FA2">
        <w:rPr>
          <w:rFonts w:ascii="Verdana" w:hAnsi="Verdana" w:cs="Arial"/>
          <w:szCs w:val="22"/>
        </w:rPr>
        <w:t>2024</w:t>
      </w:r>
    </w:p>
    <w:p w14:paraId="2BD71DB0" w14:textId="537F6973" w:rsidR="000D7AAD" w:rsidRPr="000D7AAD" w:rsidRDefault="000D7AAD" w:rsidP="003F3D0B">
      <w:pPr>
        <w:numPr>
          <w:ilvl w:val="0"/>
          <w:numId w:val="8"/>
        </w:numPr>
        <w:ind w:left="1985" w:hanging="567"/>
        <w:rPr>
          <w:rFonts w:ascii="Verdana" w:hAnsi="Verdana" w:cs="Arial"/>
          <w:szCs w:val="22"/>
        </w:rPr>
      </w:pPr>
      <w:r w:rsidRPr="000D7AAD">
        <w:rPr>
          <w:rFonts w:ascii="Verdana" w:hAnsi="Verdana" w:cs="Arial"/>
          <w:szCs w:val="22"/>
        </w:rPr>
        <w:t xml:space="preserve">Stage 3: 27 February </w:t>
      </w:r>
      <w:r w:rsidR="00BA0FA2">
        <w:rPr>
          <w:rFonts w:ascii="Verdana" w:hAnsi="Verdana" w:cs="Arial"/>
          <w:szCs w:val="22"/>
        </w:rPr>
        <w:t>2024</w:t>
      </w:r>
    </w:p>
    <w:p w14:paraId="59D2AD88" w14:textId="7693EF8F" w:rsidR="000D7AAD" w:rsidRPr="00673DE1" w:rsidRDefault="000D7AAD" w:rsidP="003F3D0B">
      <w:pPr>
        <w:numPr>
          <w:ilvl w:val="0"/>
          <w:numId w:val="8"/>
        </w:numPr>
        <w:ind w:left="1985" w:hanging="567"/>
        <w:rPr>
          <w:rFonts w:ascii="Verdana" w:hAnsi="Verdana" w:cs="Arial"/>
          <w:szCs w:val="22"/>
        </w:rPr>
      </w:pPr>
      <w:r w:rsidRPr="000D7AAD">
        <w:rPr>
          <w:rFonts w:ascii="Verdana" w:hAnsi="Verdana" w:cs="Arial"/>
          <w:szCs w:val="22"/>
        </w:rPr>
        <w:t>Local Government Financial Order Debate: 28 February</w:t>
      </w:r>
      <w:r w:rsidR="00BA0FA2">
        <w:rPr>
          <w:rFonts w:ascii="Verdana" w:hAnsi="Verdana" w:cs="Arial"/>
          <w:szCs w:val="22"/>
        </w:rPr>
        <w:t xml:space="preserve"> 2024</w:t>
      </w:r>
    </w:p>
    <w:p w14:paraId="15BA39EB" w14:textId="218D43DF" w:rsidR="00AC1549" w:rsidRDefault="00AC1549" w:rsidP="006A4A3B">
      <w:pPr>
        <w:ind w:left="1560" w:hanging="567"/>
        <w:rPr>
          <w:rFonts w:ascii="Verdana" w:hAnsi="Verdana"/>
        </w:rPr>
      </w:pPr>
    </w:p>
    <w:p w14:paraId="18E9E623" w14:textId="6C9534BE" w:rsidR="00AC1549" w:rsidRDefault="00C869B8" w:rsidP="003F3D0B">
      <w:pPr>
        <w:spacing w:before="60" w:after="60"/>
        <w:ind w:left="1134" w:hanging="567"/>
        <w:rPr>
          <w:rFonts w:ascii="Verdana" w:hAnsi="Verdana"/>
        </w:rPr>
      </w:pPr>
      <w:r>
        <w:rPr>
          <w:rFonts w:ascii="Verdana" w:hAnsi="Verdana"/>
        </w:rPr>
        <w:lastRenderedPageBreak/>
        <w:t>6.4</w:t>
      </w:r>
      <w:r w:rsidR="00AC1549">
        <w:rPr>
          <w:rFonts w:ascii="Verdana" w:hAnsi="Verdana"/>
        </w:rPr>
        <w:tab/>
      </w:r>
      <w:r w:rsidR="00115C82">
        <w:rPr>
          <w:rFonts w:ascii="Verdana" w:hAnsi="Verdana"/>
        </w:rPr>
        <w:t>The Settlement for 202</w:t>
      </w:r>
      <w:r w:rsidR="000D7AAD">
        <w:rPr>
          <w:rFonts w:ascii="Verdana" w:hAnsi="Verdana"/>
        </w:rPr>
        <w:t>4</w:t>
      </w:r>
      <w:r w:rsidR="00115C82">
        <w:rPr>
          <w:rFonts w:ascii="Verdana" w:hAnsi="Verdana"/>
        </w:rPr>
        <w:t>/2</w:t>
      </w:r>
      <w:r w:rsidR="000D7AAD">
        <w:rPr>
          <w:rFonts w:ascii="Verdana" w:hAnsi="Verdana"/>
        </w:rPr>
        <w:t>5</w:t>
      </w:r>
      <w:r w:rsidR="00AC1549" w:rsidRPr="00DB7FD2">
        <w:rPr>
          <w:rFonts w:ascii="Verdana" w:hAnsi="Verdana"/>
        </w:rPr>
        <w:t xml:space="preserve"> confirmed </w:t>
      </w:r>
      <w:r w:rsidR="00AF2E0A">
        <w:rPr>
          <w:rFonts w:ascii="Verdana" w:hAnsi="Verdana"/>
        </w:rPr>
        <w:t xml:space="preserve">the following </w:t>
      </w:r>
      <w:r w:rsidR="00AC1549" w:rsidRPr="00DB7FD2">
        <w:rPr>
          <w:rFonts w:ascii="Verdana" w:hAnsi="Verdana"/>
        </w:rPr>
        <w:t xml:space="preserve">resources </w:t>
      </w:r>
      <w:r w:rsidR="00AF2E0A">
        <w:rPr>
          <w:rFonts w:ascii="Verdana" w:hAnsi="Verdana"/>
        </w:rPr>
        <w:t>would be</w:t>
      </w:r>
      <w:r w:rsidR="003F3D0B">
        <w:rPr>
          <w:rFonts w:ascii="Verdana" w:hAnsi="Verdana"/>
        </w:rPr>
        <w:t xml:space="preserve"> </w:t>
      </w:r>
      <w:r w:rsidR="00AF2E0A">
        <w:rPr>
          <w:rFonts w:ascii="Verdana" w:hAnsi="Verdana"/>
        </w:rPr>
        <w:t>provided by</w:t>
      </w:r>
      <w:r w:rsidR="00AC1549" w:rsidRPr="00DB7FD2">
        <w:rPr>
          <w:rFonts w:ascii="Verdana" w:hAnsi="Verdana"/>
        </w:rPr>
        <w:t xml:space="preserve"> the </w:t>
      </w:r>
      <w:r w:rsidR="00AC1549">
        <w:rPr>
          <w:rFonts w:ascii="Verdana" w:hAnsi="Verdana"/>
        </w:rPr>
        <w:t>Scottish</w:t>
      </w:r>
      <w:r w:rsidR="00AC1549" w:rsidRPr="00DB7FD2">
        <w:rPr>
          <w:rFonts w:ascii="Verdana" w:hAnsi="Verdana"/>
        </w:rPr>
        <w:t xml:space="preserve"> Government </w:t>
      </w:r>
      <w:r w:rsidR="00313C3F">
        <w:rPr>
          <w:rFonts w:ascii="Verdana" w:hAnsi="Verdana"/>
        </w:rPr>
        <w:t>to the Scottish Borders</w:t>
      </w:r>
      <w:r w:rsidR="00AC1549" w:rsidRPr="00DB7FD2">
        <w:rPr>
          <w:rFonts w:ascii="Verdana" w:hAnsi="Verdana"/>
        </w:rPr>
        <w:t>:</w:t>
      </w:r>
    </w:p>
    <w:p w14:paraId="602E7B2B" w14:textId="29216884" w:rsidR="00AC1549" w:rsidRPr="00F812E1" w:rsidRDefault="00AC1549" w:rsidP="006459DC">
      <w:pPr>
        <w:spacing w:before="60" w:after="60"/>
        <w:ind w:left="1701" w:hanging="567"/>
        <w:rPr>
          <w:rFonts w:ascii="Verdana" w:hAnsi="Verdana"/>
        </w:rPr>
      </w:pPr>
      <w:r>
        <w:rPr>
          <w:rFonts w:ascii="Verdana" w:hAnsi="Verdana"/>
        </w:rPr>
        <w:t>(a)</w:t>
      </w:r>
      <w:r>
        <w:rPr>
          <w:rFonts w:ascii="Verdana" w:hAnsi="Verdana"/>
        </w:rPr>
        <w:tab/>
      </w:r>
      <w:r w:rsidR="00115C82">
        <w:rPr>
          <w:rFonts w:ascii="Verdana" w:hAnsi="Verdana"/>
        </w:rPr>
        <w:t>Revenue Support Grant of £2</w:t>
      </w:r>
      <w:r w:rsidR="000D7AAD">
        <w:rPr>
          <w:rFonts w:ascii="Verdana" w:hAnsi="Verdana"/>
        </w:rPr>
        <w:t>27.2</w:t>
      </w:r>
      <w:r w:rsidRPr="00F812E1">
        <w:rPr>
          <w:rFonts w:ascii="Verdana" w:hAnsi="Verdana"/>
        </w:rPr>
        <w:t>m</w:t>
      </w:r>
      <w:r w:rsidR="00115C82">
        <w:rPr>
          <w:rFonts w:ascii="Verdana" w:hAnsi="Verdana"/>
        </w:rPr>
        <w:t xml:space="preserve"> </w:t>
      </w:r>
      <w:r w:rsidR="000D7AAD">
        <w:rPr>
          <w:rFonts w:ascii="Verdana" w:hAnsi="Verdana"/>
        </w:rPr>
        <w:t xml:space="preserve">(including £9.8m for 23/24 pay inflation) </w:t>
      </w:r>
      <w:r w:rsidR="00115C82">
        <w:rPr>
          <w:rFonts w:ascii="Verdana" w:hAnsi="Verdana"/>
        </w:rPr>
        <w:t>and</w:t>
      </w:r>
      <w:r w:rsidR="00AF2E0A">
        <w:rPr>
          <w:rFonts w:ascii="Verdana" w:hAnsi="Verdana"/>
        </w:rPr>
        <w:t xml:space="preserve"> </w:t>
      </w:r>
      <w:r w:rsidR="001529C4" w:rsidRPr="00F812E1">
        <w:rPr>
          <w:rFonts w:ascii="Verdana" w:hAnsi="Verdana"/>
        </w:rPr>
        <w:t>Non-Domestic</w:t>
      </w:r>
      <w:r w:rsidRPr="00F812E1">
        <w:rPr>
          <w:rFonts w:ascii="Verdana" w:hAnsi="Verdana"/>
        </w:rPr>
        <w:t xml:space="preserve"> Rates </w:t>
      </w:r>
      <w:r w:rsidR="00AF2E0A">
        <w:rPr>
          <w:rFonts w:ascii="Verdana" w:hAnsi="Verdana"/>
        </w:rPr>
        <w:t xml:space="preserve">distributions of </w:t>
      </w:r>
      <w:r w:rsidRPr="00F812E1">
        <w:rPr>
          <w:rFonts w:ascii="Verdana" w:hAnsi="Verdana"/>
        </w:rPr>
        <w:t>£</w:t>
      </w:r>
      <w:r w:rsidR="000D7AAD">
        <w:rPr>
          <w:rFonts w:ascii="Verdana" w:hAnsi="Verdana"/>
        </w:rPr>
        <w:t>42.1</w:t>
      </w:r>
      <w:r w:rsidRPr="00F812E1">
        <w:rPr>
          <w:rFonts w:ascii="Verdana" w:hAnsi="Verdana"/>
        </w:rPr>
        <w:t>m</w:t>
      </w:r>
      <w:r w:rsidR="00115C82">
        <w:rPr>
          <w:rFonts w:ascii="Verdana" w:hAnsi="Verdana"/>
        </w:rPr>
        <w:t xml:space="preserve"> along with Specific </w:t>
      </w:r>
      <w:r w:rsidR="001529C4">
        <w:rPr>
          <w:rFonts w:ascii="Verdana" w:hAnsi="Verdana"/>
        </w:rPr>
        <w:t>ring-fenced</w:t>
      </w:r>
      <w:r w:rsidR="000D7AAD">
        <w:rPr>
          <w:rFonts w:ascii="Verdana" w:hAnsi="Verdana"/>
        </w:rPr>
        <w:t xml:space="preserve"> </w:t>
      </w:r>
      <w:r w:rsidR="00115C82">
        <w:rPr>
          <w:rFonts w:ascii="Verdana" w:hAnsi="Verdana"/>
        </w:rPr>
        <w:t>Grant of £</w:t>
      </w:r>
      <w:r w:rsidR="000D7AAD">
        <w:rPr>
          <w:rFonts w:ascii="Verdana" w:hAnsi="Verdana"/>
        </w:rPr>
        <w:t>3.2</w:t>
      </w:r>
      <w:r w:rsidR="00115C82">
        <w:rPr>
          <w:rFonts w:ascii="Verdana" w:hAnsi="Verdana"/>
        </w:rPr>
        <w:t>m,</w:t>
      </w:r>
      <w:r w:rsidR="00AF2E0A">
        <w:rPr>
          <w:rFonts w:ascii="Verdana" w:hAnsi="Verdana"/>
        </w:rPr>
        <w:t xml:space="preserve"> </w:t>
      </w:r>
      <w:r w:rsidRPr="00F812E1">
        <w:rPr>
          <w:rFonts w:ascii="Verdana" w:hAnsi="Verdana"/>
        </w:rPr>
        <w:t>provi</w:t>
      </w:r>
      <w:r w:rsidR="00F812E1" w:rsidRPr="00F812E1">
        <w:rPr>
          <w:rFonts w:ascii="Verdana" w:hAnsi="Verdana"/>
        </w:rPr>
        <w:t>ding total grant support of £</w:t>
      </w:r>
      <w:r w:rsidR="00C46912">
        <w:rPr>
          <w:rFonts w:ascii="Verdana" w:hAnsi="Verdana"/>
        </w:rPr>
        <w:t>2</w:t>
      </w:r>
      <w:r w:rsidR="000D7AAD">
        <w:rPr>
          <w:rFonts w:ascii="Verdana" w:hAnsi="Verdana"/>
        </w:rPr>
        <w:t>72</w:t>
      </w:r>
      <w:r w:rsidR="00C46912">
        <w:rPr>
          <w:rFonts w:ascii="Verdana" w:hAnsi="Verdana"/>
        </w:rPr>
        <w:t>.</w:t>
      </w:r>
      <w:r w:rsidR="000D7AAD">
        <w:rPr>
          <w:rFonts w:ascii="Verdana" w:hAnsi="Verdana"/>
        </w:rPr>
        <w:t>5</w:t>
      </w:r>
      <w:r w:rsidRPr="00F812E1">
        <w:rPr>
          <w:rFonts w:ascii="Verdana" w:hAnsi="Verdana"/>
        </w:rPr>
        <w:t>m</w:t>
      </w:r>
      <w:r w:rsidR="00313C3F">
        <w:rPr>
          <w:rFonts w:ascii="Verdana" w:hAnsi="Verdana"/>
        </w:rPr>
        <w:t xml:space="preserve"> to the C</w:t>
      </w:r>
      <w:r w:rsidR="00AF2E0A">
        <w:rPr>
          <w:rFonts w:ascii="Verdana" w:hAnsi="Verdana"/>
        </w:rPr>
        <w:t>ouncil</w:t>
      </w:r>
      <w:r w:rsidRPr="00F812E1">
        <w:rPr>
          <w:rFonts w:ascii="Verdana" w:hAnsi="Verdana"/>
        </w:rPr>
        <w:t>;</w:t>
      </w:r>
    </w:p>
    <w:p w14:paraId="22F38D0C" w14:textId="2C768B3E" w:rsidR="000D7AAD" w:rsidRPr="00F812E1" w:rsidRDefault="00D65E1D" w:rsidP="006459DC">
      <w:pPr>
        <w:spacing w:before="60" w:after="60"/>
        <w:ind w:left="1701" w:hanging="567"/>
        <w:rPr>
          <w:rFonts w:ascii="Verdana" w:hAnsi="Verdana"/>
        </w:rPr>
      </w:pPr>
      <w:r w:rsidRPr="68B02383">
        <w:rPr>
          <w:rFonts w:ascii="Verdana" w:hAnsi="Verdana"/>
        </w:rPr>
        <w:t>(b</w:t>
      </w:r>
      <w:r w:rsidR="00AC1549" w:rsidRPr="68B02383">
        <w:rPr>
          <w:rFonts w:ascii="Verdana" w:hAnsi="Verdana"/>
        </w:rPr>
        <w:t>)</w:t>
      </w:r>
      <w:r>
        <w:tab/>
      </w:r>
      <w:r w:rsidR="00AC1549" w:rsidRPr="68B02383">
        <w:rPr>
          <w:rFonts w:ascii="Verdana" w:hAnsi="Verdana"/>
        </w:rPr>
        <w:t>T</w:t>
      </w:r>
      <w:r w:rsidR="00C46912" w:rsidRPr="68B02383">
        <w:rPr>
          <w:rFonts w:ascii="Verdana" w:hAnsi="Verdana"/>
        </w:rPr>
        <w:t>he t</w:t>
      </w:r>
      <w:r w:rsidR="00AC1549" w:rsidRPr="68B02383">
        <w:rPr>
          <w:rFonts w:ascii="Verdana" w:hAnsi="Verdana"/>
        </w:rPr>
        <w:t xml:space="preserve">otal specific grant </w:t>
      </w:r>
      <w:r w:rsidR="00C46912" w:rsidRPr="68B02383">
        <w:rPr>
          <w:rFonts w:ascii="Verdana" w:hAnsi="Verdana"/>
        </w:rPr>
        <w:t>of £</w:t>
      </w:r>
      <w:r w:rsidR="000D7AAD" w:rsidRPr="68B02383">
        <w:rPr>
          <w:rFonts w:ascii="Verdana" w:hAnsi="Verdana"/>
        </w:rPr>
        <w:t>3.</w:t>
      </w:r>
      <w:r w:rsidR="00F443BA">
        <w:rPr>
          <w:rFonts w:ascii="Verdana" w:hAnsi="Verdana"/>
        </w:rPr>
        <w:t>2</w:t>
      </w:r>
      <w:r w:rsidR="00C46912" w:rsidRPr="68B02383">
        <w:rPr>
          <w:rFonts w:ascii="Verdana" w:hAnsi="Verdana"/>
        </w:rPr>
        <w:t xml:space="preserve">m </w:t>
      </w:r>
      <w:r w:rsidR="00AC1549" w:rsidRPr="68B02383">
        <w:rPr>
          <w:rFonts w:ascii="Verdana" w:hAnsi="Verdana"/>
        </w:rPr>
        <w:t xml:space="preserve">has been confirmed to fund </w:t>
      </w:r>
      <w:r w:rsidR="00C46912" w:rsidRPr="68B02383">
        <w:rPr>
          <w:rFonts w:ascii="Verdana" w:hAnsi="Verdana"/>
        </w:rPr>
        <w:t>the Pupil Equity Fund (£1.9</w:t>
      </w:r>
      <w:r w:rsidR="00AC1549" w:rsidRPr="68B02383">
        <w:rPr>
          <w:rFonts w:ascii="Verdana" w:hAnsi="Verdana"/>
        </w:rPr>
        <w:t>m)</w:t>
      </w:r>
      <w:r w:rsidR="004C1640" w:rsidRPr="68B02383">
        <w:rPr>
          <w:rFonts w:ascii="Verdana" w:hAnsi="Verdana"/>
        </w:rPr>
        <w:t xml:space="preserve"> and</w:t>
      </w:r>
      <w:r w:rsidR="00AC1549" w:rsidRPr="68B02383">
        <w:rPr>
          <w:rFonts w:ascii="Verdana" w:hAnsi="Verdana"/>
        </w:rPr>
        <w:t xml:space="preserve"> </w:t>
      </w:r>
      <w:r w:rsidR="00F30F24" w:rsidRPr="68B02383">
        <w:rPr>
          <w:rFonts w:ascii="Verdana" w:hAnsi="Verdana"/>
        </w:rPr>
        <w:t xml:space="preserve">Criminal </w:t>
      </w:r>
      <w:r w:rsidR="00C46912" w:rsidRPr="68B02383">
        <w:rPr>
          <w:rFonts w:ascii="Verdana" w:hAnsi="Verdana"/>
        </w:rPr>
        <w:t>Justice Social Work (£1.</w:t>
      </w:r>
      <w:r w:rsidR="000D7AAD" w:rsidRPr="68B02383">
        <w:rPr>
          <w:rFonts w:ascii="Verdana" w:hAnsi="Verdana"/>
        </w:rPr>
        <w:t>3</w:t>
      </w:r>
      <w:r w:rsidR="00AC1549" w:rsidRPr="68B02383">
        <w:rPr>
          <w:rFonts w:ascii="Verdana" w:hAnsi="Verdana"/>
        </w:rPr>
        <w:t>m)</w:t>
      </w:r>
      <w:r w:rsidR="004C1640" w:rsidRPr="68B02383">
        <w:rPr>
          <w:rFonts w:ascii="Verdana" w:hAnsi="Verdana"/>
        </w:rPr>
        <w:t xml:space="preserve">. </w:t>
      </w:r>
      <w:r w:rsidR="00144D6D" w:rsidRPr="68B02383">
        <w:rPr>
          <w:rFonts w:ascii="Verdana" w:hAnsi="Verdana"/>
        </w:rPr>
        <w:t xml:space="preserve">£10.2m of funding previously ring-fenced by Scottish Government </w:t>
      </w:r>
      <w:r w:rsidR="007E3ED6" w:rsidRPr="68B02383">
        <w:rPr>
          <w:rFonts w:ascii="Verdana" w:hAnsi="Verdana"/>
        </w:rPr>
        <w:t xml:space="preserve">for Early Years </w:t>
      </w:r>
      <w:r w:rsidR="00144D6D" w:rsidRPr="68B02383">
        <w:rPr>
          <w:rFonts w:ascii="Verdana" w:hAnsi="Verdana"/>
        </w:rPr>
        <w:t>has been baselined</w:t>
      </w:r>
      <w:r w:rsidR="0030458C" w:rsidRPr="68B02383">
        <w:rPr>
          <w:rFonts w:ascii="Verdana" w:hAnsi="Verdana"/>
        </w:rPr>
        <w:t xml:space="preserve"> as part of the Verity House Agreement to </w:t>
      </w:r>
      <w:r w:rsidR="009E601E" w:rsidRPr="68B02383">
        <w:rPr>
          <w:rFonts w:ascii="Verdana" w:hAnsi="Verdana"/>
        </w:rPr>
        <w:t xml:space="preserve">reduce the level of </w:t>
      </w:r>
      <w:r w:rsidR="001529C4" w:rsidRPr="68B02383">
        <w:rPr>
          <w:rFonts w:ascii="Verdana" w:hAnsi="Verdana"/>
        </w:rPr>
        <w:t>ring-fenced</w:t>
      </w:r>
      <w:r w:rsidR="009E601E" w:rsidRPr="68B02383">
        <w:rPr>
          <w:rFonts w:ascii="Verdana" w:hAnsi="Verdana"/>
        </w:rPr>
        <w:t xml:space="preserve"> funding provided to Loca</w:t>
      </w:r>
      <w:r w:rsidR="005B7145">
        <w:rPr>
          <w:rFonts w:ascii="Verdana" w:hAnsi="Verdana"/>
        </w:rPr>
        <w:t>l</w:t>
      </w:r>
      <w:r w:rsidR="009E601E" w:rsidRPr="68B02383">
        <w:rPr>
          <w:rFonts w:ascii="Verdana" w:hAnsi="Verdana"/>
        </w:rPr>
        <w:t xml:space="preserve"> Authorities</w:t>
      </w:r>
      <w:r w:rsidR="00144D6D" w:rsidRPr="68B02383">
        <w:rPr>
          <w:rFonts w:ascii="Verdana" w:hAnsi="Verdana"/>
        </w:rPr>
        <w:t>.</w:t>
      </w:r>
    </w:p>
    <w:p w14:paraId="6C1CA9AB" w14:textId="24FADB23" w:rsidR="00AC1549" w:rsidRDefault="00AC1549" w:rsidP="00E53B12">
      <w:pPr>
        <w:spacing w:before="60" w:after="60"/>
        <w:ind w:left="1701" w:hanging="567"/>
        <w:rPr>
          <w:rFonts w:ascii="Verdana" w:hAnsi="Verdana"/>
        </w:rPr>
      </w:pPr>
      <w:r w:rsidRPr="00F812E1">
        <w:rPr>
          <w:rFonts w:ascii="Verdana" w:hAnsi="Verdana"/>
        </w:rPr>
        <w:t>(c)</w:t>
      </w:r>
      <w:r w:rsidRPr="00F812E1">
        <w:rPr>
          <w:rFonts w:ascii="Verdana" w:hAnsi="Verdana"/>
        </w:rPr>
        <w:tab/>
      </w:r>
      <w:r w:rsidR="000D7AAD">
        <w:rPr>
          <w:rFonts w:ascii="Verdana" w:hAnsi="Verdana"/>
        </w:rPr>
        <w:t xml:space="preserve">In addition to these confirmed </w:t>
      </w:r>
      <w:r w:rsidR="000D7AAD" w:rsidRPr="000D7AAD">
        <w:rPr>
          <w:rFonts w:ascii="Verdana" w:hAnsi="Verdana"/>
        </w:rPr>
        <w:t>figures</w:t>
      </w:r>
      <w:r w:rsidR="00870247">
        <w:rPr>
          <w:rFonts w:ascii="Verdana" w:hAnsi="Verdana"/>
        </w:rPr>
        <w:t>,</w:t>
      </w:r>
      <w:r w:rsidR="000D7AAD" w:rsidRPr="000D7AAD">
        <w:rPr>
          <w:rFonts w:ascii="Verdana" w:hAnsi="Verdana"/>
        </w:rPr>
        <w:t xml:space="preserve"> Scottish G</w:t>
      </w:r>
      <w:r w:rsidR="000D7AAD">
        <w:rPr>
          <w:rFonts w:ascii="Verdana" w:hAnsi="Verdana"/>
        </w:rPr>
        <w:t>o</w:t>
      </w:r>
      <w:r w:rsidR="000D7AAD" w:rsidRPr="000D7AAD">
        <w:rPr>
          <w:rFonts w:ascii="Verdana" w:hAnsi="Verdana"/>
        </w:rPr>
        <w:t>vernment have confirmed f</w:t>
      </w:r>
      <w:r w:rsidRPr="000D7AAD">
        <w:rPr>
          <w:rFonts w:ascii="Verdana" w:hAnsi="Verdana"/>
        </w:rPr>
        <w:t xml:space="preserve">unding </w:t>
      </w:r>
      <w:r w:rsidR="000D7AAD" w:rsidRPr="000D7AAD">
        <w:rPr>
          <w:rFonts w:ascii="Verdana" w:hAnsi="Verdana"/>
        </w:rPr>
        <w:t>will be made available for the following priorities</w:t>
      </w:r>
      <w:r w:rsidR="00B4444A" w:rsidRPr="000D7AAD">
        <w:rPr>
          <w:rFonts w:ascii="Verdana" w:hAnsi="Verdana"/>
        </w:rPr>
        <w:t xml:space="preserve"> (national</w:t>
      </w:r>
      <w:r w:rsidR="001D6C48" w:rsidRPr="000D7AAD">
        <w:rPr>
          <w:rFonts w:ascii="Verdana" w:hAnsi="Verdana"/>
        </w:rPr>
        <w:t xml:space="preserve"> funding</w:t>
      </w:r>
      <w:r w:rsidR="00B4444A" w:rsidRPr="000D7AAD">
        <w:rPr>
          <w:rFonts w:ascii="Verdana" w:hAnsi="Verdana"/>
        </w:rPr>
        <w:t xml:space="preserve"> figures provided).</w:t>
      </w:r>
      <w:r w:rsidRPr="000D7AAD">
        <w:rPr>
          <w:rFonts w:ascii="Verdana" w:hAnsi="Verdana"/>
        </w:rPr>
        <w:t xml:space="preserve"> Teachers Induction Scheme</w:t>
      </w:r>
      <w:r w:rsidR="001D6C48" w:rsidRPr="000D7AAD">
        <w:rPr>
          <w:rFonts w:ascii="Verdana" w:hAnsi="Verdana"/>
        </w:rPr>
        <w:t xml:space="preserve"> (£37.6m)</w:t>
      </w:r>
      <w:r w:rsidRPr="000D7AAD">
        <w:rPr>
          <w:rFonts w:ascii="Verdana" w:hAnsi="Verdana"/>
        </w:rPr>
        <w:t>, Discretionary Housing Payments (DHP)</w:t>
      </w:r>
      <w:r w:rsidR="00C46912" w:rsidRPr="000D7AAD">
        <w:rPr>
          <w:rFonts w:ascii="Verdana" w:hAnsi="Verdana"/>
        </w:rPr>
        <w:t xml:space="preserve"> (£</w:t>
      </w:r>
      <w:r w:rsidR="000D7AAD" w:rsidRPr="000D7AAD">
        <w:rPr>
          <w:rFonts w:ascii="Verdana" w:hAnsi="Verdana"/>
        </w:rPr>
        <w:t>92.7</w:t>
      </w:r>
      <w:r w:rsidR="001D6C48" w:rsidRPr="000D7AAD">
        <w:rPr>
          <w:rFonts w:ascii="Verdana" w:hAnsi="Verdana"/>
        </w:rPr>
        <w:t>m)</w:t>
      </w:r>
      <w:r w:rsidRPr="000D7AAD">
        <w:rPr>
          <w:rFonts w:ascii="Verdana" w:hAnsi="Verdana"/>
        </w:rPr>
        <w:t>, Gaelic</w:t>
      </w:r>
      <w:r w:rsidR="001D6C48" w:rsidRPr="000D7AAD">
        <w:rPr>
          <w:rFonts w:ascii="Verdana" w:hAnsi="Verdana"/>
        </w:rPr>
        <w:t xml:space="preserve"> (£0.103m)</w:t>
      </w:r>
      <w:r w:rsidRPr="000D7AAD">
        <w:rPr>
          <w:rFonts w:ascii="Verdana" w:hAnsi="Verdana"/>
        </w:rPr>
        <w:t>, Customer First top-up</w:t>
      </w:r>
      <w:r w:rsidR="001D6C48" w:rsidRPr="000D7AAD">
        <w:rPr>
          <w:rFonts w:ascii="Verdana" w:hAnsi="Verdana"/>
        </w:rPr>
        <w:t xml:space="preserve"> (£1.41m)</w:t>
      </w:r>
      <w:r w:rsidR="00D65E1D" w:rsidRPr="000D7AAD">
        <w:rPr>
          <w:rFonts w:ascii="Verdana" w:hAnsi="Verdana"/>
        </w:rPr>
        <w:t xml:space="preserve">, </w:t>
      </w:r>
      <w:r w:rsidR="000D7AAD" w:rsidRPr="000D7AAD">
        <w:rPr>
          <w:rFonts w:ascii="Verdana" w:hAnsi="Verdana"/>
        </w:rPr>
        <w:t xml:space="preserve">Scottish Disability Assistance (£3.5m) </w:t>
      </w:r>
      <w:r w:rsidR="007D51CA" w:rsidRPr="000D7AAD">
        <w:rPr>
          <w:rFonts w:ascii="Verdana" w:hAnsi="Verdana"/>
        </w:rPr>
        <w:t>and</w:t>
      </w:r>
      <w:r w:rsidR="00C46912" w:rsidRPr="000D7AAD">
        <w:rPr>
          <w:rFonts w:ascii="Verdana" w:hAnsi="Verdana"/>
        </w:rPr>
        <w:t xml:space="preserve"> Real Living Wage </w:t>
      </w:r>
      <w:r w:rsidR="000D7AAD" w:rsidRPr="000D7AAD">
        <w:rPr>
          <w:rFonts w:ascii="Verdana" w:hAnsi="Verdana"/>
        </w:rPr>
        <w:t xml:space="preserve">for Social care </w:t>
      </w:r>
      <w:r w:rsidR="00C46912" w:rsidRPr="000D7AAD">
        <w:rPr>
          <w:rFonts w:ascii="Verdana" w:hAnsi="Verdana"/>
        </w:rPr>
        <w:t>(£</w:t>
      </w:r>
      <w:r w:rsidR="000D7AAD" w:rsidRPr="000D7AAD">
        <w:rPr>
          <w:rFonts w:ascii="Verdana" w:hAnsi="Verdana"/>
        </w:rPr>
        <w:t>230</w:t>
      </w:r>
      <w:r w:rsidR="00FF2BEF" w:rsidRPr="000D7AAD">
        <w:rPr>
          <w:rFonts w:ascii="Verdana" w:hAnsi="Verdana"/>
        </w:rPr>
        <w:t>m)</w:t>
      </w:r>
      <w:r w:rsidR="00C46912" w:rsidRPr="000D7AAD">
        <w:rPr>
          <w:rFonts w:ascii="Verdana" w:hAnsi="Verdana"/>
        </w:rPr>
        <w:t xml:space="preserve">. </w:t>
      </w:r>
      <w:r w:rsidR="000D7AAD" w:rsidRPr="000D7AAD">
        <w:rPr>
          <w:rFonts w:ascii="Verdana" w:hAnsi="Verdana"/>
        </w:rPr>
        <w:t>B</w:t>
      </w:r>
      <w:r w:rsidRPr="000D7AAD">
        <w:rPr>
          <w:rFonts w:ascii="Verdana" w:hAnsi="Verdana"/>
        </w:rPr>
        <w:t>ud</w:t>
      </w:r>
      <w:r w:rsidR="002D6704" w:rsidRPr="000D7AAD">
        <w:rPr>
          <w:rFonts w:ascii="Verdana" w:hAnsi="Verdana"/>
        </w:rPr>
        <w:t>gets will be created during 202</w:t>
      </w:r>
      <w:r w:rsidR="000D7AAD" w:rsidRPr="000D7AAD">
        <w:rPr>
          <w:rFonts w:ascii="Verdana" w:hAnsi="Verdana"/>
        </w:rPr>
        <w:t>4</w:t>
      </w:r>
      <w:r w:rsidR="002D6704" w:rsidRPr="000D7AAD">
        <w:rPr>
          <w:rFonts w:ascii="Verdana" w:hAnsi="Verdana"/>
        </w:rPr>
        <w:t>/2</w:t>
      </w:r>
      <w:r w:rsidR="000D7AAD" w:rsidRPr="000D7AAD">
        <w:rPr>
          <w:rFonts w:ascii="Verdana" w:hAnsi="Verdana"/>
        </w:rPr>
        <w:t>5</w:t>
      </w:r>
      <w:r w:rsidRPr="000D7AAD">
        <w:rPr>
          <w:rFonts w:ascii="Verdana" w:hAnsi="Verdana"/>
        </w:rPr>
        <w:t xml:space="preserve"> </w:t>
      </w:r>
      <w:r w:rsidR="000D7AAD" w:rsidRPr="000D7AAD">
        <w:rPr>
          <w:rFonts w:ascii="Verdana" w:hAnsi="Verdana"/>
        </w:rPr>
        <w:t xml:space="preserve">for these areas </w:t>
      </w:r>
      <w:r w:rsidR="000D7AAD">
        <w:rPr>
          <w:rFonts w:ascii="Verdana" w:hAnsi="Verdana"/>
        </w:rPr>
        <w:t>once</w:t>
      </w:r>
      <w:r w:rsidRPr="000D7AAD">
        <w:rPr>
          <w:rFonts w:ascii="Verdana" w:hAnsi="Verdana"/>
        </w:rPr>
        <w:t xml:space="preserve"> funding</w:t>
      </w:r>
      <w:r w:rsidR="000D7AAD">
        <w:rPr>
          <w:rFonts w:ascii="Verdana" w:hAnsi="Verdana"/>
        </w:rPr>
        <w:t xml:space="preserve"> levels are </w:t>
      </w:r>
      <w:r w:rsidRPr="000D7AAD">
        <w:rPr>
          <w:rFonts w:ascii="Verdana" w:hAnsi="Verdana"/>
        </w:rPr>
        <w:t>confirmed;</w:t>
      </w:r>
    </w:p>
    <w:p w14:paraId="233861AA" w14:textId="2301E2FC" w:rsidR="000D7AAD" w:rsidRPr="00F812E1" w:rsidRDefault="000D7AAD" w:rsidP="006459DC">
      <w:pPr>
        <w:spacing w:before="60" w:after="60"/>
        <w:ind w:left="1701" w:hanging="567"/>
        <w:rPr>
          <w:rFonts w:ascii="Verdana" w:hAnsi="Verdana"/>
        </w:rPr>
      </w:pPr>
      <w:r>
        <w:rPr>
          <w:rFonts w:ascii="Verdana" w:hAnsi="Verdana"/>
        </w:rPr>
        <w:t>(d)</w:t>
      </w:r>
      <w:r>
        <w:rPr>
          <w:rFonts w:ascii="Verdana" w:hAnsi="Verdana"/>
        </w:rPr>
        <w:tab/>
        <w:t>S</w:t>
      </w:r>
      <w:r w:rsidR="00CC1E04">
        <w:rPr>
          <w:rFonts w:ascii="Verdana" w:hAnsi="Verdana"/>
        </w:rPr>
        <w:t xml:space="preserve">cottish </w:t>
      </w:r>
      <w:r>
        <w:rPr>
          <w:rFonts w:ascii="Verdana" w:hAnsi="Verdana"/>
        </w:rPr>
        <w:t>G</w:t>
      </w:r>
      <w:r w:rsidR="00CC1E04">
        <w:rPr>
          <w:rFonts w:ascii="Verdana" w:hAnsi="Verdana"/>
        </w:rPr>
        <w:t>overnment</w:t>
      </w:r>
      <w:r>
        <w:rPr>
          <w:rFonts w:ascii="Verdana" w:hAnsi="Verdana"/>
        </w:rPr>
        <w:t xml:space="preserve"> have also confirmed funding of £3.2</w:t>
      </w:r>
      <w:r w:rsidR="00CC1E04">
        <w:rPr>
          <w:rFonts w:ascii="Verdana" w:hAnsi="Verdana"/>
        </w:rPr>
        <w:t>2</w:t>
      </w:r>
      <w:r>
        <w:rPr>
          <w:rFonts w:ascii="Verdana" w:hAnsi="Verdana"/>
        </w:rPr>
        <w:t xml:space="preserve">m </w:t>
      </w:r>
      <w:r w:rsidR="006907FE">
        <w:rPr>
          <w:rFonts w:ascii="Verdana" w:hAnsi="Verdana"/>
        </w:rPr>
        <w:t xml:space="preserve">(this Council’s share of £144m provided nationally) </w:t>
      </w:r>
      <w:r>
        <w:rPr>
          <w:rFonts w:ascii="Verdana" w:hAnsi="Verdana"/>
        </w:rPr>
        <w:t>to offset the cost of implementing a freeze on Council tax levels during 2024/25.</w:t>
      </w:r>
    </w:p>
    <w:p w14:paraId="72D07405" w14:textId="41FFCA9F" w:rsidR="00E53B12" w:rsidRPr="00E53B12" w:rsidRDefault="00AC1549" w:rsidP="00E53B12">
      <w:pPr>
        <w:tabs>
          <w:tab w:val="left" w:pos="799"/>
        </w:tabs>
        <w:spacing w:before="60" w:after="60"/>
        <w:ind w:left="1701" w:hanging="567"/>
        <w:rPr>
          <w:rFonts w:ascii="Verdana" w:hAnsi="Verdana"/>
        </w:rPr>
      </w:pPr>
      <w:r w:rsidRPr="00313C3F">
        <w:rPr>
          <w:rFonts w:ascii="Verdana" w:hAnsi="Verdana"/>
        </w:rPr>
        <w:t>(</w:t>
      </w:r>
      <w:r w:rsidR="000D7AAD">
        <w:rPr>
          <w:rFonts w:ascii="Verdana" w:hAnsi="Verdana"/>
        </w:rPr>
        <w:t>e</w:t>
      </w:r>
      <w:r w:rsidRPr="00313C3F">
        <w:rPr>
          <w:rFonts w:ascii="Verdana" w:hAnsi="Verdana"/>
        </w:rPr>
        <w:t>)</w:t>
      </w:r>
      <w:r w:rsidRPr="00313C3F">
        <w:rPr>
          <w:rFonts w:ascii="Verdana" w:hAnsi="Verdana"/>
        </w:rPr>
        <w:tab/>
      </w:r>
      <w:r w:rsidR="00C46912">
        <w:rPr>
          <w:rFonts w:ascii="Verdana" w:hAnsi="Verdana"/>
        </w:rPr>
        <w:t>The development of the 202</w:t>
      </w:r>
      <w:r w:rsidR="000D7AAD">
        <w:rPr>
          <w:rFonts w:ascii="Verdana" w:hAnsi="Verdana"/>
        </w:rPr>
        <w:t>4</w:t>
      </w:r>
      <w:r w:rsidR="00C46912">
        <w:rPr>
          <w:rFonts w:ascii="Verdana" w:hAnsi="Verdana"/>
        </w:rPr>
        <w:t>/2</w:t>
      </w:r>
      <w:r w:rsidR="000D7AAD">
        <w:rPr>
          <w:rFonts w:ascii="Verdana" w:hAnsi="Verdana"/>
        </w:rPr>
        <w:t>5</w:t>
      </w:r>
      <w:r w:rsidRPr="00313C3F">
        <w:rPr>
          <w:rFonts w:ascii="Verdana" w:hAnsi="Verdana"/>
        </w:rPr>
        <w:t xml:space="preserve"> budget has seen close   cooperation and joint financial planning between the Council, NHS Borders and the</w:t>
      </w:r>
      <w:r w:rsidR="007D51CA" w:rsidRPr="007D51CA">
        <w:rPr>
          <w:rFonts w:ascii="Verdana" w:hAnsi="Verdana"/>
        </w:rPr>
        <w:t xml:space="preserve"> </w:t>
      </w:r>
      <w:r w:rsidR="007D51CA" w:rsidRPr="00F812E1">
        <w:rPr>
          <w:rFonts w:ascii="Verdana" w:hAnsi="Verdana"/>
        </w:rPr>
        <w:t>Integration Joint Board</w:t>
      </w:r>
      <w:r w:rsidRPr="00313C3F">
        <w:rPr>
          <w:rFonts w:ascii="Verdana" w:hAnsi="Verdana"/>
        </w:rPr>
        <w:t xml:space="preserve"> </w:t>
      </w:r>
      <w:r w:rsidR="007D51CA">
        <w:rPr>
          <w:rFonts w:ascii="Verdana" w:hAnsi="Verdana"/>
        </w:rPr>
        <w:t>(</w:t>
      </w:r>
      <w:r w:rsidRPr="007D51CA">
        <w:rPr>
          <w:rFonts w:ascii="Verdana" w:hAnsi="Verdana"/>
        </w:rPr>
        <w:t>IJB</w:t>
      </w:r>
      <w:r w:rsidR="007D51CA" w:rsidRPr="007D51CA">
        <w:rPr>
          <w:rFonts w:ascii="Verdana" w:hAnsi="Verdana"/>
        </w:rPr>
        <w:t>)</w:t>
      </w:r>
      <w:r w:rsidRPr="00313C3F">
        <w:rPr>
          <w:rFonts w:ascii="Verdana" w:hAnsi="Verdana"/>
        </w:rPr>
        <w:t>.   Key</w:t>
      </w:r>
      <w:r w:rsidRPr="00F812E1">
        <w:rPr>
          <w:rFonts w:ascii="Verdana" w:hAnsi="Verdana"/>
        </w:rPr>
        <w:t xml:space="preserve"> aspects of the budget in this area include a Healt</w:t>
      </w:r>
      <w:r w:rsidR="00ED7048">
        <w:rPr>
          <w:rFonts w:ascii="Verdana" w:hAnsi="Verdana"/>
        </w:rPr>
        <w:t xml:space="preserve">h and Social Care fund of </w:t>
      </w:r>
      <w:r w:rsidR="00ED7048" w:rsidRPr="00211A78">
        <w:rPr>
          <w:rFonts w:ascii="Verdana" w:hAnsi="Verdana"/>
        </w:rPr>
        <w:t>£8.047</w:t>
      </w:r>
      <w:r w:rsidRPr="00211A78">
        <w:rPr>
          <w:rFonts w:ascii="Verdana" w:hAnsi="Verdana"/>
        </w:rPr>
        <w:t>m that</w:t>
      </w:r>
      <w:r w:rsidRPr="00F812E1">
        <w:rPr>
          <w:rFonts w:ascii="Verdana" w:hAnsi="Verdana"/>
        </w:rPr>
        <w:t xml:space="preserve"> is once again to be transferred from the NHS to Council via the </w:t>
      </w:r>
      <w:r w:rsidR="007D51CA">
        <w:rPr>
          <w:rFonts w:ascii="Verdana" w:hAnsi="Verdana"/>
        </w:rPr>
        <w:t>IJB</w:t>
      </w:r>
      <w:r w:rsidRPr="00F812E1">
        <w:rPr>
          <w:rFonts w:ascii="Verdana" w:hAnsi="Verdana"/>
        </w:rPr>
        <w:t>.   This funding has previously been delegated on a permanent recurrent basis to the Council’s Social Care function by the IJB</w:t>
      </w:r>
      <w:r w:rsidR="000D7AAD">
        <w:rPr>
          <w:rFonts w:ascii="Verdana" w:hAnsi="Verdana"/>
        </w:rPr>
        <w:t xml:space="preserve"> and includes no uplift based on NHS funding </w:t>
      </w:r>
      <w:r w:rsidR="00F1349E">
        <w:rPr>
          <w:rFonts w:ascii="Verdana" w:hAnsi="Verdana"/>
        </w:rPr>
        <w:t>arrangements</w:t>
      </w:r>
      <w:r w:rsidR="000D7AAD">
        <w:rPr>
          <w:rFonts w:ascii="Verdana" w:hAnsi="Verdana"/>
        </w:rPr>
        <w:t xml:space="preserve"> for 2024/25. </w:t>
      </w:r>
      <w:r w:rsidR="000D7AAD" w:rsidRPr="000D7AAD">
        <w:rPr>
          <w:rFonts w:ascii="Verdana" w:hAnsi="Verdana"/>
        </w:rPr>
        <w:t>F</w:t>
      </w:r>
      <w:r w:rsidRPr="000D7AAD">
        <w:rPr>
          <w:rFonts w:ascii="Verdana" w:hAnsi="Verdana"/>
        </w:rPr>
        <w:t>urther</w:t>
      </w:r>
      <w:r w:rsidR="000D7AAD" w:rsidRPr="000D7AAD">
        <w:rPr>
          <w:rFonts w:ascii="Verdana" w:hAnsi="Verdana"/>
        </w:rPr>
        <w:t xml:space="preserve"> funding will be made </w:t>
      </w:r>
      <w:r w:rsidR="003B0FC9">
        <w:rPr>
          <w:rFonts w:ascii="Verdana" w:hAnsi="Verdana"/>
        </w:rPr>
        <w:t xml:space="preserve">available </w:t>
      </w:r>
      <w:r w:rsidR="000D7AAD" w:rsidRPr="000D7AAD">
        <w:rPr>
          <w:rFonts w:ascii="Verdana" w:hAnsi="Verdana"/>
        </w:rPr>
        <w:t>to</w:t>
      </w:r>
      <w:r w:rsidRPr="000D7AAD">
        <w:rPr>
          <w:rFonts w:ascii="Verdana" w:hAnsi="Verdana"/>
        </w:rPr>
        <w:t xml:space="preserve"> prov</w:t>
      </w:r>
      <w:r w:rsidR="002D6704" w:rsidRPr="000D7AAD">
        <w:rPr>
          <w:rFonts w:ascii="Verdana" w:hAnsi="Verdana"/>
        </w:rPr>
        <w:t>ide Councils with a further £</w:t>
      </w:r>
      <w:r w:rsidR="000D7AAD" w:rsidRPr="000D7AAD">
        <w:rPr>
          <w:rFonts w:ascii="Verdana" w:hAnsi="Verdana"/>
        </w:rPr>
        <w:t>230</w:t>
      </w:r>
      <w:r w:rsidR="00ED7048" w:rsidRPr="000D7AAD">
        <w:rPr>
          <w:rFonts w:ascii="Verdana" w:hAnsi="Verdana"/>
        </w:rPr>
        <w:t>m</w:t>
      </w:r>
      <w:r w:rsidRPr="000D7AAD">
        <w:rPr>
          <w:rFonts w:ascii="Verdana" w:hAnsi="Verdana"/>
        </w:rPr>
        <w:t xml:space="preserve"> natio</w:t>
      </w:r>
      <w:r w:rsidR="00ED7048" w:rsidRPr="000D7AAD">
        <w:rPr>
          <w:rFonts w:ascii="Verdana" w:hAnsi="Verdana"/>
        </w:rPr>
        <w:t>nally in 202</w:t>
      </w:r>
      <w:r w:rsidR="000D7AAD" w:rsidRPr="000D7AAD">
        <w:rPr>
          <w:rFonts w:ascii="Verdana" w:hAnsi="Verdana"/>
        </w:rPr>
        <w:t>4</w:t>
      </w:r>
      <w:r w:rsidR="00ED7048" w:rsidRPr="000D7AAD">
        <w:rPr>
          <w:rFonts w:ascii="Verdana" w:hAnsi="Verdana"/>
        </w:rPr>
        <w:t>/2</w:t>
      </w:r>
      <w:r w:rsidR="000D7AAD" w:rsidRPr="000D7AAD">
        <w:rPr>
          <w:rFonts w:ascii="Verdana" w:hAnsi="Verdana"/>
        </w:rPr>
        <w:t>5 in order to</w:t>
      </w:r>
      <w:r w:rsidR="00FF2C85">
        <w:rPr>
          <w:rFonts w:ascii="Verdana" w:hAnsi="Verdana"/>
        </w:rPr>
        <w:t xml:space="preserve"> deliver a</w:t>
      </w:r>
      <w:r w:rsidR="002F2C91">
        <w:rPr>
          <w:rFonts w:ascii="Verdana" w:hAnsi="Verdana"/>
        </w:rPr>
        <w:t xml:space="preserve"> minimum</w:t>
      </w:r>
      <w:r w:rsidR="00FF2C85">
        <w:rPr>
          <w:rFonts w:ascii="Verdana" w:hAnsi="Verdana"/>
        </w:rPr>
        <w:t xml:space="preserve"> £12</w:t>
      </w:r>
      <w:r w:rsidR="000D7AAD" w:rsidRPr="000D7AAD">
        <w:rPr>
          <w:rFonts w:ascii="Verdana" w:hAnsi="Verdana"/>
        </w:rPr>
        <w:t xml:space="preserve"> hourly rate </w:t>
      </w:r>
      <w:r w:rsidR="00FF2C85">
        <w:rPr>
          <w:rFonts w:ascii="Verdana" w:hAnsi="Verdana"/>
        </w:rPr>
        <w:t>for</w:t>
      </w:r>
      <w:r w:rsidR="00FF2C85" w:rsidRPr="000D7AAD">
        <w:rPr>
          <w:rFonts w:ascii="Verdana" w:hAnsi="Verdana"/>
        </w:rPr>
        <w:t xml:space="preserve"> </w:t>
      </w:r>
      <w:r w:rsidR="000D7AAD" w:rsidRPr="000D7AAD">
        <w:rPr>
          <w:rFonts w:ascii="Verdana" w:hAnsi="Verdana"/>
        </w:rPr>
        <w:t xml:space="preserve">all </w:t>
      </w:r>
      <w:r w:rsidR="00EF2078">
        <w:rPr>
          <w:rFonts w:ascii="Verdana" w:hAnsi="Verdana"/>
        </w:rPr>
        <w:t xml:space="preserve">adult </w:t>
      </w:r>
      <w:r w:rsidR="000D7AAD" w:rsidRPr="000D7AAD">
        <w:rPr>
          <w:rFonts w:ascii="Verdana" w:hAnsi="Verdana"/>
        </w:rPr>
        <w:t>care workers</w:t>
      </w:r>
      <w:r w:rsidR="00FF2C85">
        <w:rPr>
          <w:rFonts w:ascii="Verdana" w:hAnsi="Verdana"/>
        </w:rPr>
        <w:t xml:space="preserve"> in commissioned services.</w:t>
      </w:r>
    </w:p>
    <w:p w14:paraId="51710E1D" w14:textId="0C965C76" w:rsidR="00D71DF6" w:rsidRPr="00E53B12" w:rsidRDefault="00896399" w:rsidP="00E53B12">
      <w:pPr>
        <w:tabs>
          <w:tab w:val="left" w:pos="799"/>
          <w:tab w:val="left" w:pos="1097"/>
        </w:tabs>
        <w:spacing w:before="60" w:after="60"/>
        <w:ind w:left="1134" w:hanging="1440"/>
      </w:pPr>
      <w:r>
        <w:rPr>
          <w:rFonts w:ascii="Verdana" w:hAnsi="Verdana"/>
          <w:b/>
          <w:bCs/>
        </w:rPr>
        <w:t xml:space="preserve">         </w:t>
      </w:r>
      <w:r w:rsidR="003C7FCB">
        <w:rPr>
          <w:rFonts w:ascii="Verdana" w:hAnsi="Verdana"/>
          <w:b/>
          <w:bCs/>
        </w:rPr>
        <w:t xml:space="preserve"> </w:t>
      </w:r>
      <w:r w:rsidRPr="003C7FCB">
        <w:rPr>
          <w:rFonts w:ascii="Verdana" w:hAnsi="Verdana"/>
        </w:rPr>
        <w:t>6.</w:t>
      </w:r>
      <w:r w:rsidR="003C7FCB">
        <w:rPr>
          <w:rFonts w:ascii="Verdana" w:hAnsi="Verdana"/>
        </w:rPr>
        <w:t>5</w:t>
      </w:r>
      <w:r w:rsidR="006C35A6">
        <w:rPr>
          <w:rFonts w:ascii="Verdana" w:hAnsi="Verdana"/>
          <w:b/>
          <w:bCs/>
        </w:rPr>
        <w:tab/>
      </w:r>
      <w:r w:rsidR="006C35A6" w:rsidRPr="004F619C">
        <w:rPr>
          <w:rFonts w:ascii="Verdana" w:hAnsi="Verdana"/>
        </w:rPr>
        <w:t xml:space="preserve">In addition to the 2024/25 settlement the deputy First Minister confirmed on the </w:t>
      </w:r>
      <w:proofErr w:type="gramStart"/>
      <w:r w:rsidR="006C35A6" w:rsidRPr="004F619C">
        <w:rPr>
          <w:rFonts w:ascii="Verdana" w:hAnsi="Verdana"/>
        </w:rPr>
        <w:t>21st</w:t>
      </w:r>
      <w:proofErr w:type="gramEnd"/>
      <w:r w:rsidR="006C35A6" w:rsidRPr="004F619C">
        <w:rPr>
          <w:rFonts w:ascii="Verdana" w:hAnsi="Verdana"/>
        </w:rPr>
        <w:t xml:space="preserve"> February 2024 that, subject to the overall funding position improving following the UK Government’s Spring Budget on 6 March, an additional £62.7m of funding will be available in 2024/25. This includes the estimated £45m of funding anticipated as a</w:t>
      </w:r>
      <w:r w:rsidR="006C35A6">
        <w:rPr>
          <w:rFonts w:ascii="Verdana" w:hAnsi="Verdana"/>
        </w:rPr>
        <w:t xml:space="preserve"> </w:t>
      </w:r>
      <w:r w:rsidR="006C35A6" w:rsidRPr="004F619C">
        <w:rPr>
          <w:rFonts w:ascii="Verdana" w:hAnsi="Verdana"/>
        </w:rPr>
        <w:t>result of the UK Government</w:t>
      </w:r>
      <w:r>
        <w:rPr>
          <w:rFonts w:ascii="Verdana" w:hAnsi="Verdana"/>
        </w:rPr>
        <w:t>’</w:t>
      </w:r>
      <w:r w:rsidR="006C35A6" w:rsidRPr="004F619C">
        <w:rPr>
          <w:rFonts w:ascii="Verdana" w:hAnsi="Verdana"/>
        </w:rPr>
        <w:t xml:space="preserve">s announcement on Adult Social Care as well as an additional £17.2m. There will be no restrictions </w:t>
      </w:r>
      <w:r w:rsidR="006C35A6">
        <w:rPr>
          <w:rFonts w:ascii="Verdana" w:hAnsi="Verdana"/>
        </w:rPr>
        <w:tab/>
      </w:r>
      <w:r w:rsidR="006C35A6" w:rsidRPr="004F619C">
        <w:rPr>
          <w:rFonts w:ascii="Verdana" w:hAnsi="Verdana"/>
        </w:rPr>
        <w:t xml:space="preserve">made on this funding and our share </w:t>
      </w:r>
      <w:r>
        <w:rPr>
          <w:rFonts w:ascii="Verdana" w:hAnsi="Verdana"/>
        </w:rPr>
        <w:t>has not yet been confirmed.</w:t>
      </w:r>
    </w:p>
    <w:p w14:paraId="020693B0" w14:textId="5E98D0EC" w:rsidR="00B22F9B" w:rsidRDefault="00D71DF6" w:rsidP="00F47D5A">
      <w:pPr>
        <w:tabs>
          <w:tab w:val="left" w:pos="1134"/>
        </w:tabs>
        <w:spacing w:before="60" w:after="60"/>
        <w:ind w:left="567" w:hanging="567"/>
        <w:rPr>
          <w:rFonts w:ascii="Verdana" w:hAnsi="Verdana"/>
          <w:b/>
          <w:bCs/>
        </w:rPr>
      </w:pPr>
      <w:r>
        <w:rPr>
          <w:rFonts w:ascii="Verdana" w:hAnsi="Verdana"/>
          <w:b/>
          <w:bCs/>
        </w:rPr>
        <w:tab/>
      </w:r>
      <w:r w:rsidRPr="00D71DF6">
        <w:rPr>
          <w:rFonts w:ascii="Verdana" w:hAnsi="Verdana"/>
        </w:rPr>
        <w:t>6.6</w:t>
      </w:r>
      <w:r>
        <w:rPr>
          <w:rFonts w:ascii="Verdana" w:hAnsi="Verdana"/>
          <w:b/>
          <w:bCs/>
        </w:rPr>
        <w:tab/>
      </w:r>
      <w:r w:rsidR="00B22F9B">
        <w:rPr>
          <w:rFonts w:ascii="Verdana" w:hAnsi="Verdana"/>
          <w:b/>
          <w:bCs/>
        </w:rPr>
        <w:t>One</w:t>
      </w:r>
      <w:r w:rsidR="00EA075E">
        <w:rPr>
          <w:rFonts w:ascii="Verdana" w:hAnsi="Verdana"/>
          <w:b/>
          <w:bCs/>
        </w:rPr>
        <w:t>-</w:t>
      </w:r>
      <w:r w:rsidR="00B22F9B">
        <w:rPr>
          <w:rFonts w:ascii="Verdana" w:hAnsi="Verdana"/>
          <w:b/>
          <w:bCs/>
        </w:rPr>
        <w:t>off Reserves</w:t>
      </w:r>
    </w:p>
    <w:p w14:paraId="4739DBC4" w14:textId="1A8518E5" w:rsidR="00F47D5A" w:rsidRDefault="00B22F9B" w:rsidP="00E53B12">
      <w:pPr>
        <w:tabs>
          <w:tab w:val="left" w:pos="799"/>
          <w:tab w:val="left" w:pos="1097"/>
        </w:tabs>
        <w:spacing w:before="60" w:after="60"/>
        <w:ind w:left="1134" w:hanging="1440"/>
      </w:pPr>
      <w:r>
        <w:rPr>
          <w:rFonts w:ascii="Verdana" w:hAnsi="Verdana"/>
          <w:b/>
          <w:bCs/>
        </w:rPr>
        <w:tab/>
      </w:r>
      <w:r>
        <w:rPr>
          <w:rFonts w:ascii="Verdana" w:hAnsi="Verdana"/>
          <w:b/>
          <w:bCs/>
        </w:rPr>
        <w:tab/>
      </w:r>
      <w:r>
        <w:rPr>
          <w:rFonts w:ascii="Verdana" w:hAnsi="Verdana"/>
          <w:b/>
          <w:bCs/>
        </w:rPr>
        <w:tab/>
      </w:r>
      <w:r w:rsidR="00944157" w:rsidRPr="002A7A28">
        <w:rPr>
          <w:rFonts w:ascii="Verdana" w:hAnsi="Verdana"/>
        </w:rPr>
        <w:t xml:space="preserve">The </w:t>
      </w:r>
      <w:r w:rsidR="00EA075E">
        <w:rPr>
          <w:rFonts w:ascii="Verdana" w:hAnsi="Verdana"/>
        </w:rPr>
        <w:t>F</w:t>
      </w:r>
      <w:r w:rsidR="00944157" w:rsidRPr="002A7A28">
        <w:rPr>
          <w:rFonts w:ascii="Verdana" w:hAnsi="Verdana"/>
        </w:rPr>
        <w:t xml:space="preserve">inancial </w:t>
      </w:r>
      <w:r w:rsidR="00EA075E">
        <w:rPr>
          <w:rFonts w:ascii="Verdana" w:hAnsi="Verdana"/>
        </w:rPr>
        <w:t>P</w:t>
      </w:r>
      <w:r w:rsidR="00944157" w:rsidRPr="002A7A28">
        <w:rPr>
          <w:rFonts w:ascii="Verdana" w:hAnsi="Verdana"/>
        </w:rPr>
        <w:t xml:space="preserve">lan </w:t>
      </w:r>
      <w:r w:rsidR="00536591">
        <w:rPr>
          <w:rFonts w:ascii="Verdana" w:hAnsi="Verdana"/>
        </w:rPr>
        <w:t>uses</w:t>
      </w:r>
      <w:r w:rsidR="00944157" w:rsidRPr="002A7A28">
        <w:rPr>
          <w:rFonts w:ascii="Verdana" w:hAnsi="Verdana"/>
        </w:rPr>
        <w:t xml:space="preserve"> o</w:t>
      </w:r>
      <w:r w:rsidR="00C232EB">
        <w:rPr>
          <w:rFonts w:ascii="Verdana" w:hAnsi="Verdana"/>
        </w:rPr>
        <w:t>ne</w:t>
      </w:r>
      <w:r w:rsidR="00EA075E">
        <w:rPr>
          <w:rFonts w:ascii="Verdana" w:hAnsi="Verdana"/>
        </w:rPr>
        <w:t>-</w:t>
      </w:r>
      <w:r w:rsidR="00C232EB">
        <w:rPr>
          <w:rFonts w:ascii="Verdana" w:hAnsi="Verdana"/>
        </w:rPr>
        <w:t>off</w:t>
      </w:r>
      <w:r w:rsidR="00944157" w:rsidRPr="002A7A28">
        <w:rPr>
          <w:rFonts w:ascii="Verdana" w:hAnsi="Verdana"/>
        </w:rPr>
        <w:t xml:space="preserve"> </w:t>
      </w:r>
      <w:r w:rsidR="00EA075E">
        <w:rPr>
          <w:rFonts w:ascii="Verdana" w:hAnsi="Verdana"/>
        </w:rPr>
        <w:t>R</w:t>
      </w:r>
      <w:r w:rsidR="00944157" w:rsidRPr="002A7A28">
        <w:rPr>
          <w:rFonts w:ascii="Verdana" w:hAnsi="Verdana"/>
        </w:rPr>
        <w:t>eserves of £9.</w:t>
      </w:r>
      <w:r w:rsidR="00EB1566">
        <w:rPr>
          <w:rFonts w:ascii="Verdana" w:hAnsi="Verdana"/>
        </w:rPr>
        <w:t>6</w:t>
      </w:r>
      <w:r w:rsidR="00944157" w:rsidRPr="002A7A28">
        <w:rPr>
          <w:rFonts w:ascii="Verdana" w:hAnsi="Verdana"/>
        </w:rPr>
        <w:t>m in order to balance</w:t>
      </w:r>
      <w:r w:rsidR="000D73C2" w:rsidRPr="002A7A28">
        <w:rPr>
          <w:rFonts w:ascii="Verdana" w:hAnsi="Verdana"/>
        </w:rPr>
        <w:t xml:space="preserve"> the financial position</w:t>
      </w:r>
      <w:r w:rsidR="00944157" w:rsidRPr="002A7A28">
        <w:rPr>
          <w:rFonts w:ascii="Verdana" w:hAnsi="Verdana"/>
        </w:rPr>
        <w:t xml:space="preserve"> in 2024/25. </w:t>
      </w:r>
      <w:r w:rsidR="00B115D6">
        <w:rPr>
          <w:rFonts w:ascii="Verdana" w:hAnsi="Verdana"/>
        </w:rPr>
        <w:t xml:space="preserve">£8.4m of these reserves had been set aside to support the </w:t>
      </w:r>
      <w:r w:rsidR="001529C4">
        <w:rPr>
          <w:rFonts w:ascii="Verdana" w:hAnsi="Verdana"/>
        </w:rPr>
        <w:t>5-year</w:t>
      </w:r>
      <w:r w:rsidR="00E42B42">
        <w:rPr>
          <w:rFonts w:ascii="Verdana" w:hAnsi="Verdana"/>
        </w:rPr>
        <w:t xml:space="preserve"> </w:t>
      </w:r>
      <w:r w:rsidR="00B115D6">
        <w:rPr>
          <w:rFonts w:ascii="Verdana" w:hAnsi="Verdana"/>
        </w:rPr>
        <w:t xml:space="preserve">revenue plan but were </w:t>
      </w:r>
      <w:r w:rsidR="00802408">
        <w:rPr>
          <w:rFonts w:ascii="Verdana" w:hAnsi="Verdana"/>
        </w:rPr>
        <w:t xml:space="preserve">originally </w:t>
      </w:r>
      <w:r w:rsidR="00B115D6">
        <w:rPr>
          <w:rFonts w:ascii="Verdana" w:hAnsi="Verdana"/>
        </w:rPr>
        <w:t xml:space="preserve">intended to </w:t>
      </w:r>
      <w:r w:rsidR="00802408">
        <w:rPr>
          <w:rFonts w:ascii="Verdana" w:hAnsi="Verdana"/>
        </w:rPr>
        <w:t>be used</w:t>
      </w:r>
      <w:r w:rsidR="00B115D6">
        <w:rPr>
          <w:rFonts w:ascii="Verdana" w:hAnsi="Verdana"/>
        </w:rPr>
        <w:t xml:space="preserve"> over </w:t>
      </w:r>
      <w:r w:rsidR="00802408">
        <w:rPr>
          <w:rFonts w:ascii="Verdana" w:hAnsi="Verdana"/>
        </w:rPr>
        <w:t>a</w:t>
      </w:r>
      <w:r w:rsidR="00B115D6">
        <w:rPr>
          <w:rFonts w:ascii="Verdana" w:hAnsi="Verdana"/>
        </w:rPr>
        <w:t xml:space="preserve"> </w:t>
      </w:r>
      <w:r w:rsidR="001529C4">
        <w:rPr>
          <w:rFonts w:ascii="Verdana" w:hAnsi="Verdana"/>
        </w:rPr>
        <w:t>4-year</w:t>
      </w:r>
      <w:r w:rsidR="00E42B42">
        <w:rPr>
          <w:rFonts w:ascii="Verdana" w:hAnsi="Verdana"/>
        </w:rPr>
        <w:t xml:space="preserve"> period</w:t>
      </w:r>
      <w:r w:rsidR="00B115D6">
        <w:rPr>
          <w:rFonts w:ascii="Verdana" w:hAnsi="Verdana"/>
        </w:rPr>
        <w:t xml:space="preserve">. Due to the extreme </w:t>
      </w:r>
      <w:r w:rsidR="006F2CA8">
        <w:rPr>
          <w:rFonts w:ascii="Verdana" w:hAnsi="Verdana"/>
        </w:rPr>
        <w:t>challenges the Council is facing this full reserve along with</w:t>
      </w:r>
      <w:r w:rsidR="00EE1F24">
        <w:rPr>
          <w:rFonts w:ascii="Verdana" w:hAnsi="Verdana"/>
        </w:rPr>
        <w:t xml:space="preserve"> </w:t>
      </w:r>
      <w:r w:rsidR="006F2CA8">
        <w:rPr>
          <w:rFonts w:ascii="Verdana" w:hAnsi="Verdana"/>
        </w:rPr>
        <w:t xml:space="preserve">an </w:t>
      </w:r>
      <w:r w:rsidR="00EE1F24">
        <w:rPr>
          <w:rFonts w:ascii="Verdana" w:hAnsi="Verdana"/>
        </w:rPr>
        <w:t>additional</w:t>
      </w:r>
      <w:r w:rsidR="006F2CA8">
        <w:rPr>
          <w:rFonts w:ascii="Verdana" w:hAnsi="Verdana"/>
        </w:rPr>
        <w:t xml:space="preserve"> £1.2m has been </w:t>
      </w:r>
      <w:r w:rsidR="00802408">
        <w:rPr>
          <w:rFonts w:ascii="Verdana" w:hAnsi="Verdana"/>
        </w:rPr>
        <w:t xml:space="preserve">proposed to </w:t>
      </w:r>
      <w:r w:rsidR="006F2CA8">
        <w:rPr>
          <w:rFonts w:ascii="Verdana" w:hAnsi="Verdana"/>
        </w:rPr>
        <w:t>support 2024/25</w:t>
      </w:r>
      <w:r w:rsidR="005A780A">
        <w:rPr>
          <w:rFonts w:ascii="Verdana" w:hAnsi="Verdana"/>
        </w:rPr>
        <w:t xml:space="preserve"> budget</w:t>
      </w:r>
      <w:r w:rsidR="006F2CA8">
        <w:rPr>
          <w:rFonts w:ascii="Verdana" w:hAnsi="Verdana"/>
        </w:rPr>
        <w:t>.</w:t>
      </w:r>
      <w:r w:rsidR="00536591">
        <w:rPr>
          <w:rFonts w:ascii="Verdana" w:hAnsi="Verdana"/>
        </w:rPr>
        <w:t xml:space="preserve"> </w:t>
      </w:r>
      <w:r w:rsidR="00944157" w:rsidRPr="002A7A28">
        <w:rPr>
          <w:rFonts w:ascii="Verdana" w:hAnsi="Verdana"/>
        </w:rPr>
        <w:t>This</w:t>
      </w:r>
      <w:r w:rsidR="00BD12F1" w:rsidRPr="002A7A28">
        <w:rPr>
          <w:rFonts w:ascii="Verdana" w:hAnsi="Verdana"/>
        </w:rPr>
        <w:t xml:space="preserve"> </w:t>
      </w:r>
      <w:r w:rsidR="001529C4" w:rsidRPr="002A7A28">
        <w:rPr>
          <w:rFonts w:ascii="Verdana" w:hAnsi="Verdana"/>
        </w:rPr>
        <w:t>short-term</w:t>
      </w:r>
      <w:r w:rsidR="00BD12F1" w:rsidRPr="002A7A28">
        <w:rPr>
          <w:rFonts w:ascii="Verdana" w:hAnsi="Verdana"/>
        </w:rPr>
        <w:t xml:space="preserve"> measure </w:t>
      </w:r>
      <w:r w:rsidR="0038735E" w:rsidRPr="002A7A28">
        <w:rPr>
          <w:rFonts w:ascii="Verdana" w:hAnsi="Verdana"/>
        </w:rPr>
        <w:t xml:space="preserve">has been implemented to allow a planned approach to the required permanent reductions to </w:t>
      </w:r>
      <w:r w:rsidR="003F42C7">
        <w:rPr>
          <w:rFonts w:ascii="Verdana" w:hAnsi="Verdana"/>
        </w:rPr>
        <w:t>the Council budget</w:t>
      </w:r>
      <w:r w:rsidR="00024470" w:rsidRPr="002A7A28">
        <w:rPr>
          <w:rFonts w:ascii="Verdana" w:hAnsi="Verdana"/>
        </w:rPr>
        <w:t xml:space="preserve"> </w:t>
      </w:r>
      <w:r w:rsidR="00F80DDE" w:rsidRPr="002A7A28">
        <w:rPr>
          <w:rFonts w:ascii="Verdana" w:hAnsi="Verdana"/>
        </w:rPr>
        <w:t xml:space="preserve">from 2025/26 </w:t>
      </w:r>
      <w:r w:rsidR="0038735E" w:rsidRPr="002A7A28">
        <w:rPr>
          <w:rFonts w:ascii="Verdana" w:hAnsi="Verdana"/>
        </w:rPr>
        <w:t xml:space="preserve">with effective communication with </w:t>
      </w:r>
      <w:r w:rsidR="0038735E" w:rsidRPr="002A7A28">
        <w:rPr>
          <w:rFonts w:ascii="Verdana" w:hAnsi="Verdana"/>
        </w:rPr>
        <w:lastRenderedPageBreak/>
        <w:t>communities</w:t>
      </w:r>
      <w:r w:rsidR="00024470" w:rsidRPr="002A7A28">
        <w:rPr>
          <w:rFonts w:ascii="Verdana" w:hAnsi="Verdana"/>
        </w:rPr>
        <w:t xml:space="preserve"> </w:t>
      </w:r>
      <w:r w:rsidR="003F42C7">
        <w:rPr>
          <w:rFonts w:ascii="Verdana" w:hAnsi="Verdana"/>
        </w:rPr>
        <w:t xml:space="preserve">essential </w:t>
      </w:r>
      <w:r w:rsidR="00024470" w:rsidRPr="002A7A28">
        <w:rPr>
          <w:rFonts w:ascii="Verdana" w:hAnsi="Verdana"/>
        </w:rPr>
        <w:t>during 2024/25.</w:t>
      </w:r>
      <w:r w:rsidR="00F80DDE" w:rsidRPr="002A7A28">
        <w:rPr>
          <w:rFonts w:ascii="Verdana" w:hAnsi="Verdana"/>
        </w:rPr>
        <w:t xml:space="preserve"> The use of</w:t>
      </w:r>
      <w:r w:rsidR="00F80DDE" w:rsidRPr="002A7A28">
        <w:rPr>
          <w:rFonts w:ascii="Verdana" w:hAnsi="Verdana"/>
          <w:b/>
          <w:bCs/>
        </w:rPr>
        <w:t xml:space="preserve"> </w:t>
      </w:r>
      <w:r w:rsidR="0038735E" w:rsidRPr="002A7A28">
        <w:rPr>
          <w:rFonts w:ascii="Verdana" w:hAnsi="Verdana"/>
        </w:rPr>
        <w:t xml:space="preserve">one-off resources </w:t>
      </w:r>
      <w:r w:rsidR="00F80DDE" w:rsidRPr="002A7A28">
        <w:rPr>
          <w:rFonts w:ascii="Verdana" w:hAnsi="Verdana"/>
        </w:rPr>
        <w:t xml:space="preserve">can </w:t>
      </w:r>
      <w:r w:rsidR="0038735E" w:rsidRPr="002A7A28">
        <w:rPr>
          <w:rFonts w:ascii="Verdana" w:hAnsi="Verdana"/>
        </w:rPr>
        <w:t>only buy time</w:t>
      </w:r>
      <w:r w:rsidR="00A05280" w:rsidRPr="002A7A28">
        <w:rPr>
          <w:rFonts w:ascii="Verdana" w:hAnsi="Verdana"/>
        </w:rPr>
        <w:t xml:space="preserve"> to deliver permanent financial sustainability and </w:t>
      </w:r>
      <w:r w:rsidR="0038735E" w:rsidRPr="002A7A28">
        <w:rPr>
          <w:rFonts w:ascii="Verdana" w:hAnsi="Verdana"/>
        </w:rPr>
        <w:t xml:space="preserve">extends the period over which the Council is living </w:t>
      </w:r>
      <w:r w:rsidR="00DA31A6" w:rsidRPr="002A7A28">
        <w:rPr>
          <w:rFonts w:ascii="Verdana" w:hAnsi="Verdana"/>
        </w:rPr>
        <w:t>out with</w:t>
      </w:r>
      <w:r w:rsidR="0038735E" w:rsidRPr="002A7A28">
        <w:rPr>
          <w:rFonts w:ascii="Verdana" w:hAnsi="Verdana"/>
        </w:rPr>
        <w:t xml:space="preserve"> its means. </w:t>
      </w:r>
      <w:r w:rsidR="00A05280" w:rsidRPr="002A7A28">
        <w:rPr>
          <w:rFonts w:ascii="Verdana" w:hAnsi="Verdana"/>
        </w:rPr>
        <w:t>It also de</w:t>
      </w:r>
      <w:r w:rsidR="0038735E" w:rsidRPr="002A7A28">
        <w:rPr>
          <w:rFonts w:ascii="Verdana" w:hAnsi="Verdana"/>
        </w:rPr>
        <w:t xml:space="preserve">pletes </w:t>
      </w:r>
      <w:r w:rsidR="00F43789">
        <w:rPr>
          <w:rFonts w:ascii="Verdana" w:hAnsi="Verdana"/>
        </w:rPr>
        <w:t>R</w:t>
      </w:r>
      <w:r w:rsidR="0038735E" w:rsidRPr="002A7A28">
        <w:rPr>
          <w:rFonts w:ascii="Verdana" w:hAnsi="Verdana"/>
        </w:rPr>
        <w:t>eserves going forward</w:t>
      </w:r>
      <w:r w:rsidR="00A05280" w:rsidRPr="002A7A28">
        <w:rPr>
          <w:rFonts w:ascii="Verdana" w:hAnsi="Verdana"/>
        </w:rPr>
        <w:t xml:space="preserve"> which reduces our ability to deal with </w:t>
      </w:r>
      <w:r w:rsidR="006A4A3B">
        <w:rPr>
          <w:rFonts w:ascii="Verdana" w:hAnsi="Verdana"/>
        </w:rPr>
        <w:t xml:space="preserve">as yet </w:t>
      </w:r>
      <w:r w:rsidR="00A05280" w:rsidRPr="002A7A28">
        <w:rPr>
          <w:rFonts w:ascii="Verdana" w:hAnsi="Verdana"/>
        </w:rPr>
        <w:t xml:space="preserve">unknown </w:t>
      </w:r>
      <w:r w:rsidR="00087911" w:rsidRPr="002A7A28">
        <w:rPr>
          <w:rFonts w:ascii="Verdana" w:hAnsi="Verdana"/>
        </w:rPr>
        <w:t>pressures and the risks detailed in Appendix</w:t>
      </w:r>
      <w:r w:rsidR="00087911">
        <w:t xml:space="preserve"> 1. </w:t>
      </w:r>
    </w:p>
    <w:p w14:paraId="754F63AB" w14:textId="77777777" w:rsidR="00E53B12" w:rsidRPr="00F47D5A" w:rsidRDefault="00E53B12" w:rsidP="00E53B12">
      <w:pPr>
        <w:tabs>
          <w:tab w:val="left" w:pos="799"/>
          <w:tab w:val="left" w:pos="1097"/>
        </w:tabs>
        <w:spacing w:before="60" w:after="60"/>
        <w:ind w:left="1134" w:hanging="1440"/>
      </w:pPr>
    </w:p>
    <w:p w14:paraId="2684368F" w14:textId="6EF9BA6E" w:rsidR="00B22F9B" w:rsidRDefault="00C869B8" w:rsidP="00F47D5A">
      <w:pPr>
        <w:ind w:left="1134" w:hanging="567"/>
        <w:rPr>
          <w:rFonts w:ascii="Verdana" w:hAnsi="Verdana"/>
        </w:rPr>
      </w:pPr>
      <w:r>
        <w:rPr>
          <w:rFonts w:ascii="Verdana" w:hAnsi="Verdana"/>
        </w:rPr>
        <w:t>6.</w:t>
      </w:r>
      <w:r w:rsidR="00D71DF6">
        <w:rPr>
          <w:rFonts w:ascii="Verdana" w:hAnsi="Verdana"/>
        </w:rPr>
        <w:t>7</w:t>
      </w:r>
      <w:r w:rsidR="000106B5" w:rsidRPr="00DE48E3">
        <w:rPr>
          <w:rFonts w:ascii="Verdana" w:hAnsi="Verdana"/>
        </w:rPr>
        <w:tab/>
      </w:r>
      <w:r w:rsidR="00B22F9B" w:rsidRPr="000106B5">
        <w:rPr>
          <w:rFonts w:ascii="Verdana" w:hAnsi="Verdana"/>
          <w:b/>
          <w:bCs/>
        </w:rPr>
        <w:t>C</w:t>
      </w:r>
      <w:r w:rsidR="00B22F9B">
        <w:rPr>
          <w:rFonts w:ascii="Verdana" w:hAnsi="Verdana"/>
          <w:b/>
          <w:bCs/>
        </w:rPr>
        <w:t>ouncil Tax</w:t>
      </w:r>
    </w:p>
    <w:p w14:paraId="58454409" w14:textId="0678B901" w:rsidR="000D7AAD" w:rsidRDefault="00B22F9B" w:rsidP="00F47D5A">
      <w:pPr>
        <w:ind w:left="1134" w:hanging="567"/>
      </w:pPr>
      <w:r>
        <w:rPr>
          <w:rFonts w:ascii="Verdana" w:hAnsi="Verdana"/>
        </w:rPr>
        <w:tab/>
      </w:r>
      <w:r w:rsidR="000106B5" w:rsidRPr="00DE48E3">
        <w:rPr>
          <w:rFonts w:ascii="Verdana" w:hAnsi="Verdana"/>
        </w:rPr>
        <w:t>On 21</w:t>
      </w:r>
      <w:r w:rsidR="000106B5" w:rsidRPr="00DE48E3">
        <w:rPr>
          <w:rFonts w:ascii="Verdana" w:hAnsi="Verdana"/>
          <w:vertAlign w:val="superscript"/>
        </w:rPr>
        <w:t>st</w:t>
      </w:r>
      <w:r w:rsidR="000106B5" w:rsidRPr="00DE48E3">
        <w:rPr>
          <w:rFonts w:ascii="Verdana" w:hAnsi="Verdana"/>
        </w:rPr>
        <w:t xml:space="preserve"> February the </w:t>
      </w:r>
      <w:r w:rsidR="00DD72B3" w:rsidRPr="00DE48E3">
        <w:rPr>
          <w:rFonts w:ascii="Verdana" w:hAnsi="Verdana"/>
        </w:rPr>
        <w:t>C</w:t>
      </w:r>
      <w:r w:rsidR="000106B5" w:rsidRPr="00DE48E3">
        <w:rPr>
          <w:rFonts w:ascii="Verdana" w:hAnsi="Verdana"/>
        </w:rPr>
        <w:t xml:space="preserve">ouncil </w:t>
      </w:r>
      <w:r w:rsidR="00DD72B3" w:rsidRPr="00DE48E3">
        <w:rPr>
          <w:rFonts w:ascii="Verdana" w:hAnsi="Verdana" w:cs="Arial"/>
          <w:szCs w:val="22"/>
        </w:rPr>
        <w:t>accepted</w:t>
      </w:r>
      <w:r w:rsidR="00DD72B3" w:rsidRPr="00DD72B3">
        <w:rPr>
          <w:rFonts w:ascii="Verdana" w:hAnsi="Verdana" w:cs="Arial"/>
          <w:szCs w:val="22"/>
        </w:rPr>
        <w:t xml:space="preserve"> additional funding of £3.22m through the 2024/25 Local Government Finance Settlement to freeze Council Tax at 2023/24 levels</w:t>
      </w:r>
      <w:r w:rsidR="00E57E71">
        <w:rPr>
          <w:rFonts w:ascii="Verdana" w:hAnsi="Verdana" w:cs="Arial"/>
          <w:szCs w:val="22"/>
        </w:rPr>
        <w:t xml:space="preserve">. </w:t>
      </w:r>
      <w:r w:rsidR="00E547F7">
        <w:rPr>
          <w:rFonts w:ascii="Verdana" w:hAnsi="Verdana" w:cs="Arial"/>
          <w:szCs w:val="22"/>
        </w:rPr>
        <w:t xml:space="preserve">This decision was made ahead of the </w:t>
      </w:r>
      <w:r w:rsidR="00B714FB">
        <w:rPr>
          <w:rFonts w:ascii="Verdana" w:hAnsi="Verdana" w:cs="Arial"/>
          <w:szCs w:val="22"/>
        </w:rPr>
        <w:t xml:space="preserve">approval of the financial plan </w:t>
      </w:r>
      <w:r w:rsidR="00B714FB">
        <w:rPr>
          <w:rFonts w:ascii="Verdana" w:hAnsi="Verdana"/>
        </w:rPr>
        <w:t xml:space="preserve">to ensure bills </w:t>
      </w:r>
      <w:r w:rsidR="00F1349E">
        <w:rPr>
          <w:rFonts w:ascii="Verdana" w:hAnsi="Verdana"/>
        </w:rPr>
        <w:t>can be</w:t>
      </w:r>
      <w:r w:rsidR="00B714FB">
        <w:rPr>
          <w:rFonts w:ascii="Verdana" w:hAnsi="Verdana"/>
        </w:rPr>
        <w:t xml:space="preserve"> issued to customers on time.</w:t>
      </w:r>
    </w:p>
    <w:p w14:paraId="4EB54306" w14:textId="77777777" w:rsidR="00995916" w:rsidRDefault="00995916" w:rsidP="00AC1549">
      <w:pPr>
        <w:rPr>
          <w:rFonts w:ascii="Verdana" w:hAnsi="Verdana"/>
          <w:b/>
        </w:rPr>
      </w:pPr>
    </w:p>
    <w:p w14:paraId="0AE20D6D" w14:textId="1F9CAB43" w:rsidR="00AC1549" w:rsidRDefault="00C869B8" w:rsidP="008902F9">
      <w:pPr>
        <w:tabs>
          <w:tab w:val="left" w:pos="567"/>
        </w:tabs>
        <w:rPr>
          <w:rFonts w:ascii="Verdana" w:hAnsi="Verdana"/>
          <w:b/>
        </w:rPr>
      </w:pPr>
      <w:r>
        <w:rPr>
          <w:rFonts w:ascii="Verdana" w:hAnsi="Verdana"/>
          <w:b/>
        </w:rPr>
        <w:t>7</w:t>
      </w:r>
      <w:r w:rsidR="007150D4">
        <w:rPr>
          <w:rFonts w:ascii="Verdana" w:hAnsi="Verdana"/>
          <w:b/>
        </w:rPr>
        <w:tab/>
        <w:t>RESOURCING ESTIMATES 202</w:t>
      </w:r>
      <w:r w:rsidR="00B6382A">
        <w:rPr>
          <w:rFonts w:ascii="Verdana" w:hAnsi="Verdana"/>
          <w:b/>
        </w:rPr>
        <w:t>4</w:t>
      </w:r>
      <w:r w:rsidR="007150D4">
        <w:rPr>
          <w:rFonts w:ascii="Verdana" w:hAnsi="Verdana"/>
          <w:b/>
        </w:rPr>
        <w:t>/2</w:t>
      </w:r>
      <w:r w:rsidR="002C311C">
        <w:rPr>
          <w:rFonts w:ascii="Verdana" w:hAnsi="Verdana"/>
          <w:b/>
        </w:rPr>
        <w:t>5</w:t>
      </w:r>
      <w:r w:rsidR="00AC1549">
        <w:rPr>
          <w:rFonts w:ascii="Verdana" w:hAnsi="Verdana"/>
          <w:b/>
        </w:rPr>
        <w:t xml:space="preserve"> AND BEYOND </w:t>
      </w:r>
    </w:p>
    <w:p w14:paraId="1D29D243" w14:textId="77777777" w:rsidR="00AC1549" w:rsidRDefault="00AC1549" w:rsidP="00AC1549">
      <w:pPr>
        <w:rPr>
          <w:rFonts w:ascii="Verdana" w:hAnsi="Verdana"/>
          <w:b/>
        </w:rPr>
      </w:pPr>
    </w:p>
    <w:p w14:paraId="467C4D2D" w14:textId="426B04CF" w:rsidR="00AC1549" w:rsidRDefault="00C869B8" w:rsidP="00D21359">
      <w:pPr>
        <w:ind w:left="1134" w:hanging="567"/>
        <w:rPr>
          <w:rStyle w:val="BodyTextIndentChar"/>
          <w:rFonts w:ascii="Verdana" w:hAnsi="Verdana"/>
        </w:rPr>
      </w:pPr>
      <w:r>
        <w:rPr>
          <w:rFonts w:ascii="Verdana" w:hAnsi="Verdana"/>
        </w:rPr>
        <w:t>7</w:t>
      </w:r>
      <w:r w:rsidR="006A4A3B">
        <w:rPr>
          <w:rFonts w:ascii="Verdana" w:hAnsi="Verdana"/>
        </w:rPr>
        <w:t>.1</w:t>
      </w:r>
      <w:r w:rsidR="00AC1549">
        <w:rPr>
          <w:rFonts w:ascii="Verdana" w:hAnsi="Verdana"/>
        </w:rPr>
        <w:tab/>
      </w:r>
      <w:r w:rsidR="00AC1549" w:rsidRPr="00A057F2">
        <w:rPr>
          <w:rStyle w:val="BodyTextIndentChar"/>
          <w:rFonts w:ascii="Verdana" w:hAnsi="Verdana"/>
        </w:rPr>
        <w:t>At present</w:t>
      </w:r>
      <w:r w:rsidR="009A63AA">
        <w:rPr>
          <w:rStyle w:val="BodyTextIndentChar"/>
          <w:rFonts w:ascii="Verdana" w:hAnsi="Verdana"/>
        </w:rPr>
        <w:t>,</w:t>
      </w:r>
      <w:r w:rsidR="00AC1549" w:rsidRPr="00A057F2">
        <w:rPr>
          <w:rStyle w:val="BodyTextIndentChar"/>
          <w:rFonts w:ascii="Verdana" w:hAnsi="Verdana"/>
        </w:rPr>
        <w:t xml:space="preserve"> the Scottish Government has only confirmed a </w:t>
      </w:r>
      <w:r w:rsidR="001529C4" w:rsidRPr="00A057F2">
        <w:rPr>
          <w:rStyle w:val="BodyTextIndentChar"/>
          <w:rFonts w:ascii="Verdana" w:hAnsi="Verdana"/>
        </w:rPr>
        <w:t>one-year</w:t>
      </w:r>
      <w:r w:rsidR="00AC1549" w:rsidRPr="00A057F2">
        <w:rPr>
          <w:rStyle w:val="BodyTextIndentChar"/>
          <w:rFonts w:ascii="Verdana" w:hAnsi="Verdana"/>
        </w:rPr>
        <w:t xml:space="preserve"> </w:t>
      </w:r>
      <w:r w:rsidR="00AF2E0A">
        <w:rPr>
          <w:rStyle w:val="BodyTextIndentChar"/>
          <w:rFonts w:ascii="Verdana" w:hAnsi="Verdana"/>
        </w:rPr>
        <w:t xml:space="preserve">Revenue </w:t>
      </w:r>
      <w:r w:rsidR="00AC1549" w:rsidRPr="00A057F2">
        <w:rPr>
          <w:rStyle w:val="BodyTextIndentChar"/>
          <w:rFonts w:ascii="Verdana" w:hAnsi="Verdana"/>
        </w:rPr>
        <w:t>Settlement and therefore has only publ</w:t>
      </w:r>
      <w:r w:rsidR="00E75EE7">
        <w:rPr>
          <w:rStyle w:val="BodyTextIndentChar"/>
          <w:rFonts w:ascii="Verdana" w:hAnsi="Verdana"/>
        </w:rPr>
        <w:t>ished draft AEF figures for 202</w:t>
      </w:r>
      <w:r w:rsidR="000D7AAD">
        <w:rPr>
          <w:rStyle w:val="BodyTextIndentChar"/>
          <w:rFonts w:ascii="Verdana" w:hAnsi="Verdana"/>
        </w:rPr>
        <w:t>4</w:t>
      </w:r>
      <w:r w:rsidR="00E75EE7">
        <w:rPr>
          <w:rStyle w:val="BodyTextIndentChar"/>
          <w:rFonts w:ascii="Verdana" w:hAnsi="Verdana"/>
        </w:rPr>
        <w:t>/2</w:t>
      </w:r>
      <w:r w:rsidR="000D7AAD">
        <w:rPr>
          <w:rStyle w:val="BodyTextIndentChar"/>
          <w:rFonts w:ascii="Verdana" w:hAnsi="Verdana"/>
        </w:rPr>
        <w:t>5</w:t>
      </w:r>
      <w:r w:rsidR="00AC1549" w:rsidRPr="00A057F2">
        <w:rPr>
          <w:rStyle w:val="BodyTextIndentChar"/>
          <w:rFonts w:ascii="Verdana" w:hAnsi="Verdana"/>
        </w:rPr>
        <w:t xml:space="preserve">.  In planning resources over the next 5 years </w:t>
      </w:r>
      <w:r w:rsidR="00B45848">
        <w:rPr>
          <w:rStyle w:val="BodyTextIndentChar"/>
          <w:rFonts w:ascii="Verdana" w:hAnsi="Verdana"/>
        </w:rPr>
        <w:t xml:space="preserve">through the revenue plan and 10 years through the </w:t>
      </w:r>
      <w:r w:rsidR="001529C4">
        <w:rPr>
          <w:rStyle w:val="BodyTextIndentChar"/>
          <w:rFonts w:ascii="Verdana" w:hAnsi="Verdana"/>
        </w:rPr>
        <w:t>Long-Term</w:t>
      </w:r>
      <w:r w:rsidR="00B45848">
        <w:rPr>
          <w:rStyle w:val="BodyTextIndentChar"/>
          <w:rFonts w:ascii="Verdana" w:hAnsi="Verdana"/>
        </w:rPr>
        <w:t xml:space="preserve"> Financial Strategy</w:t>
      </w:r>
      <w:r w:rsidR="006B5C90">
        <w:rPr>
          <w:rStyle w:val="BodyTextIndentChar"/>
          <w:rFonts w:ascii="Verdana" w:hAnsi="Verdana"/>
        </w:rPr>
        <w:t xml:space="preserve"> (Revenue)</w:t>
      </w:r>
      <w:r w:rsidR="00B45848">
        <w:rPr>
          <w:rStyle w:val="BodyTextIndentChar"/>
          <w:rFonts w:ascii="Verdana" w:hAnsi="Verdana"/>
        </w:rPr>
        <w:t xml:space="preserve">, </w:t>
      </w:r>
      <w:r w:rsidR="00AC1549" w:rsidRPr="00A057F2">
        <w:rPr>
          <w:rStyle w:val="BodyTextIndentChar"/>
          <w:rFonts w:ascii="Verdana" w:hAnsi="Verdana"/>
        </w:rPr>
        <w:t xml:space="preserve">the Council has made assumptions about the levels of funding likely to be available and the level of savings which will be required to balance to these estimates.   The assumption for planning purposes is that AEF resources will </w:t>
      </w:r>
      <w:r w:rsidR="00B45848">
        <w:rPr>
          <w:rStyle w:val="BodyTextIndentChar"/>
          <w:rFonts w:ascii="Verdana" w:hAnsi="Verdana"/>
        </w:rPr>
        <w:t>be provided on</w:t>
      </w:r>
      <w:r w:rsidR="00BB41BA">
        <w:rPr>
          <w:rStyle w:val="BodyTextIndentChar"/>
          <w:rFonts w:ascii="Verdana" w:hAnsi="Verdana"/>
        </w:rPr>
        <w:t xml:space="preserve"> a flat cash basis</w:t>
      </w:r>
      <w:r w:rsidR="00AC1549" w:rsidRPr="00557C93">
        <w:rPr>
          <w:rStyle w:val="BodyTextIndentChar"/>
          <w:rFonts w:ascii="Verdana" w:hAnsi="Verdana"/>
        </w:rPr>
        <w:t xml:space="preserve"> in</w:t>
      </w:r>
      <w:r w:rsidR="00AC1549" w:rsidRPr="00A057F2">
        <w:rPr>
          <w:rStyle w:val="BodyTextIndentChar"/>
          <w:rFonts w:ascii="Verdana" w:hAnsi="Verdana"/>
        </w:rPr>
        <w:t xml:space="preserve"> each </w:t>
      </w:r>
      <w:r w:rsidR="00BB0C8C">
        <w:rPr>
          <w:rStyle w:val="BodyTextIndentChar"/>
          <w:rFonts w:ascii="Verdana" w:hAnsi="Verdana"/>
        </w:rPr>
        <w:t xml:space="preserve">future </w:t>
      </w:r>
      <w:r w:rsidR="00AC1549" w:rsidRPr="00A057F2">
        <w:rPr>
          <w:rStyle w:val="BodyTextIndentChar"/>
          <w:rFonts w:ascii="Verdana" w:hAnsi="Verdana"/>
        </w:rPr>
        <w:t xml:space="preserve">year of the </w:t>
      </w:r>
      <w:r w:rsidR="001529C4" w:rsidRPr="00A057F2">
        <w:rPr>
          <w:rStyle w:val="BodyTextIndentChar"/>
          <w:rFonts w:ascii="Verdana" w:hAnsi="Verdana"/>
        </w:rPr>
        <w:t>5-year</w:t>
      </w:r>
      <w:r w:rsidR="00AC1549" w:rsidRPr="00A057F2">
        <w:rPr>
          <w:rStyle w:val="BodyTextIndentChar"/>
          <w:rFonts w:ascii="Verdana" w:hAnsi="Verdana"/>
        </w:rPr>
        <w:t xml:space="preserve"> plan.  These estimates exclude any transfers for new statutory burdens.</w:t>
      </w:r>
    </w:p>
    <w:p w14:paraId="4436CBF9" w14:textId="77777777" w:rsidR="00E53B12" w:rsidRDefault="00E53B12" w:rsidP="00D21359">
      <w:pPr>
        <w:ind w:left="1134" w:hanging="567"/>
        <w:rPr>
          <w:rStyle w:val="BodyTextIndentChar"/>
          <w:rFonts w:ascii="Verdana" w:hAnsi="Verdana"/>
        </w:rPr>
      </w:pPr>
    </w:p>
    <w:p w14:paraId="29A989C5" w14:textId="66727767" w:rsidR="00AC1549" w:rsidRDefault="00C869B8" w:rsidP="00F47D5A">
      <w:pPr>
        <w:ind w:left="1134" w:hanging="567"/>
        <w:rPr>
          <w:rStyle w:val="BodyTextIndentChar"/>
          <w:rFonts w:ascii="Verdana" w:hAnsi="Verdana"/>
        </w:rPr>
      </w:pPr>
      <w:r>
        <w:rPr>
          <w:rStyle w:val="BodyTextIndentChar"/>
          <w:rFonts w:ascii="Verdana" w:hAnsi="Verdana"/>
        </w:rPr>
        <w:t>7</w:t>
      </w:r>
      <w:r w:rsidR="00AC1549">
        <w:rPr>
          <w:rStyle w:val="BodyTextIndentChar"/>
          <w:rFonts w:ascii="Verdana" w:hAnsi="Verdana"/>
        </w:rPr>
        <w:t>.2</w:t>
      </w:r>
      <w:r w:rsidR="00AC1549">
        <w:rPr>
          <w:rStyle w:val="BodyTextIndentChar"/>
          <w:rFonts w:ascii="Verdana" w:hAnsi="Verdana"/>
        </w:rPr>
        <w:tab/>
      </w:r>
      <w:r w:rsidR="00AC1549" w:rsidRPr="00A057F2">
        <w:rPr>
          <w:rStyle w:val="BodyTextIndentChar"/>
          <w:rFonts w:ascii="Verdana" w:hAnsi="Verdana"/>
        </w:rPr>
        <w:t xml:space="preserve">Any movement from these assumptions in future finance settlements will require adjustments to be made to the overall level of </w:t>
      </w:r>
      <w:r w:rsidR="00E31C9A">
        <w:rPr>
          <w:rStyle w:val="BodyTextIndentChar"/>
          <w:rFonts w:ascii="Verdana" w:hAnsi="Verdana"/>
        </w:rPr>
        <w:t xml:space="preserve">growths and/or </w:t>
      </w:r>
      <w:r w:rsidR="00AC1549" w:rsidRPr="00A057F2">
        <w:rPr>
          <w:rStyle w:val="BodyTextIndentChar"/>
          <w:rFonts w:ascii="Verdana" w:hAnsi="Verdana"/>
        </w:rPr>
        <w:t xml:space="preserve">savings made in the Financial Plan.  Despite the absence of firm future </w:t>
      </w:r>
      <w:r w:rsidR="004114C8">
        <w:rPr>
          <w:rStyle w:val="BodyTextIndentChar"/>
          <w:rFonts w:ascii="Verdana" w:hAnsi="Verdana"/>
        </w:rPr>
        <w:t xml:space="preserve">revenue </w:t>
      </w:r>
      <w:r w:rsidR="00AC1549" w:rsidRPr="00A057F2">
        <w:rPr>
          <w:rStyle w:val="BodyTextIndentChar"/>
          <w:rFonts w:ascii="Verdana" w:hAnsi="Verdana"/>
        </w:rPr>
        <w:t xml:space="preserve">figures, the scale of the challenge facing the Council is unlikely to diminish in the foreseeable future and </w:t>
      </w:r>
      <w:r w:rsidR="001529C4" w:rsidRPr="00A057F2">
        <w:rPr>
          <w:rStyle w:val="BodyTextIndentChar"/>
          <w:rFonts w:ascii="Verdana" w:hAnsi="Verdana"/>
        </w:rPr>
        <w:t>longer-term</w:t>
      </w:r>
      <w:r w:rsidR="00AC1549" w:rsidRPr="00A057F2">
        <w:rPr>
          <w:rStyle w:val="BodyTextIndentChar"/>
          <w:rFonts w:ascii="Verdana" w:hAnsi="Verdana"/>
        </w:rPr>
        <w:t xml:space="preserve"> planning for the delivery of savings, which may have significant lead in times and require large scale organisational change, remains an essential discipline.</w:t>
      </w:r>
    </w:p>
    <w:p w14:paraId="550ABEB4" w14:textId="77777777" w:rsidR="00AC1549" w:rsidRDefault="00AC1549" w:rsidP="00BB0C8C">
      <w:pPr>
        <w:rPr>
          <w:rStyle w:val="BodyTextIndentChar"/>
          <w:rFonts w:ascii="Verdana" w:hAnsi="Verdana"/>
        </w:rPr>
      </w:pPr>
    </w:p>
    <w:p w14:paraId="1842E6A5" w14:textId="678AE8FC" w:rsidR="00AC1549" w:rsidRDefault="00C869B8" w:rsidP="00F47D5A">
      <w:pPr>
        <w:ind w:left="1134" w:hanging="567"/>
        <w:rPr>
          <w:rFonts w:ascii="Verdana" w:hAnsi="Verdana"/>
        </w:rPr>
      </w:pPr>
      <w:r>
        <w:rPr>
          <w:rStyle w:val="BodyTextIndentChar"/>
          <w:rFonts w:ascii="Verdana" w:hAnsi="Verdana"/>
        </w:rPr>
        <w:t>7</w:t>
      </w:r>
      <w:r w:rsidR="006A4A3B">
        <w:rPr>
          <w:rStyle w:val="BodyTextIndentChar"/>
          <w:rFonts w:ascii="Verdana" w:hAnsi="Verdana"/>
        </w:rPr>
        <w:t>.3</w:t>
      </w:r>
      <w:r w:rsidR="00AC1549">
        <w:rPr>
          <w:rStyle w:val="BodyTextIndentChar"/>
          <w:rFonts w:ascii="Verdana" w:hAnsi="Verdana"/>
        </w:rPr>
        <w:tab/>
      </w:r>
      <w:r w:rsidR="00AC1549" w:rsidRPr="00705D77">
        <w:rPr>
          <w:rFonts w:ascii="Verdana" w:hAnsi="Verdana"/>
        </w:rPr>
        <w:t xml:space="preserve">The benefits of </w:t>
      </w:r>
      <w:r w:rsidR="001529C4" w:rsidRPr="00705D77">
        <w:rPr>
          <w:rFonts w:ascii="Verdana" w:hAnsi="Verdana"/>
        </w:rPr>
        <w:t>longer-term</w:t>
      </w:r>
      <w:r w:rsidR="00AC1549" w:rsidRPr="00705D77">
        <w:rPr>
          <w:rFonts w:ascii="Verdana" w:hAnsi="Verdana"/>
        </w:rPr>
        <w:t xml:space="preserve"> financial planning have previously been promoted by Audit Scotland in the overview report for Local Government in Scotland.  Audit Scotland have highlighted the good practise previously adopted by the Council in adopting medium term </w:t>
      </w:r>
      <w:r w:rsidR="001529C4" w:rsidRPr="00705D77">
        <w:rPr>
          <w:rFonts w:ascii="Verdana" w:hAnsi="Verdana"/>
        </w:rPr>
        <w:t>5-year</w:t>
      </w:r>
      <w:r w:rsidR="00AC1549" w:rsidRPr="00705D77">
        <w:rPr>
          <w:rFonts w:ascii="Verdana" w:hAnsi="Verdana"/>
        </w:rPr>
        <w:t xml:space="preserve"> financial plannin</w:t>
      </w:r>
      <w:r w:rsidR="00EC3BA7">
        <w:rPr>
          <w:rFonts w:ascii="Verdana" w:hAnsi="Verdana"/>
        </w:rPr>
        <w:t>g</w:t>
      </w:r>
      <w:r w:rsidR="005C12A8">
        <w:rPr>
          <w:rFonts w:ascii="Verdana" w:hAnsi="Verdana"/>
        </w:rPr>
        <w:t xml:space="preserve"> and</w:t>
      </w:r>
      <w:r w:rsidR="00EC3BA7">
        <w:rPr>
          <w:rFonts w:ascii="Verdana" w:hAnsi="Verdana"/>
        </w:rPr>
        <w:t xml:space="preserve"> recommend</w:t>
      </w:r>
      <w:r w:rsidR="005C12A8">
        <w:rPr>
          <w:rFonts w:ascii="Verdana" w:hAnsi="Verdana"/>
        </w:rPr>
        <w:t>ed</w:t>
      </w:r>
      <w:r w:rsidR="00AC1549" w:rsidRPr="00705D77">
        <w:rPr>
          <w:rFonts w:ascii="Verdana" w:hAnsi="Verdana"/>
        </w:rPr>
        <w:t xml:space="preserve"> that this approach be extended to encompass greater use of scenario planning over a longer period.  In response</w:t>
      </w:r>
      <w:r w:rsidR="009A23F4">
        <w:rPr>
          <w:rFonts w:ascii="Verdana" w:hAnsi="Verdana"/>
        </w:rPr>
        <w:t>,</w:t>
      </w:r>
      <w:r w:rsidR="00AC1549" w:rsidRPr="00705D77">
        <w:rPr>
          <w:rFonts w:ascii="Verdana" w:hAnsi="Verdana"/>
        </w:rPr>
        <w:t xml:space="preserve"> Council officers </w:t>
      </w:r>
      <w:r w:rsidR="00BB41BA">
        <w:rPr>
          <w:rFonts w:ascii="Verdana" w:hAnsi="Verdana"/>
        </w:rPr>
        <w:t xml:space="preserve">developed </w:t>
      </w:r>
      <w:r w:rsidR="00517BA7">
        <w:rPr>
          <w:rFonts w:ascii="Verdana" w:hAnsi="Verdana"/>
        </w:rPr>
        <w:t>a</w:t>
      </w:r>
      <w:r w:rsidR="00147623">
        <w:rPr>
          <w:rFonts w:ascii="Verdana" w:hAnsi="Verdana"/>
        </w:rPr>
        <w:t xml:space="preserve"> </w:t>
      </w:r>
      <w:r w:rsidR="001529C4">
        <w:rPr>
          <w:rFonts w:ascii="Verdana" w:hAnsi="Verdana"/>
        </w:rPr>
        <w:t>Long-Term</w:t>
      </w:r>
      <w:r w:rsidR="00147623">
        <w:rPr>
          <w:rFonts w:ascii="Verdana" w:hAnsi="Verdana"/>
        </w:rPr>
        <w:t xml:space="preserve"> Financial Strategy </w:t>
      </w:r>
      <w:r w:rsidR="00A412DF">
        <w:rPr>
          <w:rFonts w:ascii="Verdana" w:hAnsi="Verdana"/>
        </w:rPr>
        <w:t xml:space="preserve">(Revenue) </w:t>
      </w:r>
      <w:r w:rsidR="00517BA7">
        <w:rPr>
          <w:rFonts w:ascii="Verdana" w:hAnsi="Verdana"/>
        </w:rPr>
        <w:t>as part of the 202</w:t>
      </w:r>
      <w:r w:rsidR="000D7AAD">
        <w:rPr>
          <w:rFonts w:ascii="Verdana" w:hAnsi="Verdana"/>
        </w:rPr>
        <w:t>2</w:t>
      </w:r>
      <w:r w:rsidR="00517BA7">
        <w:rPr>
          <w:rFonts w:ascii="Verdana" w:hAnsi="Verdana"/>
        </w:rPr>
        <w:t>/23 budget with an updated strategy for 202</w:t>
      </w:r>
      <w:r w:rsidR="000D7AAD">
        <w:rPr>
          <w:rFonts w:ascii="Verdana" w:hAnsi="Verdana"/>
        </w:rPr>
        <w:t>4</w:t>
      </w:r>
      <w:r w:rsidR="00517BA7">
        <w:rPr>
          <w:rFonts w:ascii="Verdana" w:hAnsi="Verdana"/>
        </w:rPr>
        <w:t>/2</w:t>
      </w:r>
      <w:r w:rsidR="000D7AAD">
        <w:rPr>
          <w:rFonts w:ascii="Verdana" w:hAnsi="Verdana"/>
        </w:rPr>
        <w:t>5</w:t>
      </w:r>
      <w:r w:rsidR="00517BA7">
        <w:rPr>
          <w:rFonts w:ascii="Verdana" w:hAnsi="Verdana"/>
        </w:rPr>
        <w:t xml:space="preserve"> </w:t>
      </w:r>
      <w:r w:rsidR="00BB41BA">
        <w:rPr>
          <w:rFonts w:ascii="Verdana" w:hAnsi="Verdana"/>
        </w:rPr>
        <w:t>provided elsewhere on this agenda</w:t>
      </w:r>
      <w:r w:rsidR="00AC1549" w:rsidRPr="00313C3F">
        <w:rPr>
          <w:rFonts w:ascii="Verdana" w:hAnsi="Verdana"/>
        </w:rPr>
        <w:t>.</w:t>
      </w:r>
      <w:r w:rsidR="00AC1549" w:rsidRPr="00705D77">
        <w:rPr>
          <w:rFonts w:ascii="Verdana" w:hAnsi="Verdana"/>
        </w:rPr>
        <w:t xml:space="preserve">  </w:t>
      </w:r>
    </w:p>
    <w:p w14:paraId="599706F4" w14:textId="77777777" w:rsidR="008A590F" w:rsidRDefault="008A590F" w:rsidP="0060469B">
      <w:pPr>
        <w:rPr>
          <w:rFonts w:ascii="Verdana" w:hAnsi="Verdana"/>
          <w:b/>
        </w:rPr>
      </w:pPr>
    </w:p>
    <w:p w14:paraId="11F2B5A1" w14:textId="5B3B55FE" w:rsidR="0060469B" w:rsidRDefault="0060469B" w:rsidP="00E53B12">
      <w:pPr>
        <w:ind w:left="720" w:hanging="153"/>
        <w:rPr>
          <w:rFonts w:ascii="Verdana" w:hAnsi="Verdana"/>
          <w:b/>
        </w:rPr>
      </w:pPr>
      <w:r>
        <w:rPr>
          <w:rFonts w:ascii="Verdana" w:hAnsi="Verdana"/>
          <w:b/>
        </w:rPr>
        <w:t xml:space="preserve">COUNCIL TAX </w:t>
      </w:r>
    </w:p>
    <w:p w14:paraId="272EA60D" w14:textId="77777777" w:rsidR="0060469B" w:rsidRDefault="0060469B" w:rsidP="0060469B">
      <w:pPr>
        <w:rPr>
          <w:rFonts w:ascii="Verdana" w:hAnsi="Verdana"/>
          <w:b/>
        </w:rPr>
      </w:pPr>
    </w:p>
    <w:p w14:paraId="43A4FBEB" w14:textId="72BD0645" w:rsidR="005D23FF" w:rsidRPr="00BD3386" w:rsidRDefault="00C869B8" w:rsidP="00F47D5A">
      <w:pPr>
        <w:ind w:left="1134" w:hanging="567"/>
        <w:rPr>
          <w:rFonts w:ascii="Verdana" w:hAnsi="Verdana"/>
        </w:rPr>
      </w:pPr>
      <w:r>
        <w:rPr>
          <w:rFonts w:ascii="Verdana" w:hAnsi="Verdana"/>
        </w:rPr>
        <w:t>7</w:t>
      </w:r>
      <w:r w:rsidR="0045628A">
        <w:rPr>
          <w:rFonts w:ascii="Verdana" w:hAnsi="Verdana"/>
        </w:rPr>
        <w:t>.4</w:t>
      </w:r>
      <w:r w:rsidR="00077146">
        <w:rPr>
          <w:rFonts w:ascii="Verdana" w:hAnsi="Verdana"/>
        </w:rPr>
        <w:tab/>
      </w:r>
      <w:r w:rsidR="00810EDD">
        <w:rPr>
          <w:rFonts w:ascii="Verdana" w:hAnsi="Verdana"/>
        </w:rPr>
        <w:t>As detailed in paragraph 6.6</w:t>
      </w:r>
      <w:r w:rsidR="00D05FE6">
        <w:rPr>
          <w:rFonts w:ascii="Verdana" w:hAnsi="Verdana"/>
        </w:rPr>
        <w:t>,</w:t>
      </w:r>
      <w:r w:rsidR="00810EDD">
        <w:rPr>
          <w:rFonts w:ascii="Verdana" w:hAnsi="Verdana"/>
        </w:rPr>
        <w:t xml:space="preserve"> </w:t>
      </w:r>
      <w:r w:rsidR="005F6B05">
        <w:rPr>
          <w:rFonts w:ascii="Verdana" w:hAnsi="Verdana"/>
        </w:rPr>
        <w:t>Scottish</w:t>
      </w:r>
      <w:r w:rsidR="00810EDD">
        <w:rPr>
          <w:rFonts w:ascii="Verdana" w:hAnsi="Verdana"/>
        </w:rPr>
        <w:t xml:space="preserve"> Borders Council has</w:t>
      </w:r>
      <w:r w:rsidR="005F6B05">
        <w:rPr>
          <w:rFonts w:ascii="Verdana" w:hAnsi="Verdana"/>
        </w:rPr>
        <w:t xml:space="preserve"> accepted £3.2</w:t>
      </w:r>
      <w:r w:rsidR="0098299B">
        <w:rPr>
          <w:rFonts w:ascii="Verdana" w:hAnsi="Verdana"/>
        </w:rPr>
        <w:t>2</w:t>
      </w:r>
      <w:r w:rsidR="005F6B05">
        <w:rPr>
          <w:rFonts w:ascii="Verdana" w:hAnsi="Verdana"/>
        </w:rPr>
        <w:t xml:space="preserve">m of permanent, additional funding from Scottish Government and frozen </w:t>
      </w:r>
      <w:r w:rsidR="00810EDD">
        <w:rPr>
          <w:rFonts w:ascii="Verdana" w:hAnsi="Verdana"/>
        </w:rPr>
        <w:t>its Council Tax for 2024/</w:t>
      </w:r>
      <w:r w:rsidR="003C096E">
        <w:rPr>
          <w:rFonts w:ascii="Verdana" w:hAnsi="Verdana"/>
        </w:rPr>
        <w:t>25 at 2023/24 rates</w:t>
      </w:r>
      <w:r w:rsidR="005F6B05">
        <w:rPr>
          <w:rFonts w:ascii="Verdana" w:hAnsi="Verdana"/>
        </w:rPr>
        <w:t>.</w:t>
      </w:r>
      <w:r w:rsidR="000D7AAD">
        <w:rPr>
          <w:rFonts w:ascii="Verdana" w:hAnsi="Verdana"/>
        </w:rPr>
        <w:t xml:space="preserve"> </w:t>
      </w:r>
    </w:p>
    <w:p w14:paraId="2F366796" w14:textId="1CA07631" w:rsidR="00077146" w:rsidRPr="00BD3386" w:rsidRDefault="00077146" w:rsidP="00077146">
      <w:pPr>
        <w:rPr>
          <w:rFonts w:ascii="Verdana" w:hAnsi="Verdana"/>
        </w:rPr>
      </w:pPr>
    </w:p>
    <w:p w14:paraId="0B9F7FE7" w14:textId="05CC8B68" w:rsidR="00E547F7" w:rsidRDefault="00C869B8" w:rsidP="00F47D5A">
      <w:pPr>
        <w:tabs>
          <w:tab w:val="left" w:pos="709"/>
          <w:tab w:val="left" w:pos="1097"/>
        </w:tabs>
        <w:spacing w:before="60" w:after="60"/>
        <w:ind w:left="1134" w:hanging="567"/>
        <w:rPr>
          <w:rFonts w:ascii="Verdana" w:hAnsi="Verdana" w:cs="Arial"/>
          <w:szCs w:val="22"/>
        </w:rPr>
      </w:pPr>
      <w:r>
        <w:rPr>
          <w:rFonts w:ascii="Verdana" w:hAnsi="Verdana" w:cs="Arial"/>
          <w:szCs w:val="22"/>
        </w:rPr>
        <w:t>7</w:t>
      </w:r>
      <w:r w:rsidR="0045628A">
        <w:rPr>
          <w:rFonts w:ascii="Verdana" w:hAnsi="Verdana" w:cs="Arial"/>
          <w:szCs w:val="22"/>
        </w:rPr>
        <w:t>.5</w:t>
      </w:r>
      <w:r w:rsidR="00CB3EFB">
        <w:rPr>
          <w:rFonts w:ascii="Verdana" w:hAnsi="Verdana" w:cs="Arial"/>
          <w:szCs w:val="22"/>
        </w:rPr>
        <w:t xml:space="preserve"> </w:t>
      </w:r>
      <w:r w:rsidR="00E547F7">
        <w:rPr>
          <w:rFonts w:ascii="Verdana" w:hAnsi="Verdana" w:cs="Arial"/>
          <w:szCs w:val="22"/>
        </w:rPr>
        <w:tab/>
        <w:t xml:space="preserve">Indicative Council </w:t>
      </w:r>
      <w:r w:rsidR="00F51A73">
        <w:rPr>
          <w:rFonts w:ascii="Verdana" w:hAnsi="Verdana" w:cs="Arial"/>
          <w:szCs w:val="22"/>
        </w:rPr>
        <w:t>T</w:t>
      </w:r>
      <w:r w:rsidR="00E547F7">
        <w:rPr>
          <w:rFonts w:ascii="Verdana" w:hAnsi="Verdana" w:cs="Arial"/>
          <w:szCs w:val="22"/>
        </w:rPr>
        <w:t xml:space="preserve">ax increases are included within the </w:t>
      </w:r>
      <w:r w:rsidR="001529C4">
        <w:rPr>
          <w:rFonts w:ascii="Verdana" w:hAnsi="Verdana" w:cs="Arial"/>
          <w:szCs w:val="22"/>
        </w:rPr>
        <w:t>5-year</w:t>
      </w:r>
      <w:r w:rsidR="00E547F7">
        <w:rPr>
          <w:rFonts w:ascii="Verdana" w:hAnsi="Verdana" w:cs="Arial"/>
          <w:szCs w:val="22"/>
        </w:rPr>
        <w:t xml:space="preserve"> Revenue plan as shown in the table below. </w:t>
      </w:r>
      <w:r w:rsidR="00223A9A">
        <w:rPr>
          <w:rFonts w:ascii="Verdana" w:hAnsi="Verdana" w:cs="Arial"/>
          <w:szCs w:val="22"/>
        </w:rPr>
        <w:t>Th</w:t>
      </w:r>
      <w:r w:rsidR="00E547F7">
        <w:rPr>
          <w:rFonts w:ascii="Verdana" w:hAnsi="Verdana" w:cs="Arial"/>
          <w:szCs w:val="22"/>
        </w:rPr>
        <w:t>ese increases are indicative based on the current anticipated funding available to the Council in future years but will be reviewed annually alongside all other available funding to ensure the impact on residents of the Scottish Borders is as low as possible.</w:t>
      </w:r>
    </w:p>
    <w:p w14:paraId="2E4F8293" w14:textId="77777777" w:rsidR="00FD3623" w:rsidRDefault="00FD3623" w:rsidP="00F47D5A">
      <w:pPr>
        <w:tabs>
          <w:tab w:val="left" w:pos="709"/>
          <w:tab w:val="left" w:pos="1097"/>
        </w:tabs>
        <w:spacing w:before="60" w:after="60"/>
        <w:ind w:left="1134" w:hanging="567"/>
      </w:pPr>
    </w:p>
    <w:p w14:paraId="24AEC896" w14:textId="55033A9D" w:rsidR="00E547F7" w:rsidRPr="00B22F9B" w:rsidRDefault="00531C81" w:rsidP="00E547F7">
      <w:pPr>
        <w:spacing w:before="60" w:after="60"/>
        <w:rPr>
          <w:rFonts w:ascii="Verdana" w:hAnsi="Verdana"/>
          <w:i/>
          <w:iCs/>
        </w:rPr>
      </w:pPr>
      <w:r w:rsidRPr="00B22F9B">
        <w:rPr>
          <w:rFonts w:ascii="Verdana" w:hAnsi="Verdana"/>
          <w:i/>
          <w:iCs/>
        </w:rPr>
        <w:t>Table 3: In</w:t>
      </w:r>
      <w:r w:rsidR="00B22F9B" w:rsidRPr="00B22F9B">
        <w:rPr>
          <w:rFonts w:ascii="Verdana" w:hAnsi="Verdana"/>
          <w:i/>
          <w:iCs/>
        </w:rPr>
        <w:t>dicative Future Year Council Tax increases</w:t>
      </w:r>
    </w:p>
    <w:tbl>
      <w:tblPr>
        <w:tblW w:w="10168" w:type="dxa"/>
        <w:tblLayout w:type="fixed"/>
        <w:tblLook w:val="04A0" w:firstRow="1" w:lastRow="0" w:firstColumn="1" w:lastColumn="0" w:noHBand="0" w:noVBand="1"/>
      </w:tblPr>
      <w:tblGrid>
        <w:gridCol w:w="2862"/>
        <w:gridCol w:w="1379"/>
        <w:gridCol w:w="1516"/>
        <w:gridCol w:w="1516"/>
        <w:gridCol w:w="1379"/>
        <w:gridCol w:w="1516"/>
      </w:tblGrid>
      <w:tr w:rsidR="00E547F7" w:rsidRPr="00B22F9B" w14:paraId="122665BC" w14:textId="77777777" w:rsidTr="00F473EA">
        <w:trPr>
          <w:trHeight w:val="379"/>
        </w:trPr>
        <w:tc>
          <w:tcPr>
            <w:tcW w:w="2862"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6051F7D6" w14:textId="77777777" w:rsidR="00E547F7" w:rsidRPr="008620A3" w:rsidRDefault="00E547F7" w:rsidP="00F351D1">
            <w:pPr>
              <w:rPr>
                <w:rFonts w:ascii="Verdana" w:hAnsi="Verdana" w:cs="Calibri"/>
                <w:b/>
                <w:bCs/>
                <w:color w:val="000000"/>
                <w:szCs w:val="22"/>
                <w:lang w:eastAsia="en-GB"/>
              </w:rPr>
            </w:pPr>
            <w:r w:rsidRPr="008620A3">
              <w:rPr>
                <w:rFonts w:ascii="Verdana" w:hAnsi="Verdana" w:cs="Calibri"/>
                <w:b/>
                <w:bCs/>
                <w:color w:val="000000"/>
                <w:szCs w:val="22"/>
                <w:lang w:eastAsia="en-GB"/>
              </w:rPr>
              <w:t>Indicative Council Tax rates in Future Years</w:t>
            </w:r>
          </w:p>
        </w:tc>
        <w:tc>
          <w:tcPr>
            <w:tcW w:w="1379" w:type="dxa"/>
            <w:tcBorders>
              <w:top w:val="single" w:sz="4" w:space="0" w:color="auto"/>
              <w:left w:val="nil"/>
              <w:bottom w:val="single" w:sz="4" w:space="0" w:color="auto"/>
              <w:right w:val="single" w:sz="4" w:space="0" w:color="auto"/>
            </w:tcBorders>
            <w:shd w:val="clear" w:color="000000" w:fill="D9D9D9"/>
            <w:vAlign w:val="center"/>
            <w:hideMark/>
          </w:tcPr>
          <w:p w14:paraId="439DADD0" w14:textId="77777777" w:rsidR="00E547F7" w:rsidRPr="008620A3" w:rsidRDefault="00E547F7" w:rsidP="00F351D1">
            <w:pPr>
              <w:jc w:val="center"/>
              <w:rPr>
                <w:rFonts w:ascii="Verdana" w:hAnsi="Verdana" w:cs="Calibri"/>
                <w:b/>
                <w:bCs/>
                <w:szCs w:val="22"/>
                <w:lang w:eastAsia="en-GB"/>
              </w:rPr>
            </w:pPr>
            <w:r w:rsidRPr="008620A3">
              <w:rPr>
                <w:rFonts w:ascii="Verdana" w:hAnsi="Verdana" w:cs="Calibri"/>
                <w:b/>
                <w:bCs/>
                <w:szCs w:val="22"/>
                <w:lang w:eastAsia="en-GB"/>
              </w:rPr>
              <w:t>2024/25</w:t>
            </w:r>
          </w:p>
        </w:tc>
        <w:tc>
          <w:tcPr>
            <w:tcW w:w="1516" w:type="dxa"/>
            <w:tcBorders>
              <w:top w:val="single" w:sz="4" w:space="0" w:color="auto"/>
              <w:left w:val="nil"/>
              <w:bottom w:val="single" w:sz="4" w:space="0" w:color="auto"/>
              <w:right w:val="single" w:sz="4" w:space="0" w:color="auto"/>
            </w:tcBorders>
            <w:shd w:val="clear" w:color="000000" w:fill="D9D9D9"/>
            <w:vAlign w:val="center"/>
            <w:hideMark/>
          </w:tcPr>
          <w:p w14:paraId="1321D749" w14:textId="77777777" w:rsidR="00E547F7" w:rsidRPr="008620A3" w:rsidRDefault="00E547F7" w:rsidP="00F351D1">
            <w:pPr>
              <w:jc w:val="center"/>
              <w:rPr>
                <w:rFonts w:ascii="Verdana" w:hAnsi="Verdana" w:cs="Calibri"/>
                <w:b/>
                <w:bCs/>
                <w:szCs w:val="22"/>
                <w:lang w:eastAsia="en-GB"/>
              </w:rPr>
            </w:pPr>
            <w:r w:rsidRPr="008620A3">
              <w:rPr>
                <w:rFonts w:ascii="Verdana" w:hAnsi="Verdana" w:cs="Calibri"/>
                <w:b/>
                <w:bCs/>
                <w:szCs w:val="22"/>
                <w:lang w:eastAsia="en-GB"/>
              </w:rPr>
              <w:t>2025/26</w:t>
            </w:r>
          </w:p>
        </w:tc>
        <w:tc>
          <w:tcPr>
            <w:tcW w:w="1516" w:type="dxa"/>
            <w:tcBorders>
              <w:top w:val="single" w:sz="4" w:space="0" w:color="auto"/>
              <w:left w:val="nil"/>
              <w:bottom w:val="single" w:sz="4" w:space="0" w:color="auto"/>
              <w:right w:val="single" w:sz="4" w:space="0" w:color="auto"/>
            </w:tcBorders>
            <w:shd w:val="clear" w:color="000000" w:fill="D9D9D9"/>
            <w:vAlign w:val="center"/>
            <w:hideMark/>
          </w:tcPr>
          <w:p w14:paraId="144CD361" w14:textId="77777777" w:rsidR="00E547F7" w:rsidRPr="008620A3" w:rsidRDefault="00E547F7" w:rsidP="00F351D1">
            <w:pPr>
              <w:jc w:val="center"/>
              <w:rPr>
                <w:rFonts w:ascii="Verdana" w:hAnsi="Verdana" w:cs="Calibri"/>
                <w:b/>
                <w:bCs/>
                <w:szCs w:val="22"/>
                <w:lang w:eastAsia="en-GB"/>
              </w:rPr>
            </w:pPr>
            <w:r w:rsidRPr="008620A3">
              <w:rPr>
                <w:rFonts w:ascii="Verdana" w:hAnsi="Verdana" w:cs="Calibri"/>
                <w:b/>
                <w:bCs/>
                <w:szCs w:val="22"/>
                <w:lang w:eastAsia="en-GB"/>
              </w:rPr>
              <w:t>2026/27</w:t>
            </w:r>
          </w:p>
        </w:tc>
        <w:tc>
          <w:tcPr>
            <w:tcW w:w="1379" w:type="dxa"/>
            <w:tcBorders>
              <w:top w:val="single" w:sz="4" w:space="0" w:color="auto"/>
              <w:left w:val="nil"/>
              <w:bottom w:val="single" w:sz="4" w:space="0" w:color="auto"/>
              <w:right w:val="single" w:sz="4" w:space="0" w:color="auto"/>
            </w:tcBorders>
            <w:shd w:val="clear" w:color="000000" w:fill="D9D9D9"/>
            <w:vAlign w:val="center"/>
            <w:hideMark/>
          </w:tcPr>
          <w:p w14:paraId="6255EB21" w14:textId="77777777" w:rsidR="00E547F7" w:rsidRPr="008620A3" w:rsidRDefault="00E547F7" w:rsidP="00F351D1">
            <w:pPr>
              <w:jc w:val="center"/>
              <w:rPr>
                <w:rFonts w:ascii="Verdana" w:hAnsi="Verdana" w:cs="Calibri"/>
                <w:b/>
                <w:bCs/>
                <w:szCs w:val="22"/>
                <w:lang w:eastAsia="en-GB"/>
              </w:rPr>
            </w:pPr>
            <w:r w:rsidRPr="008620A3">
              <w:rPr>
                <w:rFonts w:ascii="Verdana" w:hAnsi="Verdana" w:cs="Calibri"/>
                <w:b/>
                <w:bCs/>
                <w:szCs w:val="22"/>
                <w:lang w:eastAsia="en-GB"/>
              </w:rPr>
              <w:t>2027/28</w:t>
            </w:r>
          </w:p>
        </w:tc>
        <w:tc>
          <w:tcPr>
            <w:tcW w:w="1516" w:type="dxa"/>
            <w:tcBorders>
              <w:top w:val="single" w:sz="4" w:space="0" w:color="auto"/>
              <w:left w:val="nil"/>
              <w:bottom w:val="single" w:sz="4" w:space="0" w:color="auto"/>
              <w:right w:val="single" w:sz="4" w:space="0" w:color="auto"/>
            </w:tcBorders>
            <w:shd w:val="clear" w:color="000000" w:fill="D9D9D9"/>
            <w:vAlign w:val="center"/>
            <w:hideMark/>
          </w:tcPr>
          <w:p w14:paraId="152A485A" w14:textId="77777777" w:rsidR="00E547F7" w:rsidRPr="008620A3" w:rsidRDefault="00E547F7" w:rsidP="00F351D1">
            <w:pPr>
              <w:jc w:val="center"/>
              <w:rPr>
                <w:rFonts w:ascii="Verdana" w:hAnsi="Verdana" w:cs="Calibri"/>
                <w:b/>
                <w:bCs/>
                <w:szCs w:val="22"/>
                <w:lang w:eastAsia="en-GB"/>
              </w:rPr>
            </w:pPr>
            <w:r w:rsidRPr="008620A3">
              <w:rPr>
                <w:rFonts w:ascii="Verdana" w:hAnsi="Verdana" w:cs="Calibri"/>
                <w:b/>
                <w:bCs/>
                <w:szCs w:val="22"/>
                <w:lang w:eastAsia="en-GB"/>
              </w:rPr>
              <w:t>2028/29</w:t>
            </w:r>
          </w:p>
        </w:tc>
      </w:tr>
      <w:tr w:rsidR="00E547F7" w:rsidRPr="00B22F9B" w14:paraId="4875895E" w14:textId="77777777" w:rsidTr="00F473EA">
        <w:trPr>
          <w:trHeight w:val="379"/>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14:paraId="6619AA3F" w14:textId="77777777" w:rsidR="00E547F7" w:rsidRPr="008620A3" w:rsidRDefault="00E547F7" w:rsidP="00F351D1">
            <w:pPr>
              <w:rPr>
                <w:rFonts w:ascii="Verdana" w:hAnsi="Verdana" w:cs="Calibri"/>
                <w:i/>
                <w:iCs/>
                <w:color w:val="000000"/>
                <w:szCs w:val="22"/>
                <w:lang w:eastAsia="en-GB"/>
              </w:rPr>
            </w:pPr>
            <w:r w:rsidRPr="008620A3">
              <w:rPr>
                <w:rFonts w:ascii="Verdana" w:hAnsi="Verdana" w:cs="Calibri"/>
                <w:i/>
                <w:iCs/>
                <w:color w:val="000000"/>
                <w:szCs w:val="22"/>
                <w:lang w:eastAsia="en-GB"/>
              </w:rPr>
              <w:t>Annual % increase</w:t>
            </w:r>
          </w:p>
        </w:tc>
        <w:tc>
          <w:tcPr>
            <w:tcW w:w="1379" w:type="dxa"/>
            <w:tcBorders>
              <w:top w:val="nil"/>
              <w:left w:val="nil"/>
              <w:bottom w:val="single" w:sz="4" w:space="0" w:color="auto"/>
              <w:right w:val="single" w:sz="4" w:space="0" w:color="auto"/>
            </w:tcBorders>
            <w:shd w:val="clear" w:color="auto" w:fill="auto"/>
            <w:vAlign w:val="center"/>
            <w:hideMark/>
          </w:tcPr>
          <w:p w14:paraId="01A521A3" w14:textId="77777777" w:rsidR="00E547F7" w:rsidRPr="008620A3" w:rsidRDefault="00E547F7" w:rsidP="00F351D1">
            <w:pPr>
              <w:jc w:val="center"/>
              <w:rPr>
                <w:rFonts w:ascii="Verdana" w:hAnsi="Verdana" w:cs="Calibri"/>
                <w:i/>
                <w:iCs/>
                <w:szCs w:val="22"/>
                <w:lang w:eastAsia="en-GB"/>
              </w:rPr>
            </w:pPr>
            <w:r w:rsidRPr="008620A3">
              <w:rPr>
                <w:rFonts w:ascii="Verdana" w:hAnsi="Verdana" w:cs="Calibri"/>
                <w:i/>
                <w:iCs/>
                <w:szCs w:val="22"/>
                <w:lang w:eastAsia="en-GB"/>
              </w:rPr>
              <w:t>0%</w:t>
            </w:r>
          </w:p>
        </w:tc>
        <w:tc>
          <w:tcPr>
            <w:tcW w:w="1516" w:type="dxa"/>
            <w:tcBorders>
              <w:top w:val="nil"/>
              <w:left w:val="nil"/>
              <w:bottom w:val="single" w:sz="4" w:space="0" w:color="auto"/>
              <w:right w:val="single" w:sz="4" w:space="0" w:color="auto"/>
            </w:tcBorders>
            <w:shd w:val="clear" w:color="auto" w:fill="auto"/>
            <w:vAlign w:val="center"/>
            <w:hideMark/>
          </w:tcPr>
          <w:p w14:paraId="37080929" w14:textId="77777777" w:rsidR="00E547F7" w:rsidRPr="008620A3" w:rsidRDefault="00E547F7" w:rsidP="00F351D1">
            <w:pPr>
              <w:jc w:val="center"/>
              <w:rPr>
                <w:rFonts w:ascii="Verdana" w:hAnsi="Verdana" w:cs="Calibri"/>
                <w:i/>
                <w:iCs/>
                <w:szCs w:val="22"/>
                <w:lang w:eastAsia="en-GB"/>
              </w:rPr>
            </w:pPr>
            <w:r w:rsidRPr="008620A3">
              <w:rPr>
                <w:rFonts w:ascii="Verdana" w:hAnsi="Verdana" w:cs="Calibri"/>
                <w:i/>
                <w:iCs/>
                <w:szCs w:val="22"/>
                <w:lang w:eastAsia="en-GB"/>
              </w:rPr>
              <w:t>10%</w:t>
            </w:r>
          </w:p>
        </w:tc>
        <w:tc>
          <w:tcPr>
            <w:tcW w:w="1516" w:type="dxa"/>
            <w:tcBorders>
              <w:top w:val="nil"/>
              <w:left w:val="nil"/>
              <w:bottom w:val="single" w:sz="4" w:space="0" w:color="auto"/>
              <w:right w:val="single" w:sz="4" w:space="0" w:color="auto"/>
            </w:tcBorders>
            <w:shd w:val="clear" w:color="auto" w:fill="auto"/>
            <w:vAlign w:val="center"/>
            <w:hideMark/>
          </w:tcPr>
          <w:p w14:paraId="4A544469" w14:textId="77777777" w:rsidR="00E547F7" w:rsidRPr="008620A3" w:rsidRDefault="00E547F7" w:rsidP="00F351D1">
            <w:pPr>
              <w:jc w:val="center"/>
              <w:rPr>
                <w:rFonts w:ascii="Verdana" w:hAnsi="Verdana" w:cs="Calibri"/>
                <w:i/>
                <w:iCs/>
                <w:szCs w:val="22"/>
                <w:lang w:eastAsia="en-GB"/>
              </w:rPr>
            </w:pPr>
            <w:r w:rsidRPr="008620A3">
              <w:rPr>
                <w:rFonts w:ascii="Verdana" w:hAnsi="Verdana" w:cs="Calibri"/>
                <w:i/>
                <w:iCs/>
                <w:szCs w:val="22"/>
                <w:lang w:eastAsia="en-GB"/>
              </w:rPr>
              <w:t>5%</w:t>
            </w:r>
          </w:p>
        </w:tc>
        <w:tc>
          <w:tcPr>
            <w:tcW w:w="1379" w:type="dxa"/>
            <w:tcBorders>
              <w:top w:val="nil"/>
              <w:left w:val="nil"/>
              <w:bottom w:val="single" w:sz="4" w:space="0" w:color="auto"/>
              <w:right w:val="single" w:sz="4" w:space="0" w:color="auto"/>
            </w:tcBorders>
            <w:shd w:val="clear" w:color="auto" w:fill="auto"/>
            <w:vAlign w:val="center"/>
            <w:hideMark/>
          </w:tcPr>
          <w:p w14:paraId="1DD13F45" w14:textId="77777777" w:rsidR="00E547F7" w:rsidRPr="008620A3" w:rsidRDefault="00E547F7" w:rsidP="00F351D1">
            <w:pPr>
              <w:jc w:val="center"/>
              <w:rPr>
                <w:rFonts w:ascii="Verdana" w:hAnsi="Verdana" w:cs="Calibri"/>
                <w:i/>
                <w:iCs/>
                <w:szCs w:val="22"/>
                <w:lang w:eastAsia="en-GB"/>
              </w:rPr>
            </w:pPr>
            <w:r w:rsidRPr="008620A3">
              <w:rPr>
                <w:rFonts w:ascii="Verdana" w:hAnsi="Verdana" w:cs="Calibri"/>
                <w:i/>
                <w:iCs/>
                <w:szCs w:val="22"/>
                <w:lang w:eastAsia="en-GB"/>
              </w:rPr>
              <w:t>5%</w:t>
            </w:r>
          </w:p>
        </w:tc>
        <w:tc>
          <w:tcPr>
            <w:tcW w:w="1516" w:type="dxa"/>
            <w:tcBorders>
              <w:top w:val="nil"/>
              <w:left w:val="nil"/>
              <w:bottom w:val="single" w:sz="4" w:space="0" w:color="auto"/>
              <w:right w:val="single" w:sz="4" w:space="0" w:color="auto"/>
            </w:tcBorders>
            <w:shd w:val="clear" w:color="auto" w:fill="auto"/>
            <w:vAlign w:val="center"/>
            <w:hideMark/>
          </w:tcPr>
          <w:p w14:paraId="7F750CB5" w14:textId="77777777" w:rsidR="00E547F7" w:rsidRPr="008620A3" w:rsidRDefault="00E547F7" w:rsidP="00F351D1">
            <w:pPr>
              <w:jc w:val="center"/>
              <w:rPr>
                <w:rFonts w:ascii="Verdana" w:hAnsi="Verdana" w:cs="Calibri"/>
                <w:i/>
                <w:iCs/>
                <w:szCs w:val="22"/>
                <w:lang w:eastAsia="en-GB"/>
              </w:rPr>
            </w:pPr>
            <w:r w:rsidRPr="008620A3">
              <w:rPr>
                <w:rFonts w:ascii="Verdana" w:hAnsi="Verdana" w:cs="Calibri"/>
                <w:i/>
                <w:iCs/>
                <w:szCs w:val="22"/>
                <w:lang w:eastAsia="en-GB"/>
              </w:rPr>
              <w:t>5%</w:t>
            </w:r>
          </w:p>
        </w:tc>
      </w:tr>
      <w:tr w:rsidR="00E547F7" w:rsidRPr="00B22F9B" w14:paraId="36735D0C" w14:textId="77777777" w:rsidTr="00F473EA">
        <w:trPr>
          <w:trHeight w:val="379"/>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14:paraId="6023C0AD" w14:textId="77777777" w:rsidR="00E547F7" w:rsidRPr="008620A3" w:rsidRDefault="00E547F7" w:rsidP="00F351D1">
            <w:pPr>
              <w:rPr>
                <w:rFonts w:ascii="Verdana" w:hAnsi="Verdana" w:cs="Calibri"/>
                <w:color w:val="000000"/>
                <w:szCs w:val="22"/>
                <w:lang w:eastAsia="en-GB"/>
              </w:rPr>
            </w:pPr>
            <w:r w:rsidRPr="008620A3">
              <w:rPr>
                <w:rFonts w:ascii="Verdana" w:hAnsi="Verdana" w:cs="Calibri"/>
                <w:color w:val="000000"/>
                <w:szCs w:val="22"/>
                <w:lang w:eastAsia="en-GB"/>
              </w:rPr>
              <w:t>indicative Band D annual payment</w:t>
            </w:r>
          </w:p>
        </w:tc>
        <w:tc>
          <w:tcPr>
            <w:tcW w:w="1379" w:type="dxa"/>
            <w:tcBorders>
              <w:top w:val="nil"/>
              <w:left w:val="nil"/>
              <w:bottom w:val="single" w:sz="4" w:space="0" w:color="auto"/>
              <w:right w:val="single" w:sz="4" w:space="0" w:color="auto"/>
            </w:tcBorders>
            <w:shd w:val="clear" w:color="auto" w:fill="auto"/>
            <w:noWrap/>
            <w:vAlign w:val="bottom"/>
            <w:hideMark/>
          </w:tcPr>
          <w:p w14:paraId="56A38B68" w14:textId="7373361E"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£1,356.11</w:t>
            </w:r>
          </w:p>
        </w:tc>
        <w:tc>
          <w:tcPr>
            <w:tcW w:w="1516" w:type="dxa"/>
            <w:tcBorders>
              <w:top w:val="nil"/>
              <w:left w:val="nil"/>
              <w:bottom w:val="single" w:sz="4" w:space="0" w:color="auto"/>
              <w:right w:val="single" w:sz="4" w:space="0" w:color="auto"/>
            </w:tcBorders>
            <w:shd w:val="clear" w:color="auto" w:fill="auto"/>
            <w:noWrap/>
            <w:vAlign w:val="bottom"/>
            <w:hideMark/>
          </w:tcPr>
          <w:p w14:paraId="5B27F776" w14:textId="06712D71"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£ 1,491.72</w:t>
            </w:r>
          </w:p>
        </w:tc>
        <w:tc>
          <w:tcPr>
            <w:tcW w:w="1516" w:type="dxa"/>
            <w:tcBorders>
              <w:top w:val="nil"/>
              <w:left w:val="nil"/>
              <w:bottom w:val="single" w:sz="4" w:space="0" w:color="auto"/>
              <w:right w:val="single" w:sz="4" w:space="0" w:color="auto"/>
            </w:tcBorders>
            <w:shd w:val="clear" w:color="auto" w:fill="auto"/>
            <w:noWrap/>
            <w:vAlign w:val="bottom"/>
            <w:hideMark/>
          </w:tcPr>
          <w:p w14:paraId="274D4C2D" w14:textId="0B53D83A"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£ 1,566.31</w:t>
            </w:r>
          </w:p>
        </w:tc>
        <w:tc>
          <w:tcPr>
            <w:tcW w:w="1379" w:type="dxa"/>
            <w:tcBorders>
              <w:top w:val="nil"/>
              <w:left w:val="nil"/>
              <w:bottom w:val="single" w:sz="4" w:space="0" w:color="auto"/>
              <w:right w:val="single" w:sz="4" w:space="0" w:color="auto"/>
            </w:tcBorders>
            <w:shd w:val="clear" w:color="auto" w:fill="auto"/>
            <w:noWrap/>
            <w:vAlign w:val="bottom"/>
            <w:hideMark/>
          </w:tcPr>
          <w:p w14:paraId="5B7019D0" w14:textId="128D12B7"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£1,644.62</w:t>
            </w:r>
          </w:p>
        </w:tc>
        <w:tc>
          <w:tcPr>
            <w:tcW w:w="1516" w:type="dxa"/>
            <w:tcBorders>
              <w:top w:val="nil"/>
              <w:left w:val="nil"/>
              <w:bottom w:val="single" w:sz="4" w:space="0" w:color="auto"/>
              <w:right w:val="single" w:sz="4" w:space="0" w:color="auto"/>
            </w:tcBorders>
            <w:shd w:val="clear" w:color="auto" w:fill="auto"/>
            <w:noWrap/>
            <w:vAlign w:val="bottom"/>
            <w:hideMark/>
          </w:tcPr>
          <w:p w14:paraId="769B14A1" w14:textId="134F0376"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£ 1,726.85</w:t>
            </w:r>
          </w:p>
        </w:tc>
      </w:tr>
      <w:tr w:rsidR="00E547F7" w:rsidRPr="00B22F9B" w14:paraId="149A8111" w14:textId="77777777" w:rsidTr="00F473EA">
        <w:trPr>
          <w:trHeight w:val="379"/>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14:paraId="02C5793E" w14:textId="77777777" w:rsidR="00E547F7" w:rsidRPr="008620A3" w:rsidRDefault="00E547F7" w:rsidP="00F351D1">
            <w:pPr>
              <w:rPr>
                <w:rFonts w:ascii="Verdana" w:hAnsi="Verdana" w:cs="Calibri"/>
                <w:color w:val="000000"/>
                <w:szCs w:val="22"/>
                <w:lang w:eastAsia="en-GB"/>
              </w:rPr>
            </w:pPr>
            <w:r w:rsidRPr="008620A3">
              <w:rPr>
                <w:rFonts w:ascii="Verdana" w:hAnsi="Verdana" w:cs="Calibri"/>
                <w:color w:val="000000"/>
                <w:szCs w:val="22"/>
                <w:lang w:eastAsia="en-GB"/>
              </w:rPr>
              <w:t>annual increase on Band D charge</w:t>
            </w:r>
          </w:p>
        </w:tc>
        <w:tc>
          <w:tcPr>
            <w:tcW w:w="1379" w:type="dxa"/>
            <w:tcBorders>
              <w:top w:val="nil"/>
              <w:left w:val="nil"/>
              <w:bottom w:val="single" w:sz="4" w:space="0" w:color="auto"/>
              <w:right w:val="single" w:sz="4" w:space="0" w:color="auto"/>
            </w:tcBorders>
            <w:shd w:val="clear" w:color="auto" w:fill="auto"/>
            <w:noWrap/>
            <w:vAlign w:val="bottom"/>
            <w:hideMark/>
          </w:tcPr>
          <w:p w14:paraId="6CC8F7DE" w14:textId="35D2B568"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           -</w:t>
            </w:r>
          </w:p>
        </w:tc>
        <w:tc>
          <w:tcPr>
            <w:tcW w:w="1516" w:type="dxa"/>
            <w:tcBorders>
              <w:top w:val="nil"/>
              <w:left w:val="nil"/>
              <w:bottom w:val="single" w:sz="4" w:space="0" w:color="auto"/>
              <w:right w:val="single" w:sz="4" w:space="0" w:color="auto"/>
            </w:tcBorders>
            <w:shd w:val="clear" w:color="auto" w:fill="auto"/>
            <w:noWrap/>
            <w:vAlign w:val="bottom"/>
            <w:hideMark/>
          </w:tcPr>
          <w:p w14:paraId="74D9F044" w14:textId="0674DE6F"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    135.61</w:t>
            </w:r>
          </w:p>
        </w:tc>
        <w:tc>
          <w:tcPr>
            <w:tcW w:w="1516" w:type="dxa"/>
            <w:tcBorders>
              <w:top w:val="nil"/>
              <w:left w:val="nil"/>
              <w:bottom w:val="single" w:sz="4" w:space="0" w:color="auto"/>
              <w:right w:val="single" w:sz="4" w:space="0" w:color="auto"/>
            </w:tcBorders>
            <w:shd w:val="clear" w:color="auto" w:fill="auto"/>
            <w:noWrap/>
            <w:vAlign w:val="bottom"/>
            <w:hideMark/>
          </w:tcPr>
          <w:p w14:paraId="67E351C5" w14:textId="4B58F64D"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     74.59</w:t>
            </w:r>
          </w:p>
        </w:tc>
        <w:tc>
          <w:tcPr>
            <w:tcW w:w="1379" w:type="dxa"/>
            <w:tcBorders>
              <w:top w:val="nil"/>
              <w:left w:val="nil"/>
              <w:bottom w:val="single" w:sz="4" w:space="0" w:color="auto"/>
              <w:right w:val="single" w:sz="4" w:space="0" w:color="auto"/>
            </w:tcBorders>
            <w:shd w:val="clear" w:color="auto" w:fill="auto"/>
            <w:noWrap/>
            <w:vAlign w:val="bottom"/>
            <w:hideMark/>
          </w:tcPr>
          <w:p w14:paraId="16C4D028" w14:textId="4CE5A803"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    78.3</w:t>
            </w:r>
            <w:r w:rsidR="00571B7B">
              <w:rPr>
                <w:rFonts w:ascii="Verdana" w:hAnsi="Verdana" w:cs="Calibri"/>
                <w:color w:val="000000"/>
                <w:szCs w:val="22"/>
                <w:lang w:eastAsia="en-GB"/>
              </w:rPr>
              <w:t>1</w:t>
            </w:r>
          </w:p>
        </w:tc>
        <w:tc>
          <w:tcPr>
            <w:tcW w:w="1516" w:type="dxa"/>
            <w:tcBorders>
              <w:top w:val="nil"/>
              <w:left w:val="nil"/>
              <w:bottom w:val="single" w:sz="4" w:space="0" w:color="auto"/>
              <w:right w:val="single" w:sz="4" w:space="0" w:color="auto"/>
            </w:tcBorders>
            <w:shd w:val="clear" w:color="auto" w:fill="auto"/>
            <w:noWrap/>
            <w:vAlign w:val="bottom"/>
            <w:hideMark/>
          </w:tcPr>
          <w:p w14:paraId="17723CFD" w14:textId="05705DCF" w:rsidR="00E547F7" w:rsidRPr="008620A3" w:rsidRDefault="00E547F7" w:rsidP="00B22F9B">
            <w:pPr>
              <w:jc w:val="center"/>
              <w:rPr>
                <w:rFonts w:ascii="Verdana" w:hAnsi="Verdana" w:cs="Calibri"/>
                <w:color w:val="000000"/>
                <w:szCs w:val="22"/>
                <w:lang w:eastAsia="en-GB"/>
              </w:rPr>
            </w:pPr>
            <w:r w:rsidRPr="008620A3">
              <w:rPr>
                <w:rFonts w:ascii="Verdana" w:hAnsi="Verdana" w:cs="Calibri"/>
                <w:color w:val="000000"/>
                <w:szCs w:val="22"/>
                <w:lang w:eastAsia="en-GB"/>
              </w:rPr>
              <w:t>£      82.23</w:t>
            </w:r>
          </w:p>
        </w:tc>
      </w:tr>
    </w:tbl>
    <w:p w14:paraId="60613304" w14:textId="77777777" w:rsidR="001E61C0" w:rsidRDefault="001E61C0" w:rsidP="00E547F7">
      <w:pPr>
        <w:spacing w:before="60" w:after="60"/>
      </w:pPr>
    </w:p>
    <w:p w14:paraId="1B666F1B" w14:textId="6B268C43" w:rsidR="00DF46DC" w:rsidRDefault="00C869B8" w:rsidP="00F55D6D">
      <w:pPr>
        <w:ind w:left="1134" w:hanging="567"/>
        <w:rPr>
          <w:rFonts w:ascii="Verdana" w:hAnsi="Verdana"/>
        </w:rPr>
      </w:pPr>
      <w:r>
        <w:rPr>
          <w:rFonts w:ascii="Verdana" w:hAnsi="Verdana"/>
        </w:rPr>
        <w:t>7</w:t>
      </w:r>
      <w:r w:rsidR="00DF46DC">
        <w:rPr>
          <w:rFonts w:ascii="Verdana" w:hAnsi="Verdana"/>
        </w:rPr>
        <w:t>.6</w:t>
      </w:r>
      <w:r w:rsidR="00DF46DC">
        <w:rPr>
          <w:rFonts w:ascii="Verdana" w:hAnsi="Verdana"/>
        </w:rPr>
        <w:tab/>
      </w:r>
      <w:r w:rsidR="00DF46DC" w:rsidRPr="00B22F9B">
        <w:rPr>
          <w:rFonts w:ascii="Verdana" w:hAnsi="Verdana"/>
          <w:b/>
          <w:bCs/>
        </w:rPr>
        <w:t>Transformation Programme</w:t>
      </w:r>
    </w:p>
    <w:p w14:paraId="5530A122" w14:textId="4D6D7A41" w:rsidR="00011FBE" w:rsidRDefault="00574309" w:rsidP="00F55D6D">
      <w:pPr>
        <w:ind w:left="1134" w:hanging="567"/>
        <w:rPr>
          <w:rFonts w:ascii="Verdana" w:hAnsi="Verdana"/>
        </w:rPr>
      </w:pPr>
      <w:r>
        <w:tab/>
      </w:r>
      <w:r w:rsidRPr="00E218B7">
        <w:rPr>
          <w:rFonts w:ascii="Verdana" w:hAnsi="Verdana"/>
        </w:rPr>
        <w:t xml:space="preserve">The Fit for 2024 </w:t>
      </w:r>
      <w:r w:rsidR="003D3056">
        <w:rPr>
          <w:rFonts w:ascii="Verdana" w:hAnsi="Verdana"/>
        </w:rPr>
        <w:t>P</w:t>
      </w:r>
      <w:r w:rsidRPr="00E218B7">
        <w:rPr>
          <w:rFonts w:ascii="Verdana" w:hAnsi="Verdana"/>
        </w:rPr>
        <w:t>rogramme ha</w:t>
      </w:r>
      <w:r w:rsidR="003F4FF1">
        <w:rPr>
          <w:rFonts w:ascii="Verdana" w:hAnsi="Verdana"/>
        </w:rPr>
        <w:t>s</w:t>
      </w:r>
      <w:r w:rsidRPr="00E218B7">
        <w:rPr>
          <w:rFonts w:ascii="Verdana" w:hAnsi="Verdana"/>
        </w:rPr>
        <w:t xml:space="preserve"> now been brought to close and a </w:t>
      </w:r>
      <w:r w:rsidR="00E77AD6">
        <w:rPr>
          <w:rFonts w:ascii="Verdana" w:hAnsi="Verdana"/>
        </w:rPr>
        <w:t>future</w:t>
      </w:r>
      <w:r w:rsidR="00E77AD6" w:rsidRPr="00E218B7">
        <w:rPr>
          <w:rFonts w:ascii="Verdana" w:hAnsi="Verdana"/>
        </w:rPr>
        <w:t xml:space="preserve"> </w:t>
      </w:r>
      <w:r w:rsidRPr="00E218B7">
        <w:rPr>
          <w:rFonts w:ascii="Verdana" w:hAnsi="Verdana"/>
        </w:rPr>
        <w:t xml:space="preserve">Transformation </w:t>
      </w:r>
      <w:r w:rsidR="003D3056">
        <w:rPr>
          <w:rFonts w:ascii="Verdana" w:hAnsi="Verdana"/>
        </w:rPr>
        <w:t>P</w:t>
      </w:r>
      <w:r w:rsidRPr="00E218B7">
        <w:rPr>
          <w:rFonts w:ascii="Verdana" w:hAnsi="Verdana"/>
        </w:rPr>
        <w:t xml:space="preserve">rogramme focussing on the sustainability of the Council </w:t>
      </w:r>
      <w:r w:rsidR="003F4FF1">
        <w:rPr>
          <w:rFonts w:ascii="Verdana" w:hAnsi="Verdana"/>
        </w:rPr>
        <w:t>has</w:t>
      </w:r>
      <w:r w:rsidRPr="00E218B7">
        <w:rPr>
          <w:rFonts w:ascii="Verdana" w:hAnsi="Verdana"/>
        </w:rPr>
        <w:t xml:space="preserve"> been developed. This work will shape the service delivery of the Council </w:t>
      </w:r>
      <w:r>
        <w:rPr>
          <w:rFonts w:ascii="Verdana" w:hAnsi="Verdana"/>
        </w:rPr>
        <w:t>moving forward</w:t>
      </w:r>
      <w:r w:rsidRPr="00E218B7">
        <w:rPr>
          <w:rFonts w:ascii="Verdana" w:hAnsi="Verdana"/>
        </w:rPr>
        <w:t>, ensuring that it is</w:t>
      </w:r>
      <w:r>
        <w:rPr>
          <w:rFonts w:ascii="Verdana" w:hAnsi="Verdana"/>
        </w:rPr>
        <w:t xml:space="preserve"> aligned to the Council Plan and</w:t>
      </w:r>
      <w:r w:rsidRPr="00E218B7">
        <w:rPr>
          <w:rFonts w:ascii="Verdana" w:hAnsi="Verdana"/>
        </w:rPr>
        <w:t xml:space="preserve"> deliverable within the anticipated resources available.</w:t>
      </w:r>
      <w:r w:rsidR="00062026">
        <w:rPr>
          <w:rFonts w:ascii="Verdana" w:hAnsi="Verdana"/>
        </w:rPr>
        <w:t xml:space="preserve"> This </w:t>
      </w:r>
      <w:r w:rsidR="003914E9">
        <w:rPr>
          <w:rFonts w:ascii="Verdana" w:hAnsi="Verdana"/>
        </w:rPr>
        <w:t>will ensure th</w:t>
      </w:r>
      <w:r w:rsidR="00324031">
        <w:rPr>
          <w:rFonts w:ascii="Verdana" w:hAnsi="Verdana"/>
        </w:rPr>
        <w:t>e</w:t>
      </w:r>
      <w:r w:rsidR="003914E9">
        <w:rPr>
          <w:rFonts w:ascii="Verdana" w:hAnsi="Verdana"/>
        </w:rPr>
        <w:t xml:space="preserve"> Council continues to operate within</w:t>
      </w:r>
      <w:r w:rsidR="00324031">
        <w:rPr>
          <w:rFonts w:ascii="Verdana" w:hAnsi="Verdana"/>
        </w:rPr>
        <w:t xml:space="preserve"> its</w:t>
      </w:r>
      <w:r w:rsidR="003914E9">
        <w:rPr>
          <w:rFonts w:ascii="Verdana" w:hAnsi="Verdana"/>
        </w:rPr>
        <w:t xml:space="preserve"> means over </w:t>
      </w:r>
      <w:r w:rsidR="003914E9" w:rsidRPr="006100EE">
        <w:rPr>
          <w:rFonts w:ascii="Verdana" w:hAnsi="Verdana"/>
        </w:rPr>
        <w:t xml:space="preserve">the </w:t>
      </w:r>
      <w:r w:rsidR="003914E9" w:rsidRPr="00715AD7">
        <w:rPr>
          <w:rFonts w:ascii="Verdana" w:hAnsi="Verdana"/>
        </w:rPr>
        <w:t>longer ter</w:t>
      </w:r>
      <w:r w:rsidR="00D4225B" w:rsidRPr="00715AD7">
        <w:rPr>
          <w:rFonts w:ascii="Verdana" w:hAnsi="Verdana"/>
        </w:rPr>
        <w:t>m</w:t>
      </w:r>
      <w:r w:rsidR="00870666" w:rsidRPr="00715AD7">
        <w:rPr>
          <w:rFonts w:ascii="Verdana" w:hAnsi="Verdana"/>
        </w:rPr>
        <w:t>.</w:t>
      </w:r>
    </w:p>
    <w:p w14:paraId="1F82EA49" w14:textId="77777777" w:rsidR="00D21359" w:rsidRDefault="00D21359" w:rsidP="00E53B12">
      <w:pPr>
        <w:rPr>
          <w:rFonts w:ascii="Verdana" w:hAnsi="Verdana"/>
        </w:rPr>
      </w:pPr>
    </w:p>
    <w:p w14:paraId="36996EFB" w14:textId="77777777" w:rsidR="00574309" w:rsidRDefault="00574309" w:rsidP="00077146">
      <w:pPr>
        <w:ind w:left="1440" w:hanging="720"/>
      </w:pPr>
    </w:p>
    <w:p w14:paraId="13881E8C" w14:textId="63974DFA" w:rsidR="00AC1549" w:rsidRDefault="00C869B8" w:rsidP="006459DC">
      <w:pPr>
        <w:tabs>
          <w:tab w:val="left" w:pos="567"/>
        </w:tabs>
        <w:rPr>
          <w:rFonts w:ascii="Verdana" w:hAnsi="Verdana"/>
          <w:b/>
        </w:rPr>
      </w:pPr>
      <w:r>
        <w:rPr>
          <w:rFonts w:ascii="Verdana" w:hAnsi="Verdana"/>
          <w:b/>
        </w:rPr>
        <w:t>8</w:t>
      </w:r>
      <w:r w:rsidR="00AC1549">
        <w:rPr>
          <w:rFonts w:ascii="Verdana" w:hAnsi="Verdana"/>
          <w:b/>
        </w:rPr>
        <w:tab/>
        <w:t xml:space="preserve">CAPITAL RESOURCES </w:t>
      </w:r>
      <w:r w:rsidR="00782388">
        <w:rPr>
          <w:rFonts w:ascii="Verdana" w:hAnsi="Verdana"/>
          <w:b/>
        </w:rPr>
        <w:t>AND TREASURY MANAGEMENT</w:t>
      </w:r>
    </w:p>
    <w:p w14:paraId="6808AC63" w14:textId="77777777" w:rsidR="00AC1549" w:rsidRDefault="00AC1549" w:rsidP="00AC1549">
      <w:pPr>
        <w:rPr>
          <w:rFonts w:ascii="Verdana" w:hAnsi="Verdana"/>
          <w:b/>
        </w:rPr>
      </w:pPr>
    </w:p>
    <w:p w14:paraId="105FAD12" w14:textId="4CFA49AE" w:rsidR="000A0D02" w:rsidRPr="00313C3F" w:rsidRDefault="00C869B8" w:rsidP="00F55D6D">
      <w:pPr>
        <w:ind w:left="1134" w:hanging="567"/>
        <w:rPr>
          <w:rFonts w:ascii="Verdana" w:hAnsi="Verdana"/>
        </w:rPr>
      </w:pPr>
      <w:r>
        <w:rPr>
          <w:rFonts w:ascii="Verdana" w:hAnsi="Verdana"/>
        </w:rPr>
        <w:t>8</w:t>
      </w:r>
      <w:r w:rsidR="00AC1549">
        <w:rPr>
          <w:rFonts w:ascii="Verdana" w:hAnsi="Verdana"/>
        </w:rPr>
        <w:t>.1</w:t>
      </w:r>
      <w:r w:rsidR="00AC1549">
        <w:rPr>
          <w:rFonts w:ascii="Verdana" w:hAnsi="Verdana"/>
        </w:rPr>
        <w:tab/>
      </w:r>
      <w:r w:rsidR="000A0D02">
        <w:rPr>
          <w:rFonts w:ascii="Verdana" w:hAnsi="Verdana"/>
        </w:rPr>
        <w:t xml:space="preserve">The Council has set an ambitious Capital </w:t>
      </w:r>
      <w:r w:rsidR="00B56A0C">
        <w:rPr>
          <w:rFonts w:ascii="Verdana" w:hAnsi="Verdana"/>
        </w:rPr>
        <w:t>P</w:t>
      </w:r>
      <w:r w:rsidR="000A0D02">
        <w:rPr>
          <w:rFonts w:ascii="Verdana" w:hAnsi="Verdana"/>
        </w:rPr>
        <w:t xml:space="preserve">lan with anticipated investment of £454m over the </w:t>
      </w:r>
      <w:r w:rsidR="001529C4">
        <w:rPr>
          <w:rFonts w:ascii="Verdana" w:hAnsi="Verdana"/>
        </w:rPr>
        <w:t>10-year</w:t>
      </w:r>
      <w:r w:rsidR="000A0D02">
        <w:rPr>
          <w:rFonts w:ascii="Verdana" w:hAnsi="Verdana"/>
        </w:rPr>
        <w:t xml:space="preserve"> period. </w:t>
      </w:r>
      <w:r w:rsidR="00C7560E">
        <w:rPr>
          <w:rFonts w:ascii="Verdana" w:hAnsi="Verdana"/>
        </w:rPr>
        <w:t>£18</w:t>
      </w:r>
      <w:r w:rsidR="00EC4A70">
        <w:rPr>
          <w:rFonts w:ascii="Verdana" w:hAnsi="Verdana"/>
        </w:rPr>
        <w:t>7</w:t>
      </w:r>
      <w:r w:rsidR="00C7560E">
        <w:rPr>
          <w:rFonts w:ascii="Verdana" w:hAnsi="Verdana"/>
        </w:rPr>
        <w:t xml:space="preserve">m of this is within the </w:t>
      </w:r>
      <w:r w:rsidR="009E36CF">
        <w:rPr>
          <w:rFonts w:ascii="Verdana" w:hAnsi="Verdana"/>
        </w:rPr>
        <w:t>Learning Estate</w:t>
      </w:r>
      <w:r w:rsidR="00C7560E">
        <w:rPr>
          <w:rFonts w:ascii="Verdana" w:hAnsi="Verdana"/>
        </w:rPr>
        <w:t xml:space="preserve"> and includes ambitious plans for 3 High Schools and 2 Primary Schools. </w:t>
      </w:r>
      <w:r w:rsidR="00EE4997">
        <w:rPr>
          <w:rFonts w:ascii="Verdana" w:hAnsi="Verdana"/>
        </w:rPr>
        <w:t>A further £7</w:t>
      </w:r>
      <w:r w:rsidR="009E36CF">
        <w:rPr>
          <w:rFonts w:ascii="Verdana" w:hAnsi="Verdana"/>
        </w:rPr>
        <w:t>5</w:t>
      </w:r>
      <w:r w:rsidR="00EE4997">
        <w:rPr>
          <w:rFonts w:ascii="Verdana" w:hAnsi="Verdana"/>
        </w:rPr>
        <w:t xml:space="preserve">m is proposed to be spent on </w:t>
      </w:r>
      <w:r w:rsidR="00F8706F">
        <w:rPr>
          <w:rFonts w:ascii="Verdana" w:hAnsi="Verdana"/>
        </w:rPr>
        <w:t xml:space="preserve">the Borders Innovation Park and Borderlands and largely </w:t>
      </w:r>
      <w:r w:rsidR="00757569">
        <w:rPr>
          <w:rFonts w:ascii="Verdana" w:hAnsi="Verdana"/>
        </w:rPr>
        <w:t>externally</w:t>
      </w:r>
      <w:r w:rsidR="00F8706F">
        <w:rPr>
          <w:rFonts w:ascii="Verdana" w:hAnsi="Verdana"/>
        </w:rPr>
        <w:t xml:space="preserve"> funded</w:t>
      </w:r>
      <w:r w:rsidR="009E36CF">
        <w:rPr>
          <w:rFonts w:ascii="Verdana" w:hAnsi="Verdana"/>
        </w:rPr>
        <w:t xml:space="preserve"> while £7</w:t>
      </w:r>
      <w:r w:rsidR="00FD2DA5">
        <w:rPr>
          <w:rFonts w:ascii="Verdana" w:hAnsi="Verdana"/>
        </w:rPr>
        <w:t>1</w:t>
      </w:r>
      <w:r w:rsidR="009E36CF">
        <w:rPr>
          <w:rFonts w:ascii="Verdana" w:hAnsi="Verdana"/>
        </w:rPr>
        <w:t>m of Council funded expenditure is allocated to Roads and Bridges.</w:t>
      </w:r>
      <w:r w:rsidR="00757569">
        <w:rPr>
          <w:rFonts w:ascii="Verdana" w:hAnsi="Verdana"/>
        </w:rPr>
        <w:t xml:space="preserve"> </w:t>
      </w:r>
      <w:r w:rsidR="009E36CF">
        <w:rPr>
          <w:rFonts w:ascii="Verdana" w:hAnsi="Verdana"/>
        </w:rPr>
        <w:t xml:space="preserve">A further £33m is </w:t>
      </w:r>
      <w:r w:rsidR="00AA1EA2">
        <w:rPr>
          <w:rFonts w:ascii="Verdana" w:hAnsi="Verdana"/>
        </w:rPr>
        <w:t>planned for Care Villages within Hawick and Tweedbank.</w:t>
      </w:r>
    </w:p>
    <w:p w14:paraId="0E4865E3" w14:textId="77777777" w:rsidR="00FC0C41" w:rsidRPr="00313C3F" w:rsidRDefault="00FC0C41" w:rsidP="000A0D02">
      <w:pPr>
        <w:ind w:left="1440" w:hanging="720"/>
        <w:rPr>
          <w:rFonts w:ascii="Verdana" w:hAnsi="Verdana"/>
        </w:rPr>
      </w:pPr>
    </w:p>
    <w:p w14:paraId="2FCA2F67" w14:textId="3C940B55" w:rsidR="00AC1549" w:rsidRPr="00AC1549" w:rsidRDefault="00C869B8" w:rsidP="00F55D6D">
      <w:pPr>
        <w:ind w:left="1134" w:hanging="567"/>
        <w:rPr>
          <w:rFonts w:ascii="Verdana" w:hAnsi="Verdana"/>
        </w:rPr>
      </w:pPr>
      <w:r>
        <w:rPr>
          <w:rFonts w:ascii="Verdana" w:hAnsi="Verdana"/>
        </w:rPr>
        <w:t>8</w:t>
      </w:r>
      <w:r w:rsidR="000A0D02">
        <w:rPr>
          <w:rFonts w:ascii="Verdana" w:hAnsi="Verdana"/>
        </w:rPr>
        <w:t>.2</w:t>
      </w:r>
      <w:r w:rsidR="000A0D02">
        <w:rPr>
          <w:rFonts w:ascii="Verdana" w:hAnsi="Verdana"/>
        </w:rPr>
        <w:tab/>
      </w:r>
      <w:r w:rsidR="00AC1549">
        <w:rPr>
          <w:rFonts w:ascii="Verdana" w:hAnsi="Verdana"/>
        </w:rPr>
        <w:t xml:space="preserve">In setting its Capital Plan, the Council must adhere to The Prudential Code of Capital Finance (the Code) in Local Authorities as published by </w:t>
      </w:r>
      <w:r w:rsidR="00555D83">
        <w:rPr>
          <w:rFonts w:ascii="Verdana" w:hAnsi="Verdana"/>
        </w:rPr>
        <w:t xml:space="preserve">the </w:t>
      </w:r>
      <w:r w:rsidR="00555D83" w:rsidRPr="00555D83">
        <w:rPr>
          <w:rFonts w:ascii="Verdana" w:hAnsi="Verdana"/>
        </w:rPr>
        <w:t>Chartered Institute of Public Finance and Accountancy (CIPFA)</w:t>
      </w:r>
      <w:r w:rsidR="00AC1549">
        <w:rPr>
          <w:rFonts w:ascii="Verdana" w:hAnsi="Verdana"/>
        </w:rPr>
        <w:t>.  The Code was established to both give Local Authorities an element of flexibility but also to ensure they do not over borrow beyond levels that are sustainable over the longer term.</w:t>
      </w:r>
    </w:p>
    <w:p w14:paraId="7A89494C" w14:textId="77777777" w:rsidR="00AC1549" w:rsidRDefault="00AC1549" w:rsidP="00AC1549">
      <w:pPr>
        <w:ind w:left="1440" w:hanging="720"/>
        <w:rPr>
          <w:rFonts w:ascii="Verdana" w:hAnsi="Verdana"/>
        </w:rPr>
      </w:pPr>
    </w:p>
    <w:p w14:paraId="1872106F" w14:textId="4F5039D2" w:rsidR="00AC1549" w:rsidRDefault="00C869B8" w:rsidP="00F55D6D">
      <w:pPr>
        <w:ind w:left="1134" w:hanging="567"/>
        <w:rPr>
          <w:rFonts w:ascii="Verdana" w:hAnsi="Verdana"/>
        </w:rPr>
      </w:pPr>
      <w:r>
        <w:rPr>
          <w:rFonts w:ascii="Verdana" w:hAnsi="Verdana"/>
        </w:rPr>
        <w:t>8</w:t>
      </w:r>
      <w:r w:rsidR="00AC1549">
        <w:rPr>
          <w:rFonts w:ascii="Verdana" w:hAnsi="Verdana"/>
        </w:rPr>
        <w:t>.</w:t>
      </w:r>
      <w:r w:rsidR="00C308AD">
        <w:rPr>
          <w:rFonts w:ascii="Verdana" w:hAnsi="Verdana"/>
        </w:rPr>
        <w:t>3</w:t>
      </w:r>
      <w:r w:rsidR="00AC1549">
        <w:rPr>
          <w:rFonts w:ascii="Verdana" w:hAnsi="Verdana"/>
        </w:rPr>
        <w:tab/>
        <w:t>The code requires the Council to set a</w:t>
      </w:r>
      <w:r w:rsidR="008B22E4">
        <w:rPr>
          <w:rFonts w:ascii="Verdana" w:hAnsi="Verdana"/>
        </w:rPr>
        <w:t>n</w:t>
      </w:r>
      <w:r w:rsidR="00AC1549">
        <w:rPr>
          <w:rFonts w:ascii="Verdana" w:hAnsi="Verdana"/>
        </w:rPr>
        <w:t xml:space="preserve"> </w:t>
      </w:r>
      <w:r w:rsidR="008B22E4">
        <w:rPr>
          <w:rFonts w:ascii="Verdana" w:hAnsi="Verdana"/>
        </w:rPr>
        <w:t>a</w:t>
      </w:r>
      <w:r w:rsidR="00AC1549">
        <w:rPr>
          <w:rFonts w:ascii="Verdana" w:hAnsi="Verdana"/>
        </w:rPr>
        <w:t xml:space="preserve">nnual Treasury Management </w:t>
      </w:r>
      <w:r w:rsidR="00AC1549" w:rsidRPr="00C55D07">
        <w:rPr>
          <w:rFonts w:ascii="Verdana" w:hAnsi="Verdana"/>
        </w:rPr>
        <w:t xml:space="preserve">Strategy </w:t>
      </w:r>
      <w:r w:rsidR="00782388">
        <w:rPr>
          <w:rFonts w:ascii="Verdana" w:hAnsi="Verdana"/>
        </w:rPr>
        <w:t xml:space="preserve">(TMS) </w:t>
      </w:r>
      <w:r w:rsidR="00AC1549">
        <w:rPr>
          <w:rFonts w:ascii="Verdana" w:hAnsi="Verdana"/>
        </w:rPr>
        <w:t xml:space="preserve">which includes how it will finance its Capital Plans in an affordable and sustainable way.  The </w:t>
      </w:r>
      <w:r w:rsidR="00782388">
        <w:rPr>
          <w:rFonts w:ascii="Verdana" w:hAnsi="Verdana"/>
        </w:rPr>
        <w:t>TMS</w:t>
      </w:r>
      <w:r w:rsidR="00AC1549">
        <w:rPr>
          <w:rFonts w:ascii="Verdana" w:hAnsi="Verdana"/>
        </w:rPr>
        <w:t xml:space="preserve"> is approved each year along with the Revenue and Capital Plans</w:t>
      </w:r>
      <w:r w:rsidR="001865EF">
        <w:rPr>
          <w:rFonts w:ascii="Verdana" w:hAnsi="Verdana"/>
        </w:rPr>
        <w:t xml:space="preserve"> and the Capital Investment Strategy</w:t>
      </w:r>
      <w:r w:rsidR="00AC1549">
        <w:rPr>
          <w:rFonts w:ascii="Verdana" w:hAnsi="Verdana"/>
        </w:rPr>
        <w:t>.</w:t>
      </w:r>
    </w:p>
    <w:p w14:paraId="15EDE0B4" w14:textId="77777777" w:rsidR="00D20D31" w:rsidRDefault="00D20D31" w:rsidP="00AC1549">
      <w:pPr>
        <w:ind w:left="1440" w:hanging="720"/>
        <w:rPr>
          <w:rFonts w:ascii="Verdana" w:hAnsi="Verdana"/>
        </w:rPr>
      </w:pPr>
    </w:p>
    <w:p w14:paraId="6AED3588" w14:textId="1491B85D" w:rsidR="00AC1549" w:rsidRDefault="00C869B8" w:rsidP="00F55D6D">
      <w:pPr>
        <w:ind w:left="1134" w:hanging="567"/>
        <w:rPr>
          <w:rFonts w:ascii="Verdana" w:hAnsi="Verdana"/>
        </w:rPr>
      </w:pPr>
      <w:r>
        <w:rPr>
          <w:rFonts w:ascii="Verdana" w:hAnsi="Verdana"/>
        </w:rPr>
        <w:t>8</w:t>
      </w:r>
      <w:r w:rsidR="00770393">
        <w:rPr>
          <w:rFonts w:ascii="Verdana" w:hAnsi="Verdana"/>
        </w:rPr>
        <w:t>.</w:t>
      </w:r>
      <w:r w:rsidR="00BA160D">
        <w:rPr>
          <w:rFonts w:ascii="Verdana" w:hAnsi="Verdana"/>
        </w:rPr>
        <w:t>4</w:t>
      </w:r>
      <w:r w:rsidR="00AC1549">
        <w:rPr>
          <w:rFonts w:ascii="Verdana" w:hAnsi="Verdana"/>
        </w:rPr>
        <w:tab/>
        <w:t>T</w:t>
      </w:r>
      <w:r w:rsidR="00AC1549" w:rsidRPr="00C804BB">
        <w:rPr>
          <w:rFonts w:ascii="Verdana" w:hAnsi="Verdana"/>
        </w:rPr>
        <w:t>he requirements of the Prudential Code were updated in December 2017 including the recommendation that Councils pub</w:t>
      </w:r>
      <w:r w:rsidR="007E2ADA">
        <w:rPr>
          <w:rFonts w:ascii="Verdana" w:hAnsi="Verdana"/>
        </w:rPr>
        <w:t>lish a C</w:t>
      </w:r>
      <w:r w:rsidR="00AC1549">
        <w:rPr>
          <w:rFonts w:ascii="Verdana" w:hAnsi="Verdana"/>
        </w:rPr>
        <w:t>apital</w:t>
      </w:r>
      <w:r w:rsidR="007E2ADA">
        <w:rPr>
          <w:rFonts w:ascii="Verdana" w:hAnsi="Verdana"/>
        </w:rPr>
        <w:t xml:space="preserve"> Investment S</w:t>
      </w:r>
      <w:r w:rsidR="00AC1549">
        <w:rPr>
          <w:rFonts w:ascii="Verdana" w:hAnsi="Verdana"/>
        </w:rPr>
        <w:t>trategy f</w:t>
      </w:r>
      <w:r w:rsidR="00AC1549" w:rsidRPr="00C804BB">
        <w:rPr>
          <w:rFonts w:ascii="Verdana" w:hAnsi="Verdana"/>
        </w:rPr>
        <w:t>r</w:t>
      </w:r>
      <w:r w:rsidR="00AC1549">
        <w:rPr>
          <w:rFonts w:ascii="Verdana" w:hAnsi="Verdana"/>
        </w:rPr>
        <w:t>om</w:t>
      </w:r>
      <w:r w:rsidR="00AC1549" w:rsidRPr="00C804BB">
        <w:rPr>
          <w:rFonts w:ascii="Verdana" w:hAnsi="Verdana"/>
        </w:rPr>
        <w:t xml:space="preserve"> 2019/20.  As such</w:t>
      </w:r>
      <w:r w:rsidR="0049401E">
        <w:rPr>
          <w:rFonts w:ascii="Verdana" w:hAnsi="Verdana"/>
        </w:rPr>
        <w:t>,</w:t>
      </w:r>
      <w:r w:rsidR="00AC1549" w:rsidRPr="00C804BB">
        <w:rPr>
          <w:rFonts w:ascii="Verdana" w:hAnsi="Verdana"/>
        </w:rPr>
        <w:t xml:space="preserve"> Scottish Borders Council’s Capital </w:t>
      </w:r>
      <w:r w:rsidR="007E2ADA">
        <w:rPr>
          <w:rFonts w:ascii="Verdana" w:hAnsi="Verdana"/>
        </w:rPr>
        <w:t xml:space="preserve">Investment </w:t>
      </w:r>
      <w:r w:rsidR="00AC1549" w:rsidRPr="00C804BB">
        <w:rPr>
          <w:rFonts w:ascii="Verdana" w:hAnsi="Verdana"/>
        </w:rPr>
        <w:t>Strategy is included elsew</w:t>
      </w:r>
      <w:r w:rsidR="00AC1549">
        <w:rPr>
          <w:rFonts w:ascii="Verdana" w:hAnsi="Verdana"/>
        </w:rPr>
        <w:t>here on this agenda as part of the</w:t>
      </w:r>
      <w:r w:rsidR="00AC1549" w:rsidRPr="00C804BB">
        <w:rPr>
          <w:rFonts w:ascii="Verdana" w:hAnsi="Verdana"/>
        </w:rPr>
        <w:t xml:space="preserve"> suite of financial planning papers</w:t>
      </w:r>
      <w:r w:rsidR="000A0D02">
        <w:rPr>
          <w:rFonts w:ascii="Verdana" w:hAnsi="Verdana"/>
        </w:rPr>
        <w:t xml:space="preserve"> and details </w:t>
      </w:r>
      <w:r w:rsidR="001171D7">
        <w:rPr>
          <w:rFonts w:ascii="Verdana" w:hAnsi="Verdana"/>
        </w:rPr>
        <w:t xml:space="preserve">the capital investment priorities </w:t>
      </w:r>
      <w:r w:rsidR="000548B4">
        <w:rPr>
          <w:rFonts w:ascii="Verdana" w:hAnsi="Verdana"/>
        </w:rPr>
        <w:t>to ensure our assets and infrastructure are best placed to deliver the Council Plan</w:t>
      </w:r>
      <w:r w:rsidR="001171D7">
        <w:rPr>
          <w:rFonts w:ascii="Verdana" w:hAnsi="Verdana"/>
        </w:rPr>
        <w:t>.</w:t>
      </w:r>
    </w:p>
    <w:p w14:paraId="48D0E96B" w14:textId="1DA1738B" w:rsidR="00AC1549" w:rsidRDefault="000D7AAD" w:rsidP="008902F9">
      <w:pPr>
        <w:ind w:left="1440" w:hanging="720"/>
        <w:rPr>
          <w:rFonts w:ascii="Verdana" w:hAnsi="Verdana"/>
        </w:rPr>
      </w:pPr>
      <w:r>
        <w:rPr>
          <w:rFonts w:ascii="Verdana" w:hAnsi="Verdana"/>
        </w:rPr>
        <w:t xml:space="preserve"> </w:t>
      </w:r>
    </w:p>
    <w:p w14:paraId="4D2F4B13" w14:textId="77777777" w:rsidR="001D32EE" w:rsidRDefault="001D32EE" w:rsidP="008902F9">
      <w:pPr>
        <w:ind w:left="1440" w:hanging="720"/>
        <w:rPr>
          <w:rFonts w:ascii="Verdana" w:hAnsi="Verdana"/>
        </w:rPr>
      </w:pPr>
    </w:p>
    <w:p w14:paraId="6C8F2F33" w14:textId="77777777" w:rsidR="001D32EE" w:rsidRDefault="001D32EE" w:rsidP="008902F9">
      <w:pPr>
        <w:ind w:left="1440" w:hanging="720"/>
        <w:rPr>
          <w:rFonts w:ascii="Verdana" w:hAnsi="Verdana"/>
        </w:rPr>
      </w:pPr>
    </w:p>
    <w:p w14:paraId="0475BA3D" w14:textId="77777777" w:rsidR="001D32EE" w:rsidRDefault="001D32EE" w:rsidP="008902F9">
      <w:pPr>
        <w:ind w:left="1440" w:hanging="720"/>
        <w:rPr>
          <w:rFonts w:ascii="Verdana" w:hAnsi="Verdana"/>
        </w:rPr>
      </w:pPr>
    </w:p>
    <w:p w14:paraId="629F6E4A" w14:textId="77777777" w:rsidR="001D32EE" w:rsidRDefault="001D32EE" w:rsidP="008902F9">
      <w:pPr>
        <w:ind w:left="1440" w:hanging="720"/>
        <w:rPr>
          <w:rFonts w:ascii="Verdana" w:hAnsi="Verdana"/>
        </w:rPr>
      </w:pPr>
    </w:p>
    <w:p w14:paraId="11977C06" w14:textId="3AC1107B" w:rsidR="00AC1549" w:rsidRDefault="00AC1549" w:rsidP="00E53B12">
      <w:pPr>
        <w:tabs>
          <w:tab w:val="left" w:pos="567"/>
        </w:tabs>
        <w:ind w:firstLine="567"/>
        <w:rPr>
          <w:rFonts w:ascii="Verdana" w:hAnsi="Verdana"/>
          <w:b/>
        </w:rPr>
      </w:pPr>
      <w:r w:rsidRPr="00AC1549">
        <w:rPr>
          <w:rFonts w:ascii="Verdana" w:hAnsi="Verdana"/>
          <w:b/>
        </w:rPr>
        <w:t xml:space="preserve">CAPITAL FUNDING ASSUMPTIONS </w:t>
      </w:r>
    </w:p>
    <w:p w14:paraId="41A032F7" w14:textId="77777777" w:rsidR="001D32EE" w:rsidRDefault="001D32EE" w:rsidP="00AC1549">
      <w:pPr>
        <w:rPr>
          <w:rFonts w:ascii="Verdana" w:hAnsi="Verdana"/>
          <w:b/>
        </w:rPr>
      </w:pPr>
    </w:p>
    <w:p w14:paraId="5A35B54E" w14:textId="6B79A809" w:rsidR="00C02A04" w:rsidRDefault="00C869B8" w:rsidP="00F55D6D">
      <w:pPr>
        <w:tabs>
          <w:tab w:val="left" w:pos="1134"/>
        </w:tabs>
        <w:ind w:firstLine="567"/>
        <w:rPr>
          <w:rFonts w:ascii="Verdana" w:hAnsi="Verdana"/>
          <w:b/>
        </w:rPr>
      </w:pPr>
      <w:r>
        <w:rPr>
          <w:rFonts w:ascii="Verdana" w:hAnsi="Verdana"/>
        </w:rPr>
        <w:t>8</w:t>
      </w:r>
      <w:r w:rsidR="00F0123E">
        <w:rPr>
          <w:rFonts w:ascii="Verdana" w:hAnsi="Verdana"/>
        </w:rPr>
        <w:t>.</w:t>
      </w:r>
      <w:r w:rsidR="002B1741">
        <w:rPr>
          <w:rFonts w:ascii="Verdana" w:hAnsi="Verdana"/>
        </w:rPr>
        <w:t>5</w:t>
      </w:r>
      <w:r w:rsidR="000D7AAD">
        <w:rPr>
          <w:rFonts w:ascii="Verdana" w:hAnsi="Verdana"/>
        </w:rPr>
        <w:tab/>
      </w:r>
      <w:r w:rsidR="00C02A04">
        <w:rPr>
          <w:rFonts w:ascii="Verdana" w:hAnsi="Verdana"/>
          <w:b/>
        </w:rPr>
        <w:t xml:space="preserve">Capital Settlement </w:t>
      </w:r>
    </w:p>
    <w:p w14:paraId="59794C5F" w14:textId="2B72CC1F" w:rsidR="00C02A04" w:rsidRDefault="00C02A04" w:rsidP="00F55D6D">
      <w:pPr>
        <w:tabs>
          <w:tab w:val="left" w:pos="1134"/>
        </w:tabs>
        <w:ind w:left="1134"/>
        <w:rPr>
          <w:rFonts w:ascii="Verdana" w:hAnsi="Verdana"/>
        </w:rPr>
      </w:pPr>
      <w:r>
        <w:rPr>
          <w:rFonts w:ascii="Verdana" w:hAnsi="Verdana"/>
        </w:rPr>
        <w:t xml:space="preserve">A General Capital Grant is issued to each Local Authority in Scotland as part of the </w:t>
      </w:r>
      <w:r w:rsidR="00C46CF6">
        <w:rPr>
          <w:rFonts w:ascii="Verdana" w:hAnsi="Verdana"/>
        </w:rPr>
        <w:t>s</w:t>
      </w:r>
      <w:r>
        <w:rPr>
          <w:rFonts w:ascii="Verdana" w:hAnsi="Verdana"/>
        </w:rPr>
        <w:t>ettlement letter</w:t>
      </w:r>
      <w:r w:rsidR="009C0698">
        <w:rPr>
          <w:rFonts w:ascii="Verdana" w:hAnsi="Verdana"/>
        </w:rPr>
        <w:t xml:space="preserve"> each year</w:t>
      </w:r>
      <w:r>
        <w:rPr>
          <w:rFonts w:ascii="Verdana" w:hAnsi="Verdana"/>
        </w:rPr>
        <w:t xml:space="preserve">. </w:t>
      </w:r>
      <w:r w:rsidRPr="00C55D07">
        <w:rPr>
          <w:rFonts w:ascii="Verdana" w:hAnsi="Verdana"/>
        </w:rPr>
        <w:t xml:space="preserve">The draft </w:t>
      </w:r>
      <w:r w:rsidRPr="00557C93">
        <w:rPr>
          <w:rFonts w:ascii="Verdana" w:hAnsi="Verdana"/>
        </w:rPr>
        <w:t xml:space="preserve">settlement confirms </w:t>
      </w:r>
      <w:r w:rsidR="00C46CF6">
        <w:rPr>
          <w:rFonts w:ascii="Verdana" w:hAnsi="Verdana"/>
        </w:rPr>
        <w:t>G</w:t>
      </w:r>
      <w:r>
        <w:rPr>
          <w:rFonts w:ascii="Verdana" w:hAnsi="Verdana"/>
        </w:rPr>
        <w:t xml:space="preserve">eneral </w:t>
      </w:r>
      <w:r w:rsidR="00C46CF6">
        <w:rPr>
          <w:rFonts w:ascii="Verdana" w:hAnsi="Verdana"/>
        </w:rPr>
        <w:t>C</w:t>
      </w:r>
      <w:r>
        <w:rPr>
          <w:rFonts w:ascii="Verdana" w:hAnsi="Verdana"/>
        </w:rPr>
        <w:t xml:space="preserve">apital </w:t>
      </w:r>
      <w:r w:rsidR="00C46CF6">
        <w:rPr>
          <w:rFonts w:ascii="Verdana" w:hAnsi="Verdana"/>
        </w:rPr>
        <w:t>G</w:t>
      </w:r>
      <w:r>
        <w:rPr>
          <w:rFonts w:ascii="Verdana" w:hAnsi="Verdana"/>
        </w:rPr>
        <w:t>rant of £9.8m</w:t>
      </w:r>
      <w:r w:rsidRPr="00557C93">
        <w:rPr>
          <w:rFonts w:ascii="Verdana" w:hAnsi="Verdana"/>
        </w:rPr>
        <w:t xml:space="preserve"> </w:t>
      </w:r>
      <w:r>
        <w:rPr>
          <w:rFonts w:ascii="Verdana" w:hAnsi="Verdana"/>
        </w:rPr>
        <w:t xml:space="preserve">will be provided to the Council in 2024/25, this is £0.9m </w:t>
      </w:r>
      <w:r w:rsidR="009C0698">
        <w:rPr>
          <w:rFonts w:ascii="Verdana" w:hAnsi="Verdana"/>
        </w:rPr>
        <w:t xml:space="preserve">less </w:t>
      </w:r>
      <w:r>
        <w:rPr>
          <w:rFonts w:ascii="Verdana" w:hAnsi="Verdana"/>
        </w:rPr>
        <w:t>than the funding previously confirmed by Scottish Government. The higher funding amount is assumed to continue for future years of the plan.</w:t>
      </w:r>
      <w:r>
        <w:rPr>
          <w:rFonts w:ascii="Verdana" w:hAnsi="Verdana"/>
        </w:rPr>
        <w:tab/>
      </w:r>
      <w:r>
        <w:rPr>
          <w:rFonts w:ascii="Verdana" w:hAnsi="Verdana"/>
        </w:rPr>
        <w:tab/>
      </w:r>
    </w:p>
    <w:p w14:paraId="5BA16893" w14:textId="1D73CCF4" w:rsidR="00C02A04" w:rsidRDefault="00C02A04" w:rsidP="000D7AAD">
      <w:pPr>
        <w:ind w:left="1440" w:hanging="720"/>
        <w:rPr>
          <w:rFonts w:ascii="Verdana" w:hAnsi="Verdana"/>
        </w:rPr>
      </w:pPr>
    </w:p>
    <w:p w14:paraId="78105962" w14:textId="5EF4BE78" w:rsidR="004D7ED5" w:rsidRDefault="00C869B8" w:rsidP="001D32EE">
      <w:pPr>
        <w:ind w:left="1134" w:hanging="567"/>
        <w:rPr>
          <w:rFonts w:ascii="Verdana" w:hAnsi="Verdana"/>
        </w:rPr>
      </w:pPr>
      <w:r>
        <w:rPr>
          <w:rFonts w:ascii="Verdana" w:hAnsi="Verdana"/>
        </w:rPr>
        <w:t>8</w:t>
      </w:r>
      <w:r w:rsidR="00162894">
        <w:rPr>
          <w:rFonts w:ascii="Verdana" w:hAnsi="Verdana"/>
        </w:rPr>
        <w:t>.</w:t>
      </w:r>
      <w:r w:rsidR="002B1741">
        <w:rPr>
          <w:rFonts w:ascii="Verdana" w:hAnsi="Verdana"/>
        </w:rPr>
        <w:t>6</w:t>
      </w:r>
      <w:r w:rsidR="00162894">
        <w:rPr>
          <w:rFonts w:ascii="Verdana" w:hAnsi="Verdana"/>
        </w:rPr>
        <w:tab/>
        <w:t>When combined with other sources of funding</w:t>
      </w:r>
      <w:r w:rsidR="00494766">
        <w:rPr>
          <w:rFonts w:ascii="Verdana" w:hAnsi="Verdana"/>
        </w:rPr>
        <w:t>,</w:t>
      </w:r>
      <w:r w:rsidR="00162894">
        <w:rPr>
          <w:rFonts w:ascii="Verdana" w:hAnsi="Verdana"/>
        </w:rPr>
        <w:t xml:space="preserve"> t</w:t>
      </w:r>
      <w:r w:rsidR="000D7AAD" w:rsidRPr="00AD6A07">
        <w:rPr>
          <w:rFonts w:ascii="Verdana" w:hAnsi="Verdana"/>
        </w:rPr>
        <w:t xml:space="preserve">he total capital funding available </w:t>
      </w:r>
      <w:r w:rsidR="00162894">
        <w:rPr>
          <w:rFonts w:ascii="Verdana" w:hAnsi="Verdana"/>
        </w:rPr>
        <w:t xml:space="preserve">over the </w:t>
      </w:r>
      <w:r w:rsidR="001529C4">
        <w:rPr>
          <w:rFonts w:ascii="Verdana" w:hAnsi="Verdana"/>
        </w:rPr>
        <w:t>10-year</w:t>
      </w:r>
      <w:r w:rsidR="00162894">
        <w:rPr>
          <w:rFonts w:ascii="Verdana" w:hAnsi="Verdana"/>
        </w:rPr>
        <w:t xml:space="preserve"> plan is estimated to be</w:t>
      </w:r>
      <w:r w:rsidR="000D7AAD" w:rsidRPr="00132CA5">
        <w:rPr>
          <w:rFonts w:ascii="Verdana" w:hAnsi="Verdana"/>
        </w:rPr>
        <w:t xml:space="preserve"> £</w:t>
      </w:r>
      <w:r w:rsidR="000D7AAD" w:rsidRPr="00C659CC">
        <w:rPr>
          <w:rFonts w:ascii="Verdana" w:hAnsi="Verdana"/>
        </w:rPr>
        <w:t>4</w:t>
      </w:r>
      <w:r w:rsidR="000D7AAD">
        <w:rPr>
          <w:rFonts w:ascii="Verdana" w:hAnsi="Verdana"/>
        </w:rPr>
        <w:t>5</w:t>
      </w:r>
      <w:r w:rsidR="000D7AAD" w:rsidRPr="00C659CC">
        <w:rPr>
          <w:rFonts w:ascii="Verdana" w:hAnsi="Verdana"/>
        </w:rPr>
        <w:t>4m</w:t>
      </w:r>
      <w:r w:rsidR="000D7AAD" w:rsidRPr="00132CA5">
        <w:rPr>
          <w:rFonts w:ascii="Verdana" w:hAnsi="Verdana"/>
        </w:rPr>
        <w:t>.</w:t>
      </w:r>
      <w:r w:rsidR="000D7AAD" w:rsidRPr="00AD6A07">
        <w:rPr>
          <w:rFonts w:ascii="Verdana" w:hAnsi="Verdana"/>
        </w:rPr>
        <w:t xml:space="preserve">  </w:t>
      </w:r>
      <w:r w:rsidR="000D7AAD" w:rsidRPr="00C659CC">
        <w:rPr>
          <w:rFonts w:ascii="Verdana" w:hAnsi="Verdana"/>
        </w:rPr>
        <w:t>The following table</w:t>
      </w:r>
      <w:r w:rsidR="000D7AAD" w:rsidRPr="00AD6A07">
        <w:rPr>
          <w:rFonts w:ascii="Verdana" w:hAnsi="Verdana"/>
        </w:rPr>
        <w:t xml:space="preserve"> summarises the total resources</w:t>
      </w:r>
      <w:r w:rsidR="00162894">
        <w:rPr>
          <w:rFonts w:ascii="Verdana" w:hAnsi="Verdana"/>
        </w:rPr>
        <w:t xml:space="preserve"> within</w:t>
      </w:r>
      <w:r w:rsidR="000D7AAD" w:rsidRPr="00AD6A07">
        <w:rPr>
          <w:rFonts w:ascii="Verdana" w:hAnsi="Verdana"/>
        </w:rPr>
        <w:t xml:space="preserve"> the proposed Capital Plan</w:t>
      </w:r>
      <w:r w:rsidR="002F2AF2">
        <w:rPr>
          <w:rFonts w:ascii="Verdana" w:hAnsi="Verdana"/>
        </w:rPr>
        <w:t xml:space="preserve"> and further information on each funding line is provided below</w:t>
      </w:r>
      <w:r w:rsidR="001D32EE">
        <w:rPr>
          <w:rFonts w:ascii="Verdana" w:hAnsi="Verdana"/>
        </w:rPr>
        <w:t>.</w:t>
      </w:r>
    </w:p>
    <w:p w14:paraId="43E12C16" w14:textId="77777777" w:rsidR="004D7ED5" w:rsidRDefault="004D7ED5" w:rsidP="000D7AAD">
      <w:pPr>
        <w:ind w:left="1440"/>
        <w:rPr>
          <w:rFonts w:ascii="Verdana" w:hAnsi="Verdana"/>
        </w:rPr>
      </w:pPr>
    </w:p>
    <w:p w14:paraId="06FC56B3" w14:textId="77777777" w:rsidR="00674207" w:rsidRDefault="00674207" w:rsidP="000D7AAD">
      <w:pPr>
        <w:ind w:left="1440"/>
        <w:rPr>
          <w:rFonts w:ascii="Verdana" w:hAnsi="Verdana"/>
        </w:rPr>
      </w:pPr>
    </w:p>
    <w:p w14:paraId="17628E3C" w14:textId="63806E74" w:rsidR="000D7AAD" w:rsidRDefault="000D7AAD" w:rsidP="00AC1549">
      <w:pPr>
        <w:rPr>
          <w:rFonts w:ascii="Verdana" w:hAnsi="Verdana"/>
          <w:bCs/>
          <w:i/>
          <w:iCs/>
        </w:rPr>
      </w:pPr>
      <w:r w:rsidRPr="00F0123E">
        <w:rPr>
          <w:rFonts w:ascii="Verdana" w:hAnsi="Verdana"/>
          <w:bCs/>
          <w:i/>
          <w:iCs/>
        </w:rPr>
        <w:t xml:space="preserve">Table </w:t>
      </w:r>
      <w:r w:rsidR="00F0123E" w:rsidRPr="00F0123E">
        <w:rPr>
          <w:rFonts w:ascii="Verdana" w:hAnsi="Verdana"/>
          <w:bCs/>
          <w:i/>
          <w:iCs/>
        </w:rPr>
        <w:t>4</w:t>
      </w:r>
      <w:r w:rsidRPr="00F0123E">
        <w:rPr>
          <w:rFonts w:ascii="Verdana" w:hAnsi="Verdana"/>
          <w:bCs/>
          <w:i/>
          <w:iCs/>
        </w:rPr>
        <w:t xml:space="preserve"> : Summary of Capital resourcing within the Financial Plan</w:t>
      </w:r>
    </w:p>
    <w:p w14:paraId="57343B38" w14:textId="5F02FEFA" w:rsidR="00E92528" w:rsidRPr="000D7AAD" w:rsidRDefault="004969BD" w:rsidP="00AC1549">
      <w:pPr>
        <w:rPr>
          <w:rFonts w:ascii="Verdana" w:hAnsi="Verdana"/>
          <w:bCs/>
          <w:i/>
          <w:iCs/>
        </w:rPr>
      </w:pPr>
      <w:r>
        <w:rPr>
          <w:noProof/>
        </w:rPr>
        <w:drawing>
          <wp:inline distT="0" distB="0" distL="0" distR="0" wp14:anchorId="4AFAE668" wp14:editId="4A16929A">
            <wp:extent cx="6124575" cy="24860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2486025"/>
                    </a:xfrm>
                    <a:prstGeom prst="rect">
                      <a:avLst/>
                    </a:prstGeom>
                    <a:noFill/>
                    <a:ln>
                      <a:noFill/>
                    </a:ln>
                  </pic:spPr>
                </pic:pic>
              </a:graphicData>
            </a:graphic>
          </wp:inline>
        </w:drawing>
      </w:r>
    </w:p>
    <w:p w14:paraId="7B7DB6F6" w14:textId="04499D9D" w:rsidR="00AC1549" w:rsidRDefault="00AC1549" w:rsidP="00AC1549"/>
    <w:p w14:paraId="066045D7" w14:textId="77777777" w:rsidR="00E92528" w:rsidRDefault="00E92528" w:rsidP="00AC1549">
      <w:pPr>
        <w:rPr>
          <w:b/>
        </w:rPr>
      </w:pPr>
    </w:p>
    <w:p w14:paraId="4C63F697" w14:textId="005F48E2" w:rsidR="00AC1549" w:rsidRDefault="007D66C2" w:rsidP="00F55D6D">
      <w:pPr>
        <w:pStyle w:val="BodyTextIndent"/>
        <w:tabs>
          <w:tab w:val="left" w:pos="567"/>
          <w:tab w:val="left" w:pos="1134"/>
        </w:tabs>
        <w:spacing w:before="60" w:after="60"/>
        <w:ind w:left="34" w:right="533" w:hanging="34"/>
        <w:rPr>
          <w:rFonts w:ascii="Verdana" w:hAnsi="Verdana"/>
          <w:b/>
        </w:rPr>
      </w:pPr>
      <w:r>
        <w:rPr>
          <w:rFonts w:ascii="Verdana" w:hAnsi="Verdana"/>
        </w:rPr>
        <w:tab/>
      </w:r>
      <w:r>
        <w:rPr>
          <w:rFonts w:ascii="Verdana" w:hAnsi="Verdana"/>
        </w:rPr>
        <w:tab/>
      </w:r>
      <w:r w:rsidR="00C869B8">
        <w:rPr>
          <w:rFonts w:ascii="Verdana" w:hAnsi="Verdana"/>
        </w:rPr>
        <w:t>8</w:t>
      </w:r>
      <w:r w:rsidR="00AC1549">
        <w:rPr>
          <w:rFonts w:ascii="Verdana" w:hAnsi="Verdana"/>
        </w:rPr>
        <w:t>.</w:t>
      </w:r>
      <w:r w:rsidR="002B1741">
        <w:rPr>
          <w:rFonts w:ascii="Verdana" w:hAnsi="Verdana"/>
        </w:rPr>
        <w:t>7</w:t>
      </w:r>
      <w:r w:rsidR="00AC1549">
        <w:rPr>
          <w:rFonts w:ascii="Verdana" w:hAnsi="Verdana"/>
        </w:rPr>
        <w:tab/>
      </w:r>
      <w:r w:rsidR="00AC1549">
        <w:rPr>
          <w:rFonts w:ascii="Verdana" w:hAnsi="Verdana"/>
          <w:b/>
        </w:rPr>
        <w:t>Scottish Government –</w:t>
      </w:r>
      <w:r w:rsidR="00FC736D">
        <w:rPr>
          <w:rFonts w:ascii="Verdana" w:hAnsi="Verdana"/>
          <w:b/>
        </w:rPr>
        <w:t xml:space="preserve"> </w:t>
      </w:r>
      <w:r w:rsidR="002F2AF2">
        <w:rPr>
          <w:rFonts w:ascii="Verdana" w:hAnsi="Verdana"/>
          <w:b/>
        </w:rPr>
        <w:t xml:space="preserve">Specific </w:t>
      </w:r>
      <w:r w:rsidR="00AC1549">
        <w:rPr>
          <w:rFonts w:ascii="Verdana" w:hAnsi="Verdana"/>
          <w:b/>
        </w:rPr>
        <w:t>Capital Grant</w:t>
      </w:r>
    </w:p>
    <w:p w14:paraId="31F7E4FC" w14:textId="09012680" w:rsidR="00AC1549" w:rsidRDefault="00A560D0" w:rsidP="00F55D6D">
      <w:pPr>
        <w:pStyle w:val="BodyTextIndent"/>
        <w:tabs>
          <w:tab w:val="left" w:pos="1134"/>
        </w:tabs>
        <w:spacing w:before="60" w:after="60"/>
        <w:ind w:left="1134" w:right="533" w:firstLine="0"/>
        <w:rPr>
          <w:rFonts w:ascii="Verdana" w:hAnsi="Verdana"/>
        </w:rPr>
      </w:pPr>
      <w:r>
        <w:rPr>
          <w:rFonts w:ascii="Verdana" w:hAnsi="Verdana"/>
        </w:rPr>
        <w:t>The s</w:t>
      </w:r>
      <w:r w:rsidR="00AC1549" w:rsidRPr="00C55D07">
        <w:rPr>
          <w:rFonts w:ascii="Verdana" w:hAnsi="Verdana"/>
        </w:rPr>
        <w:t xml:space="preserve">ettlement confirms </w:t>
      </w:r>
      <w:r w:rsidR="008C7ECD">
        <w:rPr>
          <w:rFonts w:ascii="Verdana" w:hAnsi="Verdana"/>
        </w:rPr>
        <w:t>a</w:t>
      </w:r>
      <w:r w:rsidR="00AC1549" w:rsidRPr="00C55D07">
        <w:rPr>
          <w:rFonts w:ascii="Verdana" w:hAnsi="Verdana"/>
        </w:rPr>
        <w:t xml:space="preserve"> specific capital grant</w:t>
      </w:r>
      <w:r w:rsidR="008C7ECD">
        <w:rPr>
          <w:rFonts w:ascii="Verdana" w:hAnsi="Verdana"/>
        </w:rPr>
        <w:t xml:space="preserve"> allocation of £0.515m</w:t>
      </w:r>
      <w:r w:rsidR="00AC1549" w:rsidRPr="00C55D07">
        <w:rPr>
          <w:rFonts w:ascii="Verdana" w:hAnsi="Verdana"/>
        </w:rPr>
        <w:t xml:space="preserve"> for </w:t>
      </w:r>
      <w:r w:rsidR="001F0BCF">
        <w:rPr>
          <w:rFonts w:ascii="Verdana" w:hAnsi="Verdana"/>
        </w:rPr>
        <w:t>C</w:t>
      </w:r>
      <w:r w:rsidR="00AC1549" w:rsidRPr="00C55D07">
        <w:rPr>
          <w:rFonts w:ascii="Verdana" w:hAnsi="Verdana"/>
        </w:rPr>
        <w:t xml:space="preserve">ycling </w:t>
      </w:r>
      <w:r w:rsidR="001F0BCF">
        <w:rPr>
          <w:rFonts w:ascii="Verdana" w:hAnsi="Verdana"/>
        </w:rPr>
        <w:t>W</w:t>
      </w:r>
      <w:r w:rsidR="00AC1549" w:rsidRPr="00C55D07">
        <w:rPr>
          <w:rFonts w:ascii="Verdana" w:hAnsi="Verdana"/>
        </w:rPr>
        <w:t xml:space="preserve">alking </w:t>
      </w:r>
      <w:r w:rsidR="001F0BCF">
        <w:rPr>
          <w:rFonts w:ascii="Verdana" w:hAnsi="Verdana"/>
        </w:rPr>
        <w:t>&amp;</w:t>
      </w:r>
      <w:r w:rsidR="001F0BCF" w:rsidRPr="00C55D07">
        <w:rPr>
          <w:rFonts w:ascii="Verdana" w:hAnsi="Verdana"/>
        </w:rPr>
        <w:t xml:space="preserve"> </w:t>
      </w:r>
      <w:r w:rsidR="001F0BCF">
        <w:rPr>
          <w:rFonts w:ascii="Verdana" w:hAnsi="Verdana"/>
        </w:rPr>
        <w:t>S</w:t>
      </w:r>
      <w:r w:rsidR="00AC1549" w:rsidRPr="00C55D07">
        <w:rPr>
          <w:rFonts w:ascii="Verdana" w:hAnsi="Verdana"/>
        </w:rPr>
        <w:t xml:space="preserve">afer </w:t>
      </w:r>
      <w:r w:rsidR="001F0BCF">
        <w:rPr>
          <w:rFonts w:ascii="Verdana" w:hAnsi="Verdana"/>
        </w:rPr>
        <w:t>S</w:t>
      </w:r>
      <w:r w:rsidR="00AC1549" w:rsidRPr="00C55D07">
        <w:rPr>
          <w:rFonts w:ascii="Verdana" w:hAnsi="Verdana"/>
        </w:rPr>
        <w:t>treet</w:t>
      </w:r>
      <w:r w:rsidR="0021353C">
        <w:rPr>
          <w:rFonts w:ascii="Verdana" w:hAnsi="Verdana"/>
        </w:rPr>
        <w:t>s</w:t>
      </w:r>
      <w:r w:rsidR="00AC1549" w:rsidRPr="00C55D07">
        <w:rPr>
          <w:rFonts w:ascii="Verdana" w:hAnsi="Verdana"/>
        </w:rPr>
        <w:t xml:space="preserve"> </w:t>
      </w:r>
      <w:r w:rsidR="00401BD6">
        <w:rPr>
          <w:rFonts w:ascii="Verdana" w:hAnsi="Verdana"/>
        </w:rPr>
        <w:t>for 202</w:t>
      </w:r>
      <w:r w:rsidR="000D7AAD">
        <w:rPr>
          <w:rFonts w:ascii="Verdana" w:hAnsi="Verdana"/>
        </w:rPr>
        <w:t>4</w:t>
      </w:r>
      <w:r w:rsidR="00401BD6">
        <w:rPr>
          <w:rFonts w:ascii="Verdana" w:hAnsi="Verdana"/>
        </w:rPr>
        <w:t>/2</w:t>
      </w:r>
      <w:r w:rsidR="000D7AAD">
        <w:rPr>
          <w:rFonts w:ascii="Verdana" w:hAnsi="Verdana"/>
        </w:rPr>
        <w:t>5, an £8k increase on last year</w:t>
      </w:r>
      <w:r w:rsidR="00AC1549" w:rsidRPr="00C55D07">
        <w:rPr>
          <w:rFonts w:ascii="Verdana" w:hAnsi="Verdana"/>
        </w:rPr>
        <w:t>. The proposed</w:t>
      </w:r>
      <w:r w:rsidR="00062EA8">
        <w:rPr>
          <w:rFonts w:ascii="Verdana" w:hAnsi="Verdana"/>
        </w:rPr>
        <w:t xml:space="preserve"> </w:t>
      </w:r>
      <w:r w:rsidR="001529C4">
        <w:rPr>
          <w:rFonts w:ascii="Verdana" w:hAnsi="Verdana"/>
        </w:rPr>
        <w:t>10-year</w:t>
      </w:r>
      <w:r w:rsidR="00AC1549" w:rsidRPr="00C55D07">
        <w:rPr>
          <w:rFonts w:ascii="Verdana" w:hAnsi="Verdana"/>
        </w:rPr>
        <w:t xml:space="preserve"> plan assumes </w:t>
      </w:r>
      <w:r w:rsidR="004114C8">
        <w:rPr>
          <w:rFonts w:ascii="Verdana" w:hAnsi="Verdana"/>
        </w:rPr>
        <w:t xml:space="preserve">total </w:t>
      </w:r>
      <w:r w:rsidR="00AC1549" w:rsidRPr="00C55D07">
        <w:rPr>
          <w:rFonts w:ascii="Verdana" w:hAnsi="Verdana"/>
        </w:rPr>
        <w:t xml:space="preserve">specific grants </w:t>
      </w:r>
      <w:r w:rsidR="00557C93">
        <w:rPr>
          <w:rFonts w:ascii="Verdana" w:hAnsi="Verdana"/>
        </w:rPr>
        <w:t xml:space="preserve">from Scottish Government </w:t>
      </w:r>
      <w:r w:rsidR="00AC1549" w:rsidRPr="00557C93">
        <w:rPr>
          <w:rFonts w:ascii="Verdana" w:hAnsi="Verdana"/>
        </w:rPr>
        <w:t xml:space="preserve">of </w:t>
      </w:r>
      <w:r w:rsidR="00F13163" w:rsidRPr="00F13163">
        <w:rPr>
          <w:rFonts w:ascii="Verdana" w:hAnsi="Verdana"/>
        </w:rPr>
        <w:t>£</w:t>
      </w:r>
      <w:r w:rsidR="000D7AAD">
        <w:rPr>
          <w:rFonts w:ascii="Verdana" w:hAnsi="Verdana"/>
        </w:rPr>
        <w:t>5.9m</w:t>
      </w:r>
      <w:r w:rsidR="00AC1549" w:rsidRPr="00F13163">
        <w:rPr>
          <w:rFonts w:ascii="Verdana" w:hAnsi="Verdana"/>
        </w:rPr>
        <w:t xml:space="preserve"> over</w:t>
      </w:r>
      <w:r w:rsidR="00AC1549" w:rsidRPr="00557C93">
        <w:rPr>
          <w:rFonts w:ascii="Verdana" w:hAnsi="Verdana"/>
        </w:rPr>
        <w:t xml:space="preserve"> the </w:t>
      </w:r>
      <w:r w:rsidR="001529C4" w:rsidRPr="00557C93">
        <w:rPr>
          <w:rFonts w:ascii="Verdana" w:hAnsi="Verdana"/>
        </w:rPr>
        <w:t>10-year</w:t>
      </w:r>
      <w:r w:rsidR="00AC1549" w:rsidRPr="00C55D07">
        <w:rPr>
          <w:rFonts w:ascii="Verdana" w:hAnsi="Verdana"/>
        </w:rPr>
        <w:t xml:space="preserve"> period</w:t>
      </w:r>
      <w:r w:rsidR="00401BD6">
        <w:rPr>
          <w:rFonts w:ascii="Verdana" w:hAnsi="Verdana"/>
        </w:rPr>
        <w:t xml:space="preserve"> to 203</w:t>
      </w:r>
      <w:r w:rsidR="000D7AAD">
        <w:rPr>
          <w:rFonts w:ascii="Verdana" w:hAnsi="Verdana"/>
        </w:rPr>
        <w:t>3</w:t>
      </w:r>
      <w:r w:rsidR="00401BD6">
        <w:rPr>
          <w:rFonts w:ascii="Verdana" w:hAnsi="Verdana"/>
        </w:rPr>
        <w:t>/3</w:t>
      </w:r>
      <w:r w:rsidR="000D7AAD">
        <w:rPr>
          <w:rFonts w:ascii="Verdana" w:hAnsi="Verdana"/>
        </w:rPr>
        <w:t>4</w:t>
      </w:r>
      <w:r w:rsidR="00AC1549" w:rsidRPr="00C55D07">
        <w:rPr>
          <w:rFonts w:ascii="Verdana" w:hAnsi="Verdana"/>
        </w:rPr>
        <w:t>.</w:t>
      </w:r>
      <w:r w:rsidR="00AC1549">
        <w:rPr>
          <w:rFonts w:ascii="Verdana" w:hAnsi="Verdana"/>
        </w:rPr>
        <w:t xml:space="preserve">  </w:t>
      </w:r>
      <w:r w:rsidR="00AC1549">
        <w:rPr>
          <w:rFonts w:ascii="Verdana" w:hAnsi="Verdana"/>
        </w:rPr>
        <w:tab/>
      </w:r>
      <w:r w:rsidR="00AC1549">
        <w:rPr>
          <w:rFonts w:ascii="Verdana" w:hAnsi="Verdana"/>
        </w:rPr>
        <w:tab/>
      </w:r>
    </w:p>
    <w:p w14:paraId="0E186121" w14:textId="414E8BA2" w:rsidR="00AC1549" w:rsidRDefault="0060469B" w:rsidP="00F55D6D">
      <w:pPr>
        <w:pStyle w:val="BodyTextIndent"/>
        <w:tabs>
          <w:tab w:val="left" w:pos="567"/>
          <w:tab w:val="left" w:pos="1134"/>
        </w:tabs>
        <w:spacing w:before="60" w:after="60"/>
        <w:ind w:right="533"/>
        <w:rPr>
          <w:rFonts w:ascii="Verdana" w:hAnsi="Verdana"/>
          <w:b/>
        </w:rPr>
      </w:pPr>
      <w:r>
        <w:rPr>
          <w:rFonts w:ascii="Verdana" w:hAnsi="Verdana"/>
        </w:rPr>
        <w:tab/>
      </w:r>
      <w:r>
        <w:rPr>
          <w:rFonts w:ascii="Verdana" w:hAnsi="Verdana"/>
        </w:rPr>
        <w:tab/>
      </w:r>
      <w:r w:rsidR="00C869B8">
        <w:rPr>
          <w:rFonts w:ascii="Verdana" w:hAnsi="Verdana"/>
        </w:rPr>
        <w:t>8</w:t>
      </w:r>
      <w:r w:rsidR="00AC1549">
        <w:rPr>
          <w:rFonts w:ascii="Verdana" w:hAnsi="Verdana"/>
        </w:rPr>
        <w:t>.</w:t>
      </w:r>
      <w:r w:rsidR="002B1741">
        <w:rPr>
          <w:rFonts w:ascii="Verdana" w:hAnsi="Verdana"/>
        </w:rPr>
        <w:t>8</w:t>
      </w:r>
      <w:r w:rsidR="00AC1549">
        <w:rPr>
          <w:rFonts w:ascii="Verdana" w:hAnsi="Verdana"/>
        </w:rPr>
        <w:tab/>
      </w:r>
      <w:r w:rsidR="00AC1549">
        <w:rPr>
          <w:rFonts w:ascii="Verdana" w:hAnsi="Verdana"/>
          <w:b/>
        </w:rPr>
        <w:t>Other External Capital Grants &amp; Contributions</w:t>
      </w:r>
    </w:p>
    <w:p w14:paraId="699B82A8" w14:textId="7D105221" w:rsidR="007125F4" w:rsidRDefault="00AC1549" w:rsidP="00E53B12">
      <w:pPr>
        <w:pStyle w:val="BodyTextIndent"/>
        <w:spacing w:before="60" w:after="60"/>
        <w:ind w:left="1134" w:right="533" w:firstLine="0"/>
        <w:rPr>
          <w:rFonts w:ascii="Verdana" w:hAnsi="Verdana"/>
        </w:rPr>
      </w:pPr>
      <w:r>
        <w:rPr>
          <w:rFonts w:ascii="Verdana" w:hAnsi="Verdana"/>
        </w:rPr>
        <w:t>Many projects and program</w:t>
      </w:r>
      <w:r w:rsidR="00DE65BE">
        <w:rPr>
          <w:rFonts w:ascii="Verdana" w:hAnsi="Verdana"/>
        </w:rPr>
        <w:t>me</w:t>
      </w:r>
      <w:r>
        <w:rPr>
          <w:rFonts w:ascii="Verdana" w:hAnsi="Verdana"/>
        </w:rPr>
        <w:t xml:space="preserve">s are successful in bringing in matched funding from a range of external sources such as SportScotland, Historic </w:t>
      </w:r>
      <w:r w:rsidR="00A94AA7">
        <w:rPr>
          <w:rFonts w:ascii="Verdana" w:hAnsi="Verdana"/>
        </w:rPr>
        <w:t xml:space="preserve">Environment </w:t>
      </w:r>
      <w:r>
        <w:rPr>
          <w:rFonts w:ascii="Verdana" w:hAnsi="Verdana"/>
        </w:rPr>
        <w:t>Scotland</w:t>
      </w:r>
      <w:r w:rsidR="00E829EF">
        <w:rPr>
          <w:rFonts w:ascii="Verdana" w:hAnsi="Verdana"/>
        </w:rPr>
        <w:t xml:space="preserve">, </w:t>
      </w:r>
      <w:r w:rsidR="00F7302B">
        <w:rPr>
          <w:rFonts w:ascii="Verdana" w:hAnsi="Verdana"/>
        </w:rPr>
        <w:t xml:space="preserve">Scottish and UK Governments and Edinburgh and </w:t>
      </w:r>
      <w:proofErr w:type="gramStart"/>
      <w:r w:rsidR="00F7302B">
        <w:rPr>
          <w:rFonts w:ascii="Verdana" w:hAnsi="Verdana"/>
        </w:rPr>
        <w:t>South East</w:t>
      </w:r>
      <w:proofErr w:type="gramEnd"/>
      <w:r w:rsidR="00F7302B">
        <w:rPr>
          <w:rFonts w:ascii="Verdana" w:hAnsi="Verdana"/>
        </w:rPr>
        <w:t xml:space="preserve"> Scotland City Deal</w:t>
      </w:r>
      <w:r>
        <w:rPr>
          <w:rFonts w:ascii="Verdana" w:hAnsi="Verdana"/>
        </w:rPr>
        <w:t>.  These funds each come with specific conditions and are usually time limited.</w:t>
      </w:r>
      <w:r w:rsidR="000D7AAD">
        <w:rPr>
          <w:rFonts w:ascii="Verdana" w:hAnsi="Verdana"/>
        </w:rPr>
        <w:t xml:space="preserve"> We currently anticipate funding of £</w:t>
      </w:r>
      <w:r w:rsidR="003F2DA7">
        <w:rPr>
          <w:rFonts w:ascii="Verdana" w:hAnsi="Verdana"/>
        </w:rPr>
        <w:t>115</w:t>
      </w:r>
      <w:r w:rsidR="000D7AAD">
        <w:rPr>
          <w:rFonts w:ascii="Verdana" w:hAnsi="Verdana"/>
        </w:rPr>
        <w:t>m over the 10 years of the plan, the most significant of which are Borderland</w:t>
      </w:r>
      <w:r w:rsidR="00A615FD">
        <w:rPr>
          <w:rFonts w:ascii="Verdana" w:hAnsi="Verdana"/>
        </w:rPr>
        <w:t>s</w:t>
      </w:r>
      <w:r w:rsidR="000D7AAD">
        <w:rPr>
          <w:rFonts w:ascii="Verdana" w:hAnsi="Verdana"/>
        </w:rPr>
        <w:t xml:space="preserve"> (£58.8m) and the Borders Innovation </w:t>
      </w:r>
      <w:r w:rsidR="002A54EC">
        <w:rPr>
          <w:rFonts w:ascii="Verdana" w:hAnsi="Verdana"/>
        </w:rPr>
        <w:t>P</w:t>
      </w:r>
      <w:r w:rsidR="000D7AAD">
        <w:rPr>
          <w:rFonts w:ascii="Verdana" w:hAnsi="Verdana"/>
        </w:rPr>
        <w:t>ark (£14.3m)</w:t>
      </w:r>
      <w:r w:rsidR="00995916">
        <w:rPr>
          <w:rFonts w:ascii="Verdana" w:hAnsi="Verdana"/>
        </w:rPr>
        <w:t>.</w:t>
      </w:r>
    </w:p>
    <w:p w14:paraId="06A03866" w14:textId="77777777" w:rsidR="00E53B12" w:rsidRDefault="00E53B12" w:rsidP="00E53B12">
      <w:pPr>
        <w:pStyle w:val="BodyTextIndent"/>
        <w:spacing w:before="60" w:after="60"/>
        <w:ind w:left="1134" w:right="533" w:firstLine="0"/>
        <w:rPr>
          <w:rFonts w:ascii="Verdana" w:hAnsi="Verdana"/>
        </w:rPr>
      </w:pPr>
    </w:p>
    <w:p w14:paraId="00E8E856" w14:textId="72915C43" w:rsidR="00AC1549" w:rsidRDefault="00BB0C8C" w:rsidP="00F55D6D">
      <w:pPr>
        <w:pStyle w:val="BodyTextIndent"/>
        <w:tabs>
          <w:tab w:val="left" w:pos="567"/>
          <w:tab w:val="left" w:pos="1134"/>
        </w:tabs>
        <w:spacing w:before="60" w:after="60"/>
        <w:ind w:right="533"/>
        <w:rPr>
          <w:rFonts w:ascii="Verdana" w:hAnsi="Verdana"/>
          <w:b/>
        </w:rPr>
      </w:pPr>
      <w:r>
        <w:rPr>
          <w:rFonts w:ascii="Verdana" w:hAnsi="Verdana"/>
        </w:rPr>
        <w:lastRenderedPageBreak/>
        <w:tab/>
      </w:r>
      <w:r w:rsidR="0060469B">
        <w:rPr>
          <w:rFonts w:ascii="Verdana" w:hAnsi="Verdana"/>
        </w:rPr>
        <w:tab/>
      </w:r>
      <w:r w:rsidR="00C869B8">
        <w:rPr>
          <w:rFonts w:ascii="Verdana" w:hAnsi="Verdana"/>
        </w:rPr>
        <w:t>8</w:t>
      </w:r>
      <w:r w:rsidR="00AC1549">
        <w:rPr>
          <w:rFonts w:ascii="Verdana" w:hAnsi="Verdana"/>
        </w:rPr>
        <w:t>.</w:t>
      </w:r>
      <w:r w:rsidR="002B1741">
        <w:rPr>
          <w:rFonts w:ascii="Verdana" w:hAnsi="Verdana"/>
        </w:rPr>
        <w:t>9</w:t>
      </w:r>
      <w:r w:rsidR="00AC1549">
        <w:rPr>
          <w:rFonts w:ascii="Verdana" w:hAnsi="Verdana"/>
        </w:rPr>
        <w:tab/>
      </w:r>
      <w:r w:rsidR="00AC1549">
        <w:rPr>
          <w:rFonts w:ascii="Verdana" w:hAnsi="Verdana"/>
          <w:b/>
        </w:rPr>
        <w:t>Development Contributions</w:t>
      </w:r>
    </w:p>
    <w:p w14:paraId="0225CE8A" w14:textId="4C3295D7" w:rsidR="00AC1549" w:rsidRDefault="00AC1549" w:rsidP="00E53B12">
      <w:pPr>
        <w:pStyle w:val="BodyTextIndent"/>
        <w:spacing w:before="60" w:after="60"/>
        <w:ind w:left="1701" w:right="533" w:hanging="567"/>
        <w:rPr>
          <w:rFonts w:ascii="Verdana" w:hAnsi="Verdana"/>
        </w:rPr>
      </w:pPr>
      <w:r>
        <w:rPr>
          <w:rFonts w:ascii="Verdana" w:hAnsi="Verdana"/>
        </w:rPr>
        <w:t>(a)</w:t>
      </w:r>
      <w:r>
        <w:rPr>
          <w:rFonts w:ascii="Verdana" w:hAnsi="Verdana"/>
        </w:rPr>
        <w:tab/>
      </w:r>
      <w:r w:rsidR="00310CC2">
        <w:rPr>
          <w:rFonts w:ascii="Verdana" w:hAnsi="Verdana"/>
        </w:rPr>
        <w:t xml:space="preserve">Development </w:t>
      </w:r>
      <w:r w:rsidR="001B6200">
        <w:rPr>
          <w:rFonts w:ascii="Verdana" w:hAnsi="Verdana"/>
        </w:rPr>
        <w:t xml:space="preserve">Contributions are contributions made by private developers for specific </w:t>
      </w:r>
      <w:r w:rsidR="000D7AAD">
        <w:rPr>
          <w:rFonts w:ascii="Verdana" w:hAnsi="Verdana"/>
        </w:rPr>
        <w:t>infrastructure costs associated with the impact of their development</w:t>
      </w:r>
      <w:r w:rsidR="001B6200">
        <w:rPr>
          <w:rFonts w:ascii="Verdana" w:hAnsi="Verdana"/>
        </w:rPr>
        <w:t xml:space="preserve">.  Legal agreements in place detail the terms of both the location and type of asset.  Due to the uncertainty of the timing on payment of these it is not prudent to </w:t>
      </w:r>
      <w:r w:rsidR="0005171F">
        <w:rPr>
          <w:rFonts w:ascii="Verdana" w:hAnsi="Verdana"/>
        </w:rPr>
        <w:t>assume</w:t>
      </w:r>
      <w:r w:rsidR="001B6200">
        <w:rPr>
          <w:rFonts w:ascii="Verdana" w:hAnsi="Verdana"/>
        </w:rPr>
        <w:t xml:space="preserve"> large sums of development contributions being received at the same time as the assets are being constructed.  This means the Council is required to either use the General Capital Grant or </w:t>
      </w:r>
      <w:r w:rsidR="00427686">
        <w:rPr>
          <w:rFonts w:ascii="Verdana" w:hAnsi="Verdana"/>
        </w:rPr>
        <w:t>b</w:t>
      </w:r>
      <w:r w:rsidR="001B6200">
        <w:rPr>
          <w:rFonts w:ascii="Verdana" w:hAnsi="Verdana"/>
        </w:rPr>
        <w:t>orrowing to front fund the construction until the contributions are received.</w:t>
      </w:r>
    </w:p>
    <w:p w14:paraId="7F712673" w14:textId="50FB2F34" w:rsidR="004114C8" w:rsidRDefault="001B6200" w:rsidP="00E53B12">
      <w:pPr>
        <w:pStyle w:val="BodyTextIndent"/>
        <w:spacing w:before="60" w:after="60"/>
        <w:ind w:left="1701" w:right="533" w:hanging="567"/>
        <w:rPr>
          <w:rFonts w:ascii="Verdana" w:hAnsi="Verdana"/>
        </w:rPr>
      </w:pPr>
      <w:r>
        <w:rPr>
          <w:rFonts w:ascii="Verdana" w:hAnsi="Verdana"/>
        </w:rPr>
        <w:t>(b)</w:t>
      </w:r>
      <w:r>
        <w:rPr>
          <w:rFonts w:ascii="Verdana" w:hAnsi="Verdana"/>
        </w:rPr>
        <w:tab/>
      </w:r>
      <w:r w:rsidRPr="004F4BE8">
        <w:rPr>
          <w:rFonts w:ascii="Verdana" w:hAnsi="Verdana"/>
        </w:rPr>
        <w:t xml:space="preserve">The proposed Plan includes an </w:t>
      </w:r>
      <w:r w:rsidRPr="00F13163">
        <w:rPr>
          <w:rFonts w:ascii="Verdana" w:hAnsi="Verdana"/>
        </w:rPr>
        <w:t xml:space="preserve">assumed </w:t>
      </w:r>
      <w:r w:rsidR="00F13163" w:rsidRPr="00F13163">
        <w:rPr>
          <w:rFonts w:ascii="Verdana" w:hAnsi="Verdana"/>
        </w:rPr>
        <w:t>£</w:t>
      </w:r>
      <w:r w:rsidR="005C1122">
        <w:rPr>
          <w:rFonts w:ascii="Verdana" w:hAnsi="Verdana"/>
        </w:rPr>
        <w:t>6.9</w:t>
      </w:r>
      <w:r w:rsidRPr="00F13163">
        <w:rPr>
          <w:rFonts w:ascii="Verdana" w:hAnsi="Verdana"/>
        </w:rPr>
        <w:t>m</w:t>
      </w:r>
      <w:r w:rsidRPr="00557C93">
        <w:rPr>
          <w:rFonts w:ascii="Verdana" w:hAnsi="Verdana"/>
        </w:rPr>
        <w:t xml:space="preserve"> of</w:t>
      </w:r>
      <w:r>
        <w:rPr>
          <w:rFonts w:ascii="Verdana" w:hAnsi="Verdana"/>
        </w:rPr>
        <w:t xml:space="preserve"> development</w:t>
      </w:r>
      <w:r w:rsidRPr="004F4BE8">
        <w:rPr>
          <w:rFonts w:ascii="Verdana" w:hAnsi="Verdana"/>
        </w:rPr>
        <w:t xml:space="preserve"> contributions</w:t>
      </w:r>
      <w:r>
        <w:rPr>
          <w:rFonts w:ascii="Verdana" w:hAnsi="Verdana"/>
        </w:rPr>
        <w:t xml:space="preserve"> over the next </w:t>
      </w:r>
      <w:r w:rsidR="00DA31A6">
        <w:rPr>
          <w:rFonts w:ascii="Verdana" w:hAnsi="Verdana"/>
        </w:rPr>
        <w:t>10-year</w:t>
      </w:r>
      <w:r>
        <w:rPr>
          <w:rFonts w:ascii="Verdana" w:hAnsi="Verdana"/>
        </w:rPr>
        <w:t xml:space="preserve"> period.</w:t>
      </w:r>
    </w:p>
    <w:p w14:paraId="0A8A74AC" w14:textId="1B43C12F" w:rsidR="00995916" w:rsidRDefault="0060469B" w:rsidP="001B6200">
      <w:pPr>
        <w:pStyle w:val="BodyTextIndent"/>
        <w:spacing w:before="60" w:after="60"/>
        <w:ind w:right="533"/>
        <w:rPr>
          <w:rFonts w:ascii="Verdana" w:hAnsi="Verdana"/>
        </w:rPr>
      </w:pPr>
      <w:r>
        <w:rPr>
          <w:rFonts w:ascii="Verdana" w:hAnsi="Verdana"/>
        </w:rPr>
        <w:tab/>
      </w:r>
      <w:r>
        <w:rPr>
          <w:rFonts w:ascii="Verdana" w:hAnsi="Verdana"/>
        </w:rPr>
        <w:tab/>
      </w:r>
    </w:p>
    <w:p w14:paraId="61E7CE94" w14:textId="4765801B" w:rsidR="001B6200" w:rsidRDefault="00C869B8" w:rsidP="00F55D6D">
      <w:pPr>
        <w:pStyle w:val="BodyTextIndent"/>
        <w:tabs>
          <w:tab w:val="left" w:pos="1134"/>
        </w:tabs>
        <w:spacing w:before="60" w:after="60"/>
        <w:ind w:right="533" w:firstLine="283"/>
        <w:rPr>
          <w:rFonts w:ascii="Verdana" w:hAnsi="Verdana"/>
          <w:b/>
        </w:rPr>
      </w:pPr>
      <w:r>
        <w:rPr>
          <w:rFonts w:ascii="Verdana" w:hAnsi="Verdana"/>
        </w:rPr>
        <w:t>8</w:t>
      </w:r>
      <w:r w:rsidR="001B6200">
        <w:rPr>
          <w:rFonts w:ascii="Verdana" w:hAnsi="Verdana"/>
        </w:rPr>
        <w:t>.</w:t>
      </w:r>
      <w:r w:rsidR="00266037">
        <w:rPr>
          <w:rFonts w:ascii="Verdana" w:hAnsi="Verdana"/>
        </w:rPr>
        <w:t>10</w:t>
      </w:r>
      <w:r w:rsidR="001B6200">
        <w:rPr>
          <w:rFonts w:ascii="Verdana" w:hAnsi="Verdana"/>
        </w:rPr>
        <w:tab/>
      </w:r>
      <w:r w:rsidR="001B6200" w:rsidRPr="00E53808">
        <w:rPr>
          <w:rFonts w:ascii="Verdana" w:hAnsi="Verdana"/>
          <w:b/>
        </w:rPr>
        <w:t>Capital Receipts</w:t>
      </w:r>
    </w:p>
    <w:p w14:paraId="14ECE912" w14:textId="77777777" w:rsidR="001B6200" w:rsidRDefault="001B6200" w:rsidP="00E53B12">
      <w:pPr>
        <w:pStyle w:val="BodyTextIndent"/>
        <w:spacing w:before="60" w:after="60"/>
        <w:ind w:left="1701" w:right="533" w:hanging="567"/>
        <w:rPr>
          <w:rFonts w:ascii="Verdana" w:hAnsi="Verdana"/>
        </w:rPr>
      </w:pPr>
      <w:r>
        <w:rPr>
          <w:rFonts w:ascii="Verdana" w:hAnsi="Verdana"/>
        </w:rPr>
        <w:t>(a)</w:t>
      </w:r>
      <w:r>
        <w:rPr>
          <w:rFonts w:ascii="Verdana" w:hAnsi="Verdana"/>
        </w:rPr>
        <w:tab/>
        <w:t xml:space="preserve">Capital Receipts are funds generated from the disposal of capital assets.  These funds are held in the Capital Fund and used to either finance new capital expenditure </w:t>
      </w:r>
      <w:r w:rsidR="00200782">
        <w:rPr>
          <w:rFonts w:ascii="Verdana" w:hAnsi="Verdana"/>
        </w:rPr>
        <w:t>or repay existing loan principal</w:t>
      </w:r>
      <w:r>
        <w:rPr>
          <w:rFonts w:ascii="Verdana" w:hAnsi="Verdana"/>
        </w:rPr>
        <w:t>.  The estimate is reviewed on a regular basis to determine assets available for disposal and their likely disposal value and timing.</w:t>
      </w:r>
    </w:p>
    <w:p w14:paraId="74401C48" w14:textId="004C2836" w:rsidR="00EB0984" w:rsidRDefault="001B6200" w:rsidP="00E53B12">
      <w:pPr>
        <w:pStyle w:val="BodyTextIndent"/>
        <w:spacing w:before="60" w:after="60"/>
        <w:ind w:left="1701" w:right="533" w:hanging="567"/>
        <w:rPr>
          <w:rFonts w:ascii="Verdana" w:hAnsi="Verdana"/>
        </w:rPr>
      </w:pPr>
      <w:r>
        <w:rPr>
          <w:rFonts w:ascii="Verdana" w:hAnsi="Verdana"/>
        </w:rPr>
        <w:t>(b)</w:t>
      </w:r>
      <w:r>
        <w:rPr>
          <w:rFonts w:ascii="Verdana" w:hAnsi="Verdana"/>
        </w:rPr>
        <w:tab/>
        <w:t xml:space="preserve">The Plan </w:t>
      </w:r>
      <w:r w:rsidR="008807CB" w:rsidRPr="00F13163">
        <w:rPr>
          <w:rFonts w:ascii="Verdana" w:hAnsi="Verdana"/>
        </w:rPr>
        <w:t>assumes</w:t>
      </w:r>
      <w:r w:rsidRPr="00F13163">
        <w:rPr>
          <w:rFonts w:ascii="Verdana" w:hAnsi="Verdana"/>
        </w:rPr>
        <w:t xml:space="preserve"> </w:t>
      </w:r>
      <w:r w:rsidR="008807CB" w:rsidRPr="00F13163">
        <w:rPr>
          <w:rFonts w:ascii="Verdana" w:hAnsi="Verdana"/>
        </w:rPr>
        <w:t>£</w:t>
      </w:r>
      <w:r w:rsidR="0043612B">
        <w:rPr>
          <w:rFonts w:ascii="Verdana" w:hAnsi="Verdana"/>
        </w:rPr>
        <w:t>6.</w:t>
      </w:r>
      <w:r w:rsidR="00EE610E">
        <w:rPr>
          <w:rFonts w:ascii="Verdana" w:hAnsi="Verdana"/>
        </w:rPr>
        <w:t>9</w:t>
      </w:r>
      <w:r w:rsidRPr="00F13163">
        <w:rPr>
          <w:rFonts w:ascii="Verdana" w:hAnsi="Verdana"/>
        </w:rPr>
        <w:t>m of capital receipts being generated over first 3 years of the plan</w:t>
      </w:r>
      <w:r w:rsidR="0043612B">
        <w:rPr>
          <w:rFonts w:ascii="Verdana" w:hAnsi="Verdana"/>
        </w:rPr>
        <w:t xml:space="preserve"> with a further £1.5m generated in 2027/28</w:t>
      </w:r>
      <w:r w:rsidRPr="00F13163">
        <w:rPr>
          <w:rFonts w:ascii="Verdana" w:hAnsi="Verdana"/>
        </w:rPr>
        <w:t>.  The assumptions around the deliverability of these</w:t>
      </w:r>
      <w:r>
        <w:rPr>
          <w:rFonts w:ascii="Verdana" w:hAnsi="Verdana"/>
        </w:rPr>
        <w:t xml:space="preserve"> will be subject to ongoing review</w:t>
      </w:r>
      <w:r w:rsidR="0043612B">
        <w:rPr>
          <w:rFonts w:ascii="Verdana" w:hAnsi="Verdana"/>
        </w:rPr>
        <w:t xml:space="preserve"> and will be updated </w:t>
      </w:r>
      <w:r w:rsidR="00264EF5">
        <w:rPr>
          <w:rFonts w:ascii="Verdana" w:hAnsi="Verdana"/>
        </w:rPr>
        <w:t xml:space="preserve">in line with </w:t>
      </w:r>
      <w:r w:rsidR="00E66F54">
        <w:rPr>
          <w:rFonts w:ascii="Verdana" w:hAnsi="Verdana"/>
        </w:rPr>
        <w:t>the ongoing asset rationalisation work</w:t>
      </w:r>
      <w:r>
        <w:rPr>
          <w:rFonts w:ascii="Verdana" w:hAnsi="Verdana"/>
        </w:rPr>
        <w:t>.</w:t>
      </w:r>
      <w:r w:rsidR="00DC489B">
        <w:rPr>
          <w:rFonts w:ascii="Verdana" w:hAnsi="Verdana"/>
        </w:rPr>
        <w:t xml:space="preserve">  </w:t>
      </w:r>
    </w:p>
    <w:p w14:paraId="692443D8" w14:textId="6EEE94B1" w:rsidR="001B6200" w:rsidRPr="00AD434C" w:rsidRDefault="001B6200" w:rsidP="00F55D6D">
      <w:pPr>
        <w:pStyle w:val="BodyTextIndent"/>
        <w:tabs>
          <w:tab w:val="left" w:pos="567"/>
          <w:tab w:val="left" w:pos="1134"/>
        </w:tabs>
        <w:spacing w:before="60" w:after="60"/>
        <w:ind w:left="34" w:hanging="34"/>
        <w:rPr>
          <w:rFonts w:ascii="Verdana" w:hAnsi="Verdana"/>
          <w:b/>
        </w:rPr>
      </w:pPr>
      <w:r>
        <w:rPr>
          <w:rFonts w:ascii="Verdana" w:hAnsi="Verdana"/>
        </w:rPr>
        <w:tab/>
      </w:r>
      <w:r w:rsidR="0060469B">
        <w:rPr>
          <w:rFonts w:ascii="Verdana" w:hAnsi="Verdana"/>
        </w:rPr>
        <w:tab/>
      </w:r>
      <w:r w:rsidR="00C869B8">
        <w:rPr>
          <w:rFonts w:ascii="Verdana" w:hAnsi="Verdana"/>
        </w:rPr>
        <w:t>8</w:t>
      </w:r>
      <w:r>
        <w:rPr>
          <w:rFonts w:ascii="Verdana" w:hAnsi="Verdana"/>
        </w:rPr>
        <w:t>.</w:t>
      </w:r>
      <w:r w:rsidR="00266037">
        <w:rPr>
          <w:rFonts w:ascii="Verdana" w:hAnsi="Verdana"/>
        </w:rPr>
        <w:t>11</w:t>
      </w:r>
      <w:r>
        <w:rPr>
          <w:rFonts w:ascii="Verdana" w:hAnsi="Verdana"/>
        </w:rPr>
        <w:tab/>
      </w:r>
      <w:r>
        <w:rPr>
          <w:rFonts w:ascii="Verdana" w:hAnsi="Verdana"/>
          <w:b/>
        </w:rPr>
        <w:t>General Capital Grant future years</w:t>
      </w:r>
    </w:p>
    <w:p w14:paraId="2F4B96A7" w14:textId="4BA042B2" w:rsidR="001B6200" w:rsidRDefault="001B6200" w:rsidP="00E53B12">
      <w:pPr>
        <w:pStyle w:val="BodyTextIndent"/>
        <w:spacing w:before="60" w:after="60"/>
        <w:ind w:left="1134" w:right="533" w:firstLine="0"/>
        <w:rPr>
          <w:rFonts w:ascii="Verdana" w:hAnsi="Verdana"/>
        </w:rPr>
      </w:pPr>
      <w:r w:rsidRPr="00730944">
        <w:rPr>
          <w:rFonts w:ascii="Verdana" w:hAnsi="Verdana"/>
        </w:rPr>
        <w:t xml:space="preserve">The total estimated Capital Grant over the period of the </w:t>
      </w:r>
      <w:r w:rsidR="003E52C8">
        <w:rPr>
          <w:rFonts w:ascii="Verdana" w:hAnsi="Verdana"/>
        </w:rPr>
        <w:t>p</w:t>
      </w:r>
      <w:r w:rsidRPr="00730944">
        <w:rPr>
          <w:rFonts w:ascii="Verdana" w:hAnsi="Verdana"/>
        </w:rPr>
        <w:t xml:space="preserve">lan is estimated </w:t>
      </w:r>
      <w:r w:rsidRPr="00F13163">
        <w:rPr>
          <w:rFonts w:ascii="Verdana" w:hAnsi="Verdana"/>
        </w:rPr>
        <w:t>at £</w:t>
      </w:r>
      <w:r w:rsidR="00122364" w:rsidRPr="00F13163">
        <w:rPr>
          <w:rFonts w:ascii="Verdana" w:hAnsi="Verdana"/>
        </w:rPr>
        <w:t>1</w:t>
      </w:r>
      <w:r w:rsidR="00F13163" w:rsidRPr="00F13163">
        <w:rPr>
          <w:rFonts w:ascii="Verdana" w:hAnsi="Verdana"/>
        </w:rPr>
        <w:t>11</w:t>
      </w:r>
      <w:r w:rsidR="00122364" w:rsidRPr="00F13163">
        <w:rPr>
          <w:rFonts w:ascii="Verdana" w:hAnsi="Verdana"/>
        </w:rPr>
        <w:t>.</w:t>
      </w:r>
      <w:r w:rsidR="000D7AAD">
        <w:rPr>
          <w:rFonts w:ascii="Verdana" w:hAnsi="Verdana"/>
        </w:rPr>
        <w:t>2</w:t>
      </w:r>
      <w:r w:rsidR="00122364" w:rsidRPr="00F13163">
        <w:rPr>
          <w:rFonts w:ascii="Verdana" w:hAnsi="Verdana"/>
        </w:rPr>
        <w:t>m</w:t>
      </w:r>
      <w:r w:rsidRPr="00F13163">
        <w:rPr>
          <w:rFonts w:ascii="Verdana" w:hAnsi="Verdana"/>
        </w:rPr>
        <w:t>.  Should</w:t>
      </w:r>
      <w:r>
        <w:rPr>
          <w:rFonts w:ascii="Verdana" w:hAnsi="Verdana"/>
        </w:rPr>
        <w:t xml:space="preserve"> resources vary from current projections in future years this may require the </w:t>
      </w:r>
      <w:r w:rsidR="00F610C6">
        <w:rPr>
          <w:rFonts w:ascii="Verdana" w:hAnsi="Verdana"/>
        </w:rPr>
        <w:t xml:space="preserve">associated borrowing levels, </w:t>
      </w:r>
      <w:r>
        <w:rPr>
          <w:rFonts w:ascii="Verdana" w:hAnsi="Verdana"/>
        </w:rPr>
        <w:t>phasing and prioritisation of projects within the Capital Plan to be revisited</w:t>
      </w:r>
      <w:r w:rsidRPr="00D531DA">
        <w:rPr>
          <w:rFonts w:ascii="Verdana" w:hAnsi="Verdana"/>
        </w:rPr>
        <w:t xml:space="preserve">. </w:t>
      </w:r>
    </w:p>
    <w:p w14:paraId="01DF4EB4" w14:textId="7D43FC0F" w:rsidR="001B6200" w:rsidRDefault="0060469B" w:rsidP="00F55D6D">
      <w:pPr>
        <w:pStyle w:val="BodyTextIndent"/>
        <w:tabs>
          <w:tab w:val="left" w:pos="1134"/>
        </w:tabs>
        <w:spacing w:before="60" w:after="60"/>
        <w:ind w:left="567" w:right="533" w:hanging="426"/>
        <w:rPr>
          <w:rFonts w:ascii="Verdana" w:hAnsi="Verdana"/>
          <w:b/>
        </w:rPr>
      </w:pPr>
      <w:r>
        <w:rPr>
          <w:rFonts w:ascii="Verdana" w:hAnsi="Verdana"/>
        </w:rPr>
        <w:tab/>
      </w:r>
      <w:r w:rsidR="00C869B8">
        <w:rPr>
          <w:rFonts w:ascii="Verdana" w:hAnsi="Verdana"/>
        </w:rPr>
        <w:t>8</w:t>
      </w:r>
      <w:r w:rsidR="001B6200">
        <w:rPr>
          <w:rFonts w:ascii="Verdana" w:hAnsi="Verdana"/>
        </w:rPr>
        <w:t>.</w:t>
      </w:r>
      <w:r w:rsidR="00266037">
        <w:rPr>
          <w:rFonts w:ascii="Verdana" w:hAnsi="Verdana"/>
        </w:rPr>
        <w:t>12</w:t>
      </w:r>
      <w:r w:rsidR="001B6200">
        <w:rPr>
          <w:rFonts w:ascii="Verdana" w:hAnsi="Verdana"/>
        </w:rPr>
        <w:tab/>
      </w:r>
      <w:r w:rsidR="001B6200">
        <w:rPr>
          <w:rFonts w:ascii="Verdana" w:hAnsi="Verdana"/>
          <w:b/>
        </w:rPr>
        <w:t>Replacement Funds</w:t>
      </w:r>
    </w:p>
    <w:p w14:paraId="6EDAEE2F" w14:textId="77777777" w:rsidR="001B6200" w:rsidRDefault="001B6200" w:rsidP="00E53B12">
      <w:pPr>
        <w:pStyle w:val="BodyTextIndent"/>
        <w:spacing w:before="60" w:after="60"/>
        <w:ind w:left="1701" w:right="533" w:hanging="567"/>
        <w:rPr>
          <w:rFonts w:ascii="Verdana" w:hAnsi="Verdana"/>
        </w:rPr>
      </w:pPr>
      <w:r>
        <w:rPr>
          <w:rFonts w:ascii="Verdana" w:hAnsi="Verdana"/>
        </w:rPr>
        <w:t>(a)</w:t>
      </w:r>
      <w:r>
        <w:rPr>
          <w:rFonts w:ascii="Verdana" w:hAnsi="Verdana"/>
        </w:rPr>
        <w:tab/>
        <w:t xml:space="preserve">A fund was established by the Council in 2004 to ensure resources were in place for the continued replacement of its </w:t>
      </w:r>
      <w:r w:rsidR="004114C8">
        <w:rPr>
          <w:rFonts w:ascii="Verdana" w:hAnsi="Verdana"/>
        </w:rPr>
        <w:t xml:space="preserve">plant and vehicle </w:t>
      </w:r>
      <w:r>
        <w:rPr>
          <w:rFonts w:ascii="Verdana" w:hAnsi="Verdana"/>
        </w:rPr>
        <w:t xml:space="preserve">fleet. The fund is used to purchase the vehicles and then reimbursed by the department’s revenue budgets over the life of the vehicle. The Plan assumes purchases </w:t>
      </w:r>
      <w:r w:rsidRPr="007C2D87">
        <w:rPr>
          <w:rFonts w:ascii="Verdana" w:hAnsi="Verdana"/>
        </w:rPr>
        <w:t>of £2m</w:t>
      </w:r>
      <w:r>
        <w:rPr>
          <w:rFonts w:ascii="Verdana" w:hAnsi="Verdana"/>
        </w:rPr>
        <w:t xml:space="preserve"> per annum over the period of the Plan which will be fully funded.</w:t>
      </w:r>
    </w:p>
    <w:p w14:paraId="5FF07404" w14:textId="304F3238" w:rsidR="001B6200" w:rsidRPr="000D7AAD" w:rsidRDefault="001B6200" w:rsidP="00E53B12">
      <w:pPr>
        <w:pStyle w:val="BodyTextIndent"/>
        <w:spacing w:before="60" w:after="60"/>
        <w:ind w:left="1701" w:right="533" w:hanging="567"/>
        <w:rPr>
          <w:rFonts w:ascii="Verdana" w:hAnsi="Verdana"/>
          <w:b/>
          <w:highlight w:val="green"/>
        </w:rPr>
      </w:pPr>
      <w:r>
        <w:rPr>
          <w:rFonts w:ascii="Verdana" w:hAnsi="Verdana"/>
        </w:rPr>
        <w:t>(b)</w:t>
      </w:r>
      <w:r>
        <w:rPr>
          <w:rFonts w:ascii="Verdana" w:hAnsi="Verdana"/>
        </w:rPr>
        <w:tab/>
      </w:r>
      <w:r w:rsidRPr="000D7AAD">
        <w:rPr>
          <w:rFonts w:ascii="Verdana" w:hAnsi="Verdana"/>
        </w:rPr>
        <w:t>A Fund was established by the Council in 2016 to ensure resources were available to provide for the replacement of carpets on synthetic pitches.  The plan is based on assumed replacement lives of 10 years for each facility.</w:t>
      </w:r>
      <w:r w:rsidR="000D7AAD" w:rsidRPr="000D7AAD">
        <w:rPr>
          <w:rFonts w:ascii="Verdana" w:hAnsi="Verdana"/>
        </w:rPr>
        <w:t xml:space="preserve"> </w:t>
      </w:r>
    </w:p>
    <w:p w14:paraId="3C1ACA9F" w14:textId="1E6AD033" w:rsidR="000644B5" w:rsidRPr="001F0267" w:rsidRDefault="001F0267" w:rsidP="00E53B12">
      <w:pPr>
        <w:spacing w:before="60" w:after="60"/>
        <w:ind w:left="1701" w:hanging="567"/>
        <w:rPr>
          <w:rFonts w:ascii="Verdana" w:hAnsi="Verdana"/>
        </w:rPr>
      </w:pPr>
      <w:r w:rsidRPr="00715AD7">
        <w:rPr>
          <w:rFonts w:ascii="Verdana" w:hAnsi="Verdana"/>
        </w:rPr>
        <w:t>(c)</w:t>
      </w:r>
      <w:r w:rsidRPr="00715AD7">
        <w:rPr>
          <w:rFonts w:ascii="Verdana" w:hAnsi="Verdana"/>
        </w:rPr>
        <w:tab/>
        <w:t>A fund has been established by the Council to allow play facilities to be replaced at the end of their useful life.  The replacement life is dependent upon the type of play facility.</w:t>
      </w:r>
    </w:p>
    <w:p w14:paraId="54DA9A24" w14:textId="43AA29A7" w:rsidR="001B6200" w:rsidRDefault="0060469B" w:rsidP="00F81051">
      <w:pPr>
        <w:pStyle w:val="BodyTextIndent"/>
        <w:spacing w:before="60" w:after="60"/>
        <w:ind w:left="567" w:right="533"/>
        <w:rPr>
          <w:rFonts w:ascii="Verdana" w:hAnsi="Verdana"/>
          <w:b/>
        </w:rPr>
      </w:pPr>
      <w:r>
        <w:rPr>
          <w:rFonts w:ascii="Verdana" w:hAnsi="Verdana"/>
        </w:rPr>
        <w:tab/>
      </w:r>
      <w:r w:rsidR="00C869B8">
        <w:rPr>
          <w:rFonts w:ascii="Verdana" w:hAnsi="Verdana"/>
        </w:rPr>
        <w:t>8</w:t>
      </w:r>
      <w:r w:rsidR="001B6200">
        <w:rPr>
          <w:rFonts w:ascii="Verdana" w:hAnsi="Verdana"/>
        </w:rPr>
        <w:t>.</w:t>
      </w:r>
      <w:r w:rsidR="00266037">
        <w:rPr>
          <w:rFonts w:ascii="Verdana" w:hAnsi="Verdana"/>
        </w:rPr>
        <w:t>13</w:t>
      </w:r>
      <w:r w:rsidR="00F55D6D">
        <w:rPr>
          <w:rFonts w:ascii="Verdana" w:hAnsi="Verdana"/>
        </w:rPr>
        <w:t xml:space="preserve"> </w:t>
      </w:r>
      <w:r w:rsidR="001B6200" w:rsidRPr="00006D28">
        <w:rPr>
          <w:rFonts w:ascii="Verdana" w:hAnsi="Verdana"/>
          <w:b/>
        </w:rPr>
        <w:t>Borrowing</w:t>
      </w:r>
    </w:p>
    <w:p w14:paraId="61582C6B" w14:textId="46114E4D" w:rsidR="001B6200" w:rsidRDefault="001B6200" w:rsidP="00E53B12">
      <w:pPr>
        <w:pStyle w:val="BodyTextIndent"/>
        <w:spacing w:before="60" w:after="60"/>
        <w:ind w:left="1701" w:right="533" w:hanging="567"/>
        <w:rPr>
          <w:rFonts w:ascii="Verdana" w:hAnsi="Verdana"/>
        </w:rPr>
      </w:pPr>
      <w:r>
        <w:rPr>
          <w:rFonts w:ascii="Verdana" w:hAnsi="Verdana"/>
        </w:rPr>
        <w:lastRenderedPageBreak/>
        <w:t>(a)</w:t>
      </w:r>
      <w:r>
        <w:rPr>
          <w:rFonts w:ascii="Verdana" w:hAnsi="Verdana"/>
        </w:rPr>
        <w:tab/>
        <w:t xml:space="preserve">The balance of the funds required for the Plan is secured by borrowing.  Local Authorities are able to borrow to fund </w:t>
      </w:r>
      <w:r w:rsidR="00442FBA">
        <w:rPr>
          <w:rFonts w:ascii="Verdana" w:hAnsi="Verdana"/>
        </w:rPr>
        <w:t>c</w:t>
      </w:r>
      <w:r>
        <w:rPr>
          <w:rFonts w:ascii="Verdana" w:hAnsi="Verdana"/>
        </w:rPr>
        <w:t>apital expenditure, or if given specific consent by Scottish Government.  When determining the borrowing requirements</w:t>
      </w:r>
      <w:r w:rsidR="00560116">
        <w:rPr>
          <w:rFonts w:ascii="Verdana" w:hAnsi="Verdana"/>
        </w:rPr>
        <w:t>,</w:t>
      </w:r>
      <w:r>
        <w:rPr>
          <w:rFonts w:ascii="Verdana" w:hAnsi="Verdana"/>
        </w:rPr>
        <w:t xml:space="preserve"> the Council must follow the Prudential Code which requires Councils to ensure they are acting </w:t>
      </w:r>
      <w:r w:rsidR="0009044E">
        <w:rPr>
          <w:rFonts w:ascii="Verdana" w:hAnsi="Verdana"/>
        </w:rPr>
        <w:t>prudently</w:t>
      </w:r>
      <w:r w:rsidR="00361817">
        <w:rPr>
          <w:rFonts w:ascii="Verdana" w:hAnsi="Verdana"/>
        </w:rPr>
        <w:t xml:space="preserve"> </w:t>
      </w:r>
      <w:r>
        <w:rPr>
          <w:rFonts w:ascii="Verdana" w:hAnsi="Verdana"/>
        </w:rPr>
        <w:t>and sustainably.  The costs of borrowing are charged to revenue via the Loans Charges budgets.</w:t>
      </w:r>
    </w:p>
    <w:p w14:paraId="0EAD00CE" w14:textId="1A3625B0" w:rsidR="001B6200" w:rsidRDefault="001B6200" w:rsidP="00E53B12">
      <w:pPr>
        <w:pStyle w:val="BodyTextIndent"/>
        <w:spacing w:before="60" w:after="60"/>
        <w:ind w:left="1701" w:right="533" w:hanging="567"/>
        <w:rPr>
          <w:rFonts w:ascii="Verdana" w:hAnsi="Verdana"/>
        </w:rPr>
      </w:pPr>
      <w:r>
        <w:rPr>
          <w:rFonts w:ascii="Verdana" w:hAnsi="Verdana"/>
        </w:rPr>
        <w:t>(b)</w:t>
      </w:r>
      <w:r>
        <w:rPr>
          <w:rFonts w:ascii="Verdana" w:hAnsi="Verdana"/>
        </w:rPr>
        <w:tab/>
        <w:t xml:space="preserve">The proposed revenue budget to support capital through loans charges is set out </w:t>
      </w:r>
      <w:r w:rsidR="008807CB">
        <w:rPr>
          <w:rFonts w:ascii="Verdana" w:hAnsi="Verdana"/>
        </w:rPr>
        <w:t xml:space="preserve">in </w:t>
      </w:r>
      <w:r w:rsidR="008807CB" w:rsidRPr="005C7AF2">
        <w:rPr>
          <w:rFonts w:ascii="Verdana" w:hAnsi="Verdana"/>
        </w:rPr>
        <w:t xml:space="preserve">paragraph </w:t>
      </w:r>
      <w:r w:rsidR="005C7AF2" w:rsidRPr="005C7AF2">
        <w:rPr>
          <w:rFonts w:ascii="Verdana" w:hAnsi="Verdana"/>
        </w:rPr>
        <w:t>4.8</w:t>
      </w:r>
      <w:r w:rsidRPr="005C7AF2">
        <w:rPr>
          <w:rFonts w:ascii="Verdana" w:hAnsi="Verdana"/>
        </w:rPr>
        <w:t>.  D</w:t>
      </w:r>
      <w:r>
        <w:rPr>
          <w:rFonts w:ascii="Verdana" w:hAnsi="Verdana"/>
        </w:rPr>
        <w:t>ecisions to increase capital borrowing require permanent increases</w:t>
      </w:r>
      <w:r w:rsidR="000E2617">
        <w:rPr>
          <w:rFonts w:ascii="Verdana" w:hAnsi="Verdana"/>
        </w:rPr>
        <w:t xml:space="preserve"> to the</w:t>
      </w:r>
      <w:r w:rsidR="0013041E">
        <w:rPr>
          <w:rFonts w:ascii="Verdana" w:hAnsi="Verdana"/>
        </w:rPr>
        <w:t xml:space="preserve"> loans fund budget</w:t>
      </w:r>
      <w:r w:rsidR="00B86E6A">
        <w:rPr>
          <w:rFonts w:ascii="Verdana" w:hAnsi="Verdana"/>
        </w:rPr>
        <w:t xml:space="preserve"> and must be</w:t>
      </w:r>
      <w:r>
        <w:rPr>
          <w:rFonts w:ascii="Verdana" w:hAnsi="Verdana"/>
        </w:rPr>
        <w:t xml:space="preserve"> funded by savings or the generation of additional income</w:t>
      </w:r>
      <w:r w:rsidR="0013041E">
        <w:rPr>
          <w:rFonts w:ascii="Verdana" w:hAnsi="Verdana"/>
        </w:rPr>
        <w:t>.</w:t>
      </w:r>
    </w:p>
    <w:p w14:paraId="325E239B" w14:textId="203782A2" w:rsidR="00D9355D" w:rsidRPr="001B6200" w:rsidRDefault="001B6200" w:rsidP="00E53B12">
      <w:pPr>
        <w:pStyle w:val="BodyTextIndent"/>
        <w:spacing w:before="60" w:after="60"/>
        <w:ind w:left="1701" w:right="533" w:hanging="567"/>
        <w:rPr>
          <w:rFonts w:ascii="Verdana" w:hAnsi="Verdana"/>
        </w:rPr>
      </w:pPr>
      <w:r>
        <w:rPr>
          <w:rFonts w:ascii="Verdana" w:hAnsi="Verdana"/>
        </w:rPr>
        <w:t>(c)</w:t>
      </w:r>
      <w:r>
        <w:rPr>
          <w:rFonts w:ascii="Verdana" w:hAnsi="Verdana"/>
        </w:rPr>
        <w:tab/>
      </w:r>
      <w:r w:rsidRPr="00C717A4">
        <w:rPr>
          <w:rFonts w:ascii="Verdana" w:hAnsi="Verdana"/>
        </w:rPr>
        <w:t xml:space="preserve">The proposed Plan includes a total borrowing over the </w:t>
      </w:r>
      <w:r w:rsidR="00DA31A6" w:rsidRPr="00C717A4">
        <w:rPr>
          <w:rFonts w:ascii="Verdana" w:hAnsi="Verdana"/>
        </w:rPr>
        <w:t>10-year</w:t>
      </w:r>
      <w:r w:rsidRPr="00C717A4">
        <w:rPr>
          <w:rFonts w:ascii="Verdana" w:hAnsi="Verdana"/>
        </w:rPr>
        <w:t xml:space="preserve"> period </w:t>
      </w:r>
      <w:r w:rsidRPr="00122364">
        <w:rPr>
          <w:rFonts w:ascii="Verdana" w:hAnsi="Verdana"/>
        </w:rPr>
        <w:t xml:space="preserve">of </w:t>
      </w:r>
      <w:r w:rsidR="00122364" w:rsidRPr="00C659CC">
        <w:rPr>
          <w:rFonts w:ascii="Verdana" w:hAnsi="Verdana"/>
        </w:rPr>
        <w:t>£2</w:t>
      </w:r>
      <w:r w:rsidR="0013041E">
        <w:rPr>
          <w:rFonts w:ascii="Verdana" w:hAnsi="Verdana"/>
        </w:rPr>
        <w:t>20</w:t>
      </w:r>
      <w:r w:rsidRPr="00C659CC">
        <w:rPr>
          <w:rFonts w:ascii="Verdana" w:hAnsi="Verdana"/>
        </w:rPr>
        <w:t>m. It</w:t>
      </w:r>
      <w:r w:rsidRPr="00122364">
        <w:rPr>
          <w:rFonts w:ascii="Verdana" w:hAnsi="Verdana"/>
        </w:rPr>
        <w:t xml:space="preserve"> is estimated</w:t>
      </w:r>
      <w:r w:rsidR="004D4C80">
        <w:rPr>
          <w:rFonts w:ascii="Verdana" w:hAnsi="Verdana"/>
        </w:rPr>
        <w:t>,</w:t>
      </w:r>
      <w:r w:rsidRPr="00F74632">
        <w:rPr>
          <w:rFonts w:ascii="Verdana" w:hAnsi="Verdana"/>
        </w:rPr>
        <w:t xml:space="preserve"> based on assumptions around cash flow and interest</w:t>
      </w:r>
      <w:r w:rsidRPr="00C717A4">
        <w:rPr>
          <w:rFonts w:ascii="Verdana" w:hAnsi="Verdana"/>
        </w:rPr>
        <w:t xml:space="preserve"> rates</w:t>
      </w:r>
      <w:r w:rsidR="004D4C80">
        <w:rPr>
          <w:rFonts w:ascii="Verdana" w:hAnsi="Verdana"/>
        </w:rPr>
        <w:t>,</w:t>
      </w:r>
      <w:r w:rsidRPr="00C717A4">
        <w:rPr>
          <w:rFonts w:ascii="Verdana" w:hAnsi="Verdana"/>
        </w:rPr>
        <w:t xml:space="preserve"> that this is deliverable within the estimated revenue resources.  There is a risk if interest rates rise above the assumed levels </w:t>
      </w:r>
      <w:r>
        <w:rPr>
          <w:rFonts w:ascii="Verdana" w:hAnsi="Verdana"/>
        </w:rPr>
        <w:t xml:space="preserve">this </w:t>
      </w:r>
      <w:r w:rsidRPr="00C717A4">
        <w:rPr>
          <w:rFonts w:ascii="Verdana" w:hAnsi="Verdana"/>
        </w:rPr>
        <w:t xml:space="preserve">may result in additional charges.  This </w:t>
      </w:r>
      <w:r w:rsidR="004D4C80">
        <w:rPr>
          <w:rFonts w:ascii="Verdana" w:hAnsi="Verdana"/>
        </w:rPr>
        <w:t xml:space="preserve">is monitored </w:t>
      </w:r>
      <w:r w:rsidRPr="00C717A4">
        <w:rPr>
          <w:rFonts w:ascii="Verdana" w:hAnsi="Verdana"/>
        </w:rPr>
        <w:t>regular</w:t>
      </w:r>
      <w:r w:rsidR="004D4C80">
        <w:rPr>
          <w:rFonts w:ascii="Verdana" w:hAnsi="Verdana"/>
        </w:rPr>
        <w:t>ly, as described in the Treasury Management Strategy</w:t>
      </w:r>
      <w:r w:rsidRPr="00C717A4">
        <w:rPr>
          <w:rFonts w:ascii="Verdana" w:hAnsi="Verdana"/>
        </w:rPr>
        <w:t xml:space="preserve"> to ensure that the borrowing levels are sustainable and affordable.</w:t>
      </w:r>
    </w:p>
    <w:p w14:paraId="74992009" w14:textId="722BF664" w:rsidR="00ED51E6" w:rsidRDefault="000D7AAD" w:rsidP="00E53B12">
      <w:pPr>
        <w:ind w:left="1701" w:hanging="567"/>
        <w:rPr>
          <w:rFonts w:ascii="Verdana" w:hAnsi="Verdana"/>
        </w:rPr>
      </w:pPr>
      <w:r>
        <w:rPr>
          <w:rFonts w:ascii="Verdana" w:hAnsi="Verdana"/>
        </w:rPr>
        <w:t>(d)</w:t>
      </w:r>
      <w:r>
        <w:rPr>
          <w:rFonts w:ascii="Verdana" w:hAnsi="Verdana"/>
        </w:rPr>
        <w:tab/>
        <w:t>The borrowing requirements associated with the</w:t>
      </w:r>
      <w:r w:rsidR="008B74CF">
        <w:rPr>
          <w:rFonts w:ascii="Verdana" w:hAnsi="Verdana"/>
        </w:rPr>
        <w:t xml:space="preserve"> first 5 years of the proposed</w:t>
      </w:r>
      <w:r>
        <w:rPr>
          <w:rFonts w:ascii="Verdana" w:hAnsi="Verdana"/>
        </w:rPr>
        <w:t xml:space="preserve"> Capital </w:t>
      </w:r>
      <w:r w:rsidR="009E365F">
        <w:rPr>
          <w:rFonts w:ascii="Verdana" w:hAnsi="Verdana"/>
        </w:rPr>
        <w:t>P</w:t>
      </w:r>
      <w:r>
        <w:rPr>
          <w:rFonts w:ascii="Verdana" w:hAnsi="Verdana"/>
        </w:rPr>
        <w:t xml:space="preserve">lan are included within table 5 below. </w:t>
      </w:r>
      <w:r w:rsidRPr="00F13163">
        <w:rPr>
          <w:rFonts w:ascii="Verdana" w:hAnsi="Verdana"/>
        </w:rPr>
        <w:t xml:space="preserve">The </w:t>
      </w:r>
      <w:r>
        <w:rPr>
          <w:rFonts w:ascii="Verdana" w:hAnsi="Verdana"/>
        </w:rPr>
        <w:t xml:space="preserve">high level of </w:t>
      </w:r>
      <w:r w:rsidRPr="00F13163">
        <w:rPr>
          <w:rFonts w:ascii="Verdana" w:hAnsi="Verdana"/>
        </w:rPr>
        <w:t xml:space="preserve">loan charges over the </w:t>
      </w:r>
      <w:r>
        <w:rPr>
          <w:rFonts w:ascii="Verdana" w:hAnsi="Verdana"/>
        </w:rPr>
        <w:t xml:space="preserve">first 4 years of the </w:t>
      </w:r>
      <w:r w:rsidR="004D7036">
        <w:rPr>
          <w:rFonts w:ascii="Verdana" w:hAnsi="Verdana"/>
        </w:rPr>
        <w:t>P</w:t>
      </w:r>
      <w:r>
        <w:rPr>
          <w:rFonts w:ascii="Verdana" w:hAnsi="Verdana"/>
        </w:rPr>
        <w:t xml:space="preserve">lan </w:t>
      </w:r>
      <w:r w:rsidRPr="00F13163">
        <w:rPr>
          <w:rFonts w:ascii="Verdana" w:hAnsi="Verdana"/>
        </w:rPr>
        <w:t>is primarily driven by the construction of 3 new secondary schools, 2 new primary schools and two new care facilities</w:t>
      </w:r>
      <w:r>
        <w:rPr>
          <w:rFonts w:ascii="Verdana" w:hAnsi="Verdana"/>
        </w:rPr>
        <w:t xml:space="preserve">. The required increased revenue budgets to pay for the borrowing has been factored into the </w:t>
      </w:r>
      <w:r w:rsidR="004D7036">
        <w:rPr>
          <w:rFonts w:ascii="Verdana" w:hAnsi="Verdana"/>
        </w:rPr>
        <w:t>F</w:t>
      </w:r>
      <w:r>
        <w:rPr>
          <w:rFonts w:ascii="Verdana" w:hAnsi="Verdana"/>
        </w:rPr>
        <w:t xml:space="preserve">inancial </w:t>
      </w:r>
      <w:r w:rsidR="004D7036">
        <w:rPr>
          <w:rFonts w:ascii="Verdana" w:hAnsi="Verdana"/>
        </w:rPr>
        <w:t>P</w:t>
      </w:r>
      <w:r>
        <w:rPr>
          <w:rFonts w:ascii="Verdana" w:hAnsi="Verdana"/>
        </w:rPr>
        <w:t xml:space="preserve">lan. </w:t>
      </w:r>
    </w:p>
    <w:p w14:paraId="41728D00" w14:textId="77777777" w:rsidR="00ED51E6" w:rsidRDefault="00ED51E6" w:rsidP="00ED51E6">
      <w:pPr>
        <w:ind w:left="2160" w:hanging="720"/>
        <w:rPr>
          <w:rFonts w:ascii="Verdana" w:hAnsi="Verdana"/>
        </w:rPr>
      </w:pPr>
    </w:p>
    <w:p w14:paraId="59C6B1C2" w14:textId="39245235" w:rsidR="000D7AAD" w:rsidRPr="00ED51E6" w:rsidRDefault="000D7AAD" w:rsidP="00ED51E6">
      <w:pPr>
        <w:ind w:left="2160" w:hanging="720"/>
        <w:rPr>
          <w:rFonts w:ascii="Verdana" w:hAnsi="Verdana"/>
        </w:rPr>
      </w:pPr>
      <w:r w:rsidRPr="00632A32">
        <w:rPr>
          <w:rFonts w:ascii="Verdana" w:hAnsi="Verdana"/>
          <w:i/>
          <w:iCs/>
        </w:rPr>
        <w:t xml:space="preserve">Table </w:t>
      </w:r>
      <w:r w:rsidR="00ED51E6" w:rsidRPr="00632A32">
        <w:rPr>
          <w:rFonts w:ascii="Verdana" w:hAnsi="Verdana"/>
          <w:i/>
          <w:iCs/>
        </w:rPr>
        <w:t>4</w:t>
      </w:r>
      <w:r w:rsidRPr="00632A32">
        <w:rPr>
          <w:rFonts w:ascii="Verdana" w:hAnsi="Verdana"/>
          <w:i/>
          <w:iCs/>
        </w:rPr>
        <w:t>: anticipated borrowing levels</w:t>
      </w:r>
    </w:p>
    <w:p w14:paraId="369E3A97" w14:textId="77777777" w:rsidR="000D7AAD" w:rsidRDefault="000D7AAD" w:rsidP="000D7AAD">
      <w:pPr>
        <w:ind w:left="1440" w:hanging="720"/>
        <w:rPr>
          <w:rFonts w:ascii="Verdana" w:hAnsi="Verdana"/>
        </w:rPr>
      </w:pPr>
    </w:p>
    <w:tbl>
      <w:tblPr>
        <w:tblW w:w="2301" w:type="pct"/>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181"/>
      </w:tblGrid>
      <w:tr w:rsidR="000D7AAD" w:rsidRPr="002E5F92" w14:paraId="45DFF5C7" w14:textId="77777777" w:rsidTr="00ED51E6">
        <w:tc>
          <w:tcPr>
            <w:tcW w:w="2541" w:type="pct"/>
            <w:tcBorders>
              <w:top w:val="nil"/>
              <w:left w:val="nil"/>
            </w:tcBorders>
            <w:shd w:val="clear" w:color="auto" w:fill="auto"/>
          </w:tcPr>
          <w:p w14:paraId="6F3A87E6" w14:textId="77777777" w:rsidR="000D7AAD" w:rsidRPr="00402F7C" w:rsidRDefault="000D7AAD" w:rsidP="000D7AAD">
            <w:pPr>
              <w:pStyle w:val="BodyTextIndent"/>
              <w:spacing w:before="60" w:after="60"/>
              <w:ind w:left="0" w:firstLine="0"/>
              <w:rPr>
                <w:rFonts w:ascii="Verdana" w:hAnsi="Verdana"/>
              </w:rPr>
            </w:pPr>
          </w:p>
        </w:tc>
        <w:tc>
          <w:tcPr>
            <w:tcW w:w="2459" w:type="pct"/>
            <w:shd w:val="clear" w:color="auto" w:fill="auto"/>
          </w:tcPr>
          <w:p w14:paraId="337C629D" w14:textId="77777777" w:rsidR="000D7AAD" w:rsidRPr="00402F7C" w:rsidRDefault="000D7AAD" w:rsidP="000D7AAD">
            <w:pPr>
              <w:pStyle w:val="BodyTextIndent"/>
              <w:spacing w:before="60" w:after="60"/>
              <w:ind w:left="0" w:firstLine="0"/>
              <w:jc w:val="center"/>
              <w:rPr>
                <w:rFonts w:ascii="Verdana" w:hAnsi="Verdana"/>
                <w:b/>
              </w:rPr>
            </w:pPr>
            <w:r w:rsidRPr="00402F7C">
              <w:rPr>
                <w:rFonts w:ascii="Verdana" w:hAnsi="Verdana"/>
                <w:b/>
              </w:rPr>
              <w:t>£m</w:t>
            </w:r>
          </w:p>
        </w:tc>
      </w:tr>
      <w:tr w:rsidR="000D7AAD" w:rsidRPr="00F13163" w14:paraId="15E6D431" w14:textId="77777777" w:rsidTr="00ED51E6">
        <w:tc>
          <w:tcPr>
            <w:tcW w:w="2541" w:type="pct"/>
            <w:shd w:val="clear" w:color="auto" w:fill="auto"/>
          </w:tcPr>
          <w:p w14:paraId="3BE4BDD7" w14:textId="77777777" w:rsidR="000D7AAD" w:rsidRPr="00F13163" w:rsidRDefault="000D7AAD" w:rsidP="000D7AAD">
            <w:pPr>
              <w:pStyle w:val="BodyTextIndent"/>
              <w:spacing w:before="60" w:after="60"/>
              <w:ind w:left="0" w:firstLine="0"/>
              <w:rPr>
                <w:rFonts w:ascii="Verdana" w:hAnsi="Verdana"/>
              </w:rPr>
            </w:pPr>
            <w:r w:rsidRPr="00F13163">
              <w:rPr>
                <w:rFonts w:ascii="Verdana" w:hAnsi="Verdana"/>
              </w:rPr>
              <w:t>2024/25</w:t>
            </w:r>
          </w:p>
        </w:tc>
        <w:tc>
          <w:tcPr>
            <w:tcW w:w="2459" w:type="pct"/>
            <w:shd w:val="clear" w:color="auto" w:fill="auto"/>
          </w:tcPr>
          <w:p w14:paraId="5153C62F" w14:textId="77777777" w:rsidR="000D7AAD" w:rsidRPr="00F13163" w:rsidRDefault="000D7AAD" w:rsidP="000D7AAD">
            <w:pPr>
              <w:pStyle w:val="BodyTextIndent"/>
              <w:spacing w:before="60" w:after="60"/>
              <w:ind w:left="0" w:firstLine="0"/>
              <w:jc w:val="center"/>
              <w:rPr>
                <w:rFonts w:ascii="Verdana" w:hAnsi="Verdana"/>
              </w:rPr>
            </w:pPr>
            <w:r>
              <w:rPr>
                <w:rFonts w:ascii="Verdana" w:hAnsi="Verdana"/>
              </w:rPr>
              <w:t>75.3</w:t>
            </w:r>
          </w:p>
        </w:tc>
      </w:tr>
      <w:tr w:rsidR="000D7AAD" w:rsidRPr="00F13163" w14:paraId="1F657D9F" w14:textId="77777777" w:rsidTr="00ED51E6">
        <w:tc>
          <w:tcPr>
            <w:tcW w:w="2541" w:type="pct"/>
            <w:shd w:val="clear" w:color="auto" w:fill="auto"/>
          </w:tcPr>
          <w:p w14:paraId="53670A7B" w14:textId="77777777" w:rsidR="000D7AAD" w:rsidRPr="00F13163" w:rsidRDefault="000D7AAD" w:rsidP="000D7AAD">
            <w:pPr>
              <w:pStyle w:val="BodyTextIndent"/>
              <w:spacing w:before="60" w:after="60"/>
              <w:ind w:left="0" w:firstLine="0"/>
              <w:rPr>
                <w:rFonts w:ascii="Verdana" w:hAnsi="Verdana"/>
              </w:rPr>
            </w:pPr>
            <w:r w:rsidRPr="00F13163">
              <w:rPr>
                <w:rFonts w:ascii="Verdana" w:hAnsi="Verdana"/>
              </w:rPr>
              <w:t>2025/26</w:t>
            </w:r>
          </w:p>
        </w:tc>
        <w:tc>
          <w:tcPr>
            <w:tcW w:w="2459" w:type="pct"/>
            <w:shd w:val="clear" w:color="auto" w:fill="auto"/>
          </w:tcPr>
          <w:p w14:paraId="3309F0BE" w14:textId="77777777" w:rsidR="000D7AAD" w:rsidRPr="00F13163" w:rsidRDefault="000D7AAD" w:rsidP="000D7AAD">
            <w:pPr>
              <w:pStyle w:val="BodyTextIndent"/>
              <w:spacing w:before="60" w:after="60"/>
              <w:ind w:left="0" w:firstLine="0"/>
              <w:jc w:val="center"/>
              <w:rPr>
                <w:rFonts w:ascii="Verdana" w:hAnsi="Verdana"/>
              </w:rPr>
            </w:pPr>
            <w:r>
              <w:rPr>
                <w:rFonts w:ascii="Verdana" w:hAnsi="Verdana"/>
              </w:rPr>
              <w:t>62.8</w:t>
            </w:r>
          </w:p>
        </w:tc>
      </w:tr>
      <w:tr w:rsidR="000D7AAD" w:rsidRPr="00F13163" w14:paraId="12AE83BA" w14:textId="77777777" w:rsidTr="00ED51E6">
        <w:tc>
          <w:tcPr>
            <w:tcW w:w="2541" w:type="pct"/>
            <w:shd w:val="clear" w:color="auto" w:fill="auto"/>
          </w:tcPr>
          <w:p w14:paraId="1390F303" w14:textId="77777777" w:rsidR="000D7AAD" w:rsidRPr="00F13163" w:rsidRDefault="000D7AAD" w:rsidP="000D7AAD">
            <w:pPr>
              <w:pStyle w:val="BodyTextIndent"/>
              <w:spacing w:before="60" w:after="60"/>
              <w:ind w:left="0" w:firstLine="0"/>
              <w:rPr>
                <w:rFonts w:ascii="Verdana" w:hAnsi="Verdana"/>
              </w:rPr>
            </w:pPr>
            <w:r w:rsidRPr="00F13163">
              <w:rPr>
                <w:rFonts w:ascii="Verdana" w:hAnsi="Verdana"/>
              </w:rPr>
              <w:t>2026/27</w:t>
            </w:r>
          </w:p>
        </w:tc>
        <w:tc>
          <w:tcPr>
            <w:tcW w:w="2459" w:type="pct"/>
            <w:shd w:val="clear" w:color="auto" w:fill="auto"/>
          </w:tcPr>
          <w:p w14:paraId="3AC7810C" w14:textId="77777777" w:rsidR="000D7AAD" w:rsidRPr="00F13163" w:rsidRDefault="000D7AAD" w:rsidP="000D7AAD">
            <w:pPr>
              <w:pStyle w:val="BodyTextIndent"/>
              <w:spacing w:before="60" w:after="60"/>
              <w:ind w:left="0" w:firstLine="0"/>
              <w:jc w:val="center"/>
              <w:rPr>
                <w:rFonts w:ascii="Verdana" w:hAnsi="Verdana"/>
              </w:rPr>
            </w:pPr>
            <w:r>
              <w:rPr>
                <w:rFonts w:ascii="Verdana" w:hAnsi="Verdana"/>
              </w:rPr>
              <w:t>35.2</w:t>
            </w:r>
          </w:p>
        </w:tc>
      </w:tr>
      <w:tr w:rsidR="000D7AAD" w:rsidRPr="00F13163" w14:paraId="2834D504" w14:textId="77777777" w:rsidTr="00ED51E6">
        <w:tc>
          <w:tcPr>
            <w:tcW w:w="2541" w:type="pct"/>
            <w:shd w:val="clear" w:color="auto" w:fill="auto"/>
          </w:tcPr>
          <w:p w14:paraId="4C002C4B" w14:textId="77777777" w:rsidR="000D7AAD" w:rsidRPr="00F13163" w:rsidRDefault="000D7AAD" w:rsidP="000D7AAD">
            <w:pPr>
              <w:pStyle w:val="BodyTextIndent"/>
              <w:spacing w:before="60" w:after="60"/>
              <w:ind w:left="0" w:firstLine="0"/>
              <w:rPr>
                <w:rFonts w:ascii="Verdana" w:hAnsi="Verdana"/>
              </w:rPr>
            </w:pPr>
            <w:r w:rsidRPr="00F13163">
              <w:rPr>
                <w:rFonts w:ascii="Verdana" w:hAnsi="Verdana"/>
              </w:rPr>
              <w:t>2027/28</w:t>
            </w:r>
          </w:p>
        </w:tc>
        <w:tc>
          <w:tcPr>
            <w:tcW w:w="2459" w:type="pct"/>
            <w:shd w:val="clear" w:color="auto" w:fill="auto"/>
          </w:tcPr>
          <w:p w14:paraId="3DB01C27" w14:textId="77777777" w:rsidR="000D7AAD" w:rsidRPr="00F13163" w:rsidRDefault="000D7AAD" w:rsidP="000D7AAD">
            <w:pPr>
              <w:pStyle w:val="BodyTextIndent"/>
              <w:spacing w:before="60" w:after="60"/>
              <w:ind w:left="0" w:firstLine="0"/>
              <w:jc w:val="center"/>
              <w:rPr>
                <w:rFonts w:ascii="Verdana" w:hAnsi="Verdana"/>
              </w:rPr>
            </w:pPr>
            <w:r>
              <w:rPr>
                <w:rFonts w:ascii="Verdana" w:hAnsi="Verdana"/>
              </w:rPr>
              <w:t>34.3</w:t>
            </w:r>
          </w:p>
        </w:tc>
      </w:tr>
      <w:tr w:rsidR="000D7AAD" w:rsidRPr="002E5F92" w14:paraId="7487894E" w14:textId="77777777" w:rsidTr="00ED51E6">
        <w:tc>
          <w:tcPr>
            <w:tcW w:w="2541" w:type="pct"/>
            <w:shd w:val="clear" w:color="auto" w:fill="auto"/>
          </w:tcPr>
          <w:p w14:paraId="0DDCD3EC" w14:textId="77777777" w:rsidR="000D7AAD" w:rsidRPr="00F13163" w:rsidRDefault="000D7AAD" w:rsidP="000D7AAD">
            <w:pPr>
              <w:pStyle w:val="BodyTextIndent"/>
              <w:spacing w:before="60" w:after="60"/>
              <w:ind w:left="0" w:firstLine="0"/>
              <w:rPr>
                <w:rFonts w:ascii="Verdana" w:hAnsi="Verdana"/>
              </w:rPr>
            </w:pPr>
            <w:r w:rsidRPr="00F13163">
              <w:rPr>
                <w:rFonts w:ascii="Verdana" w:hAnsi="Verdana"/>
              </w:rPr>
              <w:t>202</w:t>
            </w:r>
            <w:r>
              <w:rPr>
                <w:rFonts w:ascii="Verdana" w:hAnsi="Verdana"/>
              </w:rPr>
              <w:t>8</w:t>
            </w:r>
            <w:r w:rsidRPr="00F13163">
              <w:rPr>
                <w:rFonts w:ascii="Verdana" w:hAnsi="Verdana"/>
              </w:rPr>
              <w:t>/2</w:t>
            </w:r>
            <w:r>
              <w:rPr>
                <w:rFonts w:ascii="Verdana" w:hAnsi="Verdana"/>
              </w:rPr>
              <w:t>9</w:t>
            </w:r>
          </w:p>
        </w:tc>
        <w:tc>
          <w:tcPr>
            <w:tcW w:w="2459" w:type="pct"/>
            <w:shd w:val="clear" w:color="auto" w:fill="auto"/>
          </w:tcPr>
          <w:p w14:paraId="6BBAB390" w14:textId="1DF3F9EE" w:rsidR="000D7AAD" w:rsidRPr="00F13163" w:rsidRDefault="000D7AAD" w:rsidP="000D7AAD">
            <w:pPr>
              <w:pStyle w:val="BodyTextIndent"/>
              <w:spacing w:before="60" w:after="60"/>
              <w:ind w:left="0" w:firstLine="0"/>
              <w:jc w:val="center"/>
              <w:rPr>
                <w:rFonts w:ascii="Verdana" w:hAnsi="Verdana"/>
              </w:rPr>
            </w:pPr>
            <w:r>
              <w:rPr>
                <w:rFonts w:ascii="Verdana" w:hAnsi="Verdana"/>
              </w:rPr>
              <w:t>2.</w:t>
            </w:r>
            <w:r w:rsidR="00877DFB">
              <w:rPr>
                <w:rFonts w:ascii="Verdana" w:hAnsi="Verdana"/>
              </w:rPr>
              <w:t>9</w:t>
            </w:r>
          </w:p>
        </w:tc>
      </w:tr>
    </w:tbl>
    <w:p w14:paraId="3EDD62AC" w14:textId="2D31F88B" w:rsidR="00F473EA" w:rsidRDefault="000D7AAD" w:rsidP="001B6200">
      <w:r>
        <w:tab/>
      </w:r>
      <w:r>
        <w:tab/>
      </w:r>
    </w:p>
    <w:p w14:paraId="20DC1F01" w14:textId="77777777" w:rsidR="00F473EA" w:rsidRPr="002E181C" w:rsidRDefault="00F473EA" w:rsidP="001B6200"/>
    <w:p w14:paraId="7B449747" w14:textId="43966800" w:rsidR="001B6200" w:rsidRDefault="00C869B8" w:rsidP="00F81051">
      <w:pPr>
        <w:tabs>
          <w:tab w:val="left" w:pos="567"/>
        </w:tabs>
        <w:rPr>
          <w:rFonts w:ascii="Verdana" w:hAnsi="Verdana"/>
          <w:b/>
        </w:rPr>
      </w:pPr>
      <w:r>
        <w:rPr>
          <w:rFonts w:ascii="Verdana" w:hAnsi="Verdana"/>
          <w:b/>
        </w:rPr>
        <w:t>9</w:t>
      </w:r>
      <w:r w:rsidR="009B51FC">
        <w:rPr>
          <w:rFonts w:ascii="Verdana" w:hAnsi="Verdana"/>
          <w:b/>
        </w:rPr>
        <w:tab/>
        <w:t>IM</w:t>
      </w:r>
      <w:r w:rsidR="001B6200">
        <w:rPr>
          <w:rFonts w:ascii="Verdana" w:hAnsi="Verdana"/>
          <w:b/>
        </w:rPr>
        <w:t xml:space="preserve">PLICATIONS </w:t>
      </w:r>
    </w:p>
    <w:p w14:paraId="116C6D04" w14:textId="77777777" w:rsidR="001B6200" w:rsidRDefault="001B6200" w:rsidP="001B6200">
      <w:pPr>
        <w:rPr>
          <w:rFonts w:ascii="Verdana" w:hAnsi="Verdana"/>
          <w:b/>
        </w:rPr>
      </w:pPr>
    </w:p>
    <w:p w14:paraId="079EED6D" w14:textId="60FFEC47" w:rsidR="001B6200" w:rsidRDefault="001B6200" w:rsidP="00F55D6D">
      <w:pPr>
        <w:tabs>
          <w:tab w:val="left" w:pos="567"/>
          <w:tab w:val="left" w:pos="1134"/>
        </w:tabs>
        <w:rPr>
          <w:rFonts w:ascii="Verdana" w:hAnsi="Verdana" w:cs="Arial"/>
          <w:b/>
          <w:szCs w:val="22"/>
        </w:rPr>
      </w:pPr>
      <w:r>
        <w:rPr>
          <w:rFonts w:ascii="Verdana" w:hAnsi="Verdana"/>
          <w:b/>
        </w:rPr>
        <w:tab/>
      </w:r>
      <w:r w:rsidR="00C869B8">
        <w:rPr>
          <w:rFonts w:ascii="Verdana" w:hAnsi="Verdana"/>
        </w:rPr>
        <w:t>9</w:t>
      </w:r>
      <w:r>
        <w:rPr>
          <w:rFonts w:ascii="Verdana" w:hAnsi="Verdana"/>
        </w:rPr>
        <w:t>.1</w:t>
      </w:r>
      <w:r>
        <w:rPr>
          <w:rFonts w:ascii="Verdana" w:hAnsi="Verdana"/>
        </w:rPr>
        <w:tab/>
      </w:r>
      <w:r w:rsidR="0060469B">
        <w:rPr>
          <w:rFonts w:ascii="Verdana" w:hAnsi="Verdana" w:cs="Arial"/>
          <w:b/>
          <w:szCs w:val="22"/>
        </w:rPr>
        <w:t>Financial</w:t>
      </w:r>
    </w:p>
    <w:p w14:paraId="77072032" w14:textId="77777777" w:rsidR="001B6200" w:rsidRDefault="001B6200" w:rsidP="00F55D6D">
      <w:pPr>
        <w:ind w:left="1134"/>
        <w:rPr>
          <w:rFonts w:ascii="Verdana" w:hAnsi="Verdana"/>
        </w:rPr>
      </w:pPr>
      <w:r w:rsidRPr="00155762">
        <w:rPr>
          <w:rFonts w:ascii="Verdana" w:hAnsi="Verdana"/>
        </w:rPr>
        <w:t>There are no additional financial implications associated with this report</w:t>
      </w:r>
      <w:r>
        <w:rPr>
          <w:rFonts w:ascii="Verdana" w:hAnsi="Verdana"/>
        </w:rPr>
        <w:t>,</w:t>
      </w:r>
      <w:r w:rsidRPr="00155762">
        <w:rPr>
          <w:rFonts w:ascii="Verdana" w:hAnsi="Verdana"/>
        </w:rPr>
        <w:t xml:space="preserve"> its</w:t>
      </w:r>
      <w:r>
        <w:rPr>
          <w:rFonts w:ascii="Verdana" w:hAnsi="Verdana"/>
        </w:rPr>
        <w:t xml:space="preserve"> </w:t>
      </w:r>
      <w:r w:rsidRPr="00155762">
        <w:rPr>
          <w:rFonts w:ascii="Verdana" w:hAnsi="Verdana"/>
        </w:rPr>
        <w:t xml:space="preserve">content referring specifically to the revenue </w:t>
      </w:r>
      <w:r>
        <w:rPr>
          <w:rFonts w:ascii="Verdana" w:hAnsi="Verdana"/>
        </w:rPr>
        <w:t xml:space="preserve">and capital </w:t>
      </w:r>
      <w:r w:rsidRPr="00155762">
        <w:rPr>
          <w:rFonts w:ascii="Verdana" w:hAnsi="Verdana"/>
        </w:rPr>
        <w:t>budget</w:t>
      </w:r>
      <w:r>
        <w:rPr>
          <w:rFonts w:ascii="Verdana" w:hAnsi="Verdana"/>
        </w:rPr>
        <w:t>s.</w:t>
      </w:r>
    </w:p>
    <w:p w14:paraId="676B27CE" w14:textId="77777777" w:rsidR="001B6200" w:rsidRDefault="001B6200" w:rsidP="001B6200">
      <w:pPr>
        <w:rPr>
          <w:rFonts w:ascii="Verdana" w:hAnsi="Verdana"/>
        </w:rPr>
      </w:pPr>
    </w:p>
    <w:p w14:paraId="6327C8C5" w14:textId="27E82701" w:rsidR="001B6200" w:rsidRPr="00F55D6D" w:rsidRDefault="0060469B" w:rsidP="00F55D6D">
      <w:pPr>
        <w:tabs>
          <w:tab w:val="left" w:pos="567"/>
          <w:tab w:val="left" w:pos="1134"/>
        </w:tabs>
        <w:rPr>
          <w:rFonts w:ascii="Verdana" w:hAnsi="Verdana"/>
          <w:b/>
        </w:rPr>
      </w:pPr>
      <w:r>
        <w:rPr>
          <w:rFonts w:ascii="Verdana" w:hAnsi="Verdana"/>
        </w:rPr>
        <w:tab/>
      </w:r>
      <w:r w:rsidR="00C869B8">
        <w:rPr>
          <w:rFonts w:ascii="Verdana" w:hAnsi="Verdana"/>
        </w:rPr>
        <w:t>9</w:t>
      </w:r>
      <w:r w:rsidR="001B6200" w:rsidRPr="006E2B17">
        <w:rPr>
          <w:rFonts w:ascii="Verdana" w:hAnsi="Verdana"/>
        </w:rPr>
        <w:t>.2</w:t>
      </w:r>
      <w:r w:rsidR="001B6200" w:rsidRPr="006E2B17">
        <w:rPr>
          <w:rFonts w:ascii="Verdana" w:hAnsi="Verdana"/>
        </w:rPr>
        <w:tab/>
      </w:r>
      <w:r w:rsidR="001B6200" w:rsidRPr="006E2B17">
        <w:rPr>
          <w:rFonts w:ascii="Verdana" w:hAnsi="Verdana"/>
          <w:b/>
        </w:rPr>
        <w:t>Risk and Mitigation</w:t>
      </w:r>
      <w:r w:rsidRPr="006E2B17">
        <w:rPr>
          <w:rFonts w:ascii="Verdana" w:hAnsi="Verdana"/>
          <w:b/>
        </w:rPr>
        <w:t>s</w:t>
      </w:r>
    </w:p>
    <w:p w14:paraId="084E26E1" w14:textId="627E4E7B" w:rsidR="001B6200" w:rsidRPr="006E2B17" w:rsidRDefault="001B6200" w:rsidP="00E53B12">
      <w:pPr>
        <w:numPr>
          <w:ilvl w:val="0"/>
          <w:numId w:val="7"/>
        </w:numPr>
        <w:ind w:left="1701" w:hanging="567"/>
        <w:rPr>
          <w:rFonts w:ascii="Verdana" w:hAnsi="Verdana"/>
        </w:rPr>
      </w:pPr>
      <w:r w:rsidRPr="006E2B17">
        <w:rPr>
          <w:rFonts w:ascii="Verdana" w:hAnsi="Verdana"/>
        </w:rPr>
        <w:t>The Council faces a number of risks in setting its Revenue Financial Plan for five years 20</w:t>
      </w:r>
      <w:r w:rsidR="00401BD6" w:rsidRPr="006E2B17">
        <w:rPr>
          <w:rFonts w:ascii="Verdana" w:hAnsi="Verdana"/>
        </w:rPr>
        <w:t>2</w:t>
      </w:r>
      <w:r w:rsidR="000D7AAD" w:rsidRPr="006E2B17">
        <w:rPr>
          <w:rFonts w:ascii="Verdana" w:hAnsi="Verdana"/>
        </w:rPr>
        <w:t>4</w:t>
      </w:r>
      <w:r w:rsidR="00401BD6" w:rsidRPr="006E2B17">
        <w:rPr>
          <w:rFonts w:ascii="Verdana" w:hAnsi="Verdana"/>
        </w:rPr>
        <w:t>/2</w:t>
      </w:r>
      <w:r w:rsidR="000D7AAD" w:rsidRPr="006E2B17">
        <w:rPr>
          <w:rFonts w:ascii="Verdana" w:hAnsi="Verdana"/>
        </w:rPr>
        <w:t>5</w:t>
      </w:r>
      <w:r w:rsidR="00401BD6" w:rsidRPr="006E2B17">
        <w:rPr>
          <w:rFonts w:ascii="Verdana" w:hAnsi="Verdana"/>
        </w:rPr>
        <w:t xml:space="preserve"> - 202</w:t>
      </w:r>
      <w:r w:rsidR="000D7AAD" w:rsidRPr="006E2B17">
        <w:rPr>
          <w:rFonts w:ascii="Verdana" w:hAnsi="Verdana"/>
        </w:rPr>
        <w:t>8</w:t>
      </w:r>
      <w:r w:rsidR="00401BD6" w:rsidRPr="006E2B17">
        <w:rPr>
          <w:rFonts w:ascii="Verdana" w:hAnsi="Verdana"/>
        </w:rPr>
        <w:t>/2</w:t>
      </w:r>
      <w:r w:rsidR="000D7AAD" w:rsidRPr="006E2B17">
        <w:rPr>
          <w:rFonts w:ascii="Verdana" w:hAnsi="Verdana"/>
        </w:rPr>
        <w:t>9</w:t>
      </w:r>
      <w:r w:rsidRPr="006E2B17">
        <w:rPr>
          <w:rFonts w:ascii="Verdana" w:hAnsi="Verdana"/>
        </w:rPr>
        <w:t xml:space="preserve">.  The main identified risks are set out in the </w:t>
      </w:r>
      <w:r w:rsidR="00246733" w:rsidRPr="006E2B17">
        <w:rPr>
          <w:rFonts w:ascii="Verdana" w:hAnsi="Verdana"/>
        </w:rPr>
        <w:t>A</w:t>
      </w:r>
      <w:r w:rsidRPr="006E2B17">
        <w:rPr>
          <w:rFonts w:ascii="Verdana" w:hAnsi="Verdana"/>
        </w:rPr>
        <w:t>ppendix 1.  The Council faces significant financial challenges, not least the requirement to deliver ongoing savings to balance the revenue</w:t>
      </w:r>
      <w:r w:rsidR="00153BAD" w:rsidRPr="006E2B17">
        <w:rPr>
          <w:rFonts w:ascii="Verdana" w:hAnsi="Verdana"/>
        </w:rPr>
        <w:t xml:space="preserve"> and capital plan each year, </w:t>
      </w:r>
      <w:r w:rsidRPr="006E2B17">
        <w:rPr>
          <w:rFonts w:ascii="Verdana" w:hAnsi="Verdana"/>
        </w:rPr>
        <w:t xml:space="preserve">fund on going pressure from the demographic change facing the </w:t>
      </w:r>
      <w:r w:rsidR="00555D83" w:rsidRPr="006E2B17">
        <w:rPr>
          <w:rFonts w:ascii="Verdana" w:hAnsi="Verdana"/>
        </w:rPr>
        <w:t xml:space="preserve">Scottish </w:t>
      </w:r>
      <w:r w:rsidRPr="006E2B17">
        <w:rPr>
          <w:rFonts w:ascii="Verdana" w:hAnsi="Verdana"/>
        </w:rPr>
        <w:t xml:space="preserve">Borders </w:t>
      </w:r>
      <w:r w:rsidRPr="006E2B17">
        <w:rPr>
          <w:rFonts w:ascii="Verdana" w:hAnsi="Verdana"/>
        </w:rPr>
        <w:lastRenderedPageBreak/>
        <w:t>population</w:t>
      </w:r>
      <w:r w:rsidR="00153BAD" w:rsidRPr="006E2B17">
        <w:rPr>
          <w:rFonts w:ascii="Verdana" w:hAnsi="Verdana"/>
        </w:rPr>
        <w:t xml:space="preserve"> and address challenges from ongoing COVID-19 response and recovery</w:t>
      </w:r>
      <w:r w:rsidRPr="006E2B17">
        <w:rPr>
          <w:rFonts w:ascii="Verdana" w:hAnsi="Verdana"/>
        </w:rPr>
        <w:t xml:space="preserve">.  The maintenance of </w:t>
      </w:r>
      <w:r w:rsidR="00E03C8E">
        <w:rPr>
          <w:rFonts w:ascii="Verdana" w:hAnsi="Verdana"/>
        </w:rPr>
        <w:t>R</w:t>
      </w:r>
      <w:r w:rsidRPr="006E2B17">
        <w:rPr>
          <w:rFonts w:ascii="Verdana" w:hAnsi="Verdana"/>
        </w:rPr>
        <w:t xml:space="preserve">eserves to manage such risks is an essential element of any sound financial strategy and the recommended level of </w:t>
      </w:r>
      <w:r w:rsidR="009C2988">
        <w:rPr>
          <w:rFonts w:ascii="Verdana" w:hAnsi="Verdana"/>
        </w:rPr>
        <w:t>R</w:t>
      </w:r>
      <w:r w:rsidRPr="006E2B17">
        <w:rPr>
          <w:rFonts w:ascii="Verdana" w:hAnsi="Verdana"/>
        </w:rPr>
        <w:t xml:space="preserve">eserves, to act as a contingency </w:t>
      </w:r>
      <w:r w:rsidR="008A4C71" w:rsidRPr="006E2B17">
        <w:rPr>
          <w:rFonts w:ascii="Verdana" w:hAnsi="Verdana"/>
        </w:rPr>
        <w:t>is</w:t>
      </w:r>
      <w:r w:rsidRPr="006E2B17">
        <w:rPr>
          <w:rFonts w:ascii="Verdana" w:hAnsi="Verdana"/>
        </w:rPr>
        <w:t xml:space="preserve"> £</w:t>
      </w:r>
      <w:r w:rsidR="002E181C" w:rsidRPr="006E2B17">
        <w:rPr>
          <w:rFonts w:ascii="Verdana" w:hAnsi="Verdana"/>
        </w:rPr>
        <w:t>7.</w:t>
      </w:r>
      <w:r w:rsidR="00D04AE8">
        <w:rPr>
          <w:rFonts w:ascii="Verdana" w:hAnsi="Verdana"/>
        </w:rPr>
        <w:t>4</w:t>
      </w:r>
      <w:r w:rsidRPr="006E2B17">
        <w:rPr>
          <w:rFonts w:ascii="Verdana" w:hAnsi="Verdana"/>
        </w:rPr>
        <w:t>m in finan</w:t>
      </w:r>
      <w:r w:rsidR="00581FE9" w:rsidRPr="006E2B17">
        <w:rPr>
          <w:rFonts w:ascii="Verdana" w:hAnsi="Verdana"/>
        </w:rPr>
        <w:t>cial ye</w:t>
      </w:r>
      <w:r w:rsidR="00100FB0" w:rsidRPr="006E2B17">
        <w:rPr>
          <w:rFonts w:ascii="Verdana" w:hAnsi="Verdana"/>
        </w:rPr>
        <w:t>ar 202</w:t>
      </w:r>
      <w:r w:rsidR="008A4C71" w:rsidRPr="006E2B17">
        <w:rPr>
          <w:rFonts w:ascii="Verdana" w:hAnsi="Verdana"/>
        </w:rPr>
        <w:t>4</w:t>
      </w:r>
      <w:r w:rsidR="00100FB0" w:rsidRPr="006E2B17">
        <w:rPr>
          <w:rFonts w:ascii="Verdana" w:hAnsi="Verdana"/>
        </w:rPr>
        <w:t>/2</w:t>
      </w:r>
      <w:r w:rsidR="008A4C71" w:rsidRPr="006E2B17">
        <w:rPr>
          <w:rFonts w:ascii="Verdana" w:hAnsi="Verdana"/>
        </w:rPr>
        <w:t>5</w:t>
      </w:r>
      <w:r w:rsidRPr="006E2B17">
        <w:rPr>
          <w:rFonts w:ascii="Verdana" w:hAnsi="Verdana"/>
        </w:rPr>
        <w:t xml:space="preserve">.  </w:t>
      </w:r>
    </w:p>
    <w:p w14:paraId="39363C23" w14:textId="5FD1766F" w:rsidR="00F610C6" w:rsidRPr="00F610C6" w:rsidRDefault="001B6200" w:rsidP="00E53B12">
      <w:pPr>
        <w:numPr>
          <w:ilvl w:val="0"/>
          <w:numId w:val="7"/>
        </w:numPr>
        <w:ind w:left="1701" w:hanging="567"/>
        <w:rPr>
          <w:rFonts w:ascii="Verdana" w:hAnsi="Verdana"/>
        </w:rPr>
      </w:pPr>
      <w:r w:rsidRPr="00F610C6">
        <w:rPr>
          <w:rFonts w:ascii="Verdana" w:hAnsi="Verdana"/>
          <w:iCs/>
        </w:rPr>
        <w:t xml:space="preserve">There is an ongoing requirement for robust management action to further continue to deliver Financial Plan savings. This is fundamental to ensure the delivery of the proposals set out in the </w:t>
      </w:r>
      <w:r w:rsidR="00DA31A6" w:rsidRPr="00F610C6">
        <w:rPr>
          <w:rFonts w:ascii="Verdana" w:hAnsi="Verdana"/>
          <w:iCs/>
        </w:rPr>
        <w:t>five-year</w:t>
      </w:r>
      <w:r w:rsidRPr="00F610C6">
        <w:rPr>
          <w:rFonts w:ascii="Verdana" w:hAnsi="Verdana"/>
          <w:iCs/>
        </w:rPr>
        <w:t xml:space="preserve"> Financial Plan on time and to the levels expected by the approved budget. The failure to deliver savings in line with the budget plan represents the most significant financial risk to the Council.</w:t>
      </w:r>
    </w:p>
    <w:p w14:paraId="70ADDF9B" w14:textId="41CBC1A6" w:rsidR="00F610C6" w:rsidRPr="00F610C6" w:rsidRDefault="00F610C6" w:rsidP="00E53B12">
      <w:pPr>
        <w:numPr>
          <w:ilvl w:val="0"/>
          <w:numId w:val="7"/>
        </w:numPr>
        <w:ind w:left="1701" w:hanging="567"/>
        <w:rPr>
          <w:rFonts w:ascii="Verdana" w:hAnsi="Verdana"/>
          <w:iCs/>
        </w:rPr>
      </w:pPr>
      <w:r>
        <w:rPr>
          <w:rFonts w:ascii="Verdana" w:hAnsi="Verdana"/>
          <w:iCs/>
        </w:rPr>
        <w:t>Within the Capital Plan</w:t>
      </w:r>
      <w:r w:rsidR="00605CED">
        <w:rPr>
          <w:rFonts w:ascii="Verdana" w:hAnsi="Verdana"/>
          <w:iCs/>
        </w:rPr>
        <w:t>,</w:t>
      </w:r>
      <w:r>
        <w:rPr>
          <w:rFonts w:ascii="Verdana" w:hAnsi="Verdana"/>
          <w:iCs/>
        </w:rPr>
        <w:t xml:space="preserve"> </w:t>
      </w:r>
      <w:r w:rsidRPr="00F610C6">
        <w:rPr>
          <w:rFonts w:ascii="Verdana" w:hAnsi="Verdana"/>
          <w:iCs/>
        </w:rPr>
        <w:t>overly optimistic project management resulting in unrealistic assumptions about time, costs and risks involved</w:t>
      </w:r>
      <w:r>
        <w:rPr>
          <w:rFonts w:ascii="Verdana" w:hAnsi="Verdana"/>
          <w:iCs/>
        </w:rPr>
        <w:t xml:space="preserve"> continues to pose a risk</w:t>
      </w:r>
      <w:r w:rsidRPr="00F610C6">
        <w:rPr>
          <w:rFonts w:ascii="Verdana" w:hAnsi="Verdana"/>
          <w:iCs/>
        </w:rPr>
        <w:t xml:space="preserve">. This </w:t>
      </w:r>
      <w:r w:rsidR="00153BAD">
        <w:rPr>
          <w:rFonts w:ascii="Verdana" w:hAnsi="Verdana"/>
          <w:iCs/>
        </w:rPr>
        <w:t>is being</w:t>
      </w:r>
      <w:r w:rsidRPr="00F610C6">
        <w:rPr>
          <w:rFonts w:ascii="Verdana" w:hAnsi="Verdana"/>
          <w:iCs/>
        </w:rPr>
        <w:t xml:space="preserve"> mitigated by more intense scrutiny at the initiation phase and reviewing lessons learned from previous projects. </w:t>
      </w:r>
    </w:p>
    <w:p w14:paraId="596835CB" w14:textId="77777777" w:rsidR="001B6200" w:rsidRPr="008A4C71" w:rsidRDefault="001B6200" w:rsidP="00E53B12">
      <w:pPr>
        <w:numPr>
          <w:ilvl w:val="0"/>
          <w:numId w:val="7"/>
        </w:numPr>
        <w:ind w:left="1701" w:hanging="567"/>
        <w:rPr>
          <w:rFonts w:ascii="Verdana" w:hAnsi="Verdana"/>
        </w:rPr>
      </w:pPr>
      <w:r>
        <w:rPr>
          <w:rFonts w:ascii="Verdana" w:hAnsi="Verdana"/>
          <w:szCs w:val="22"/>
        </w:rPr>
        <w:t>The key risks associated with the Council’s revenue and capital plans will be monitored on a regular basis within the regular monitoring reports submitted to the Council’s Executive Committee.</w:t>
      </w:r>
    </w:p>
    <w:p w14:paraId="5196D1D3" w14:textId="79C72639" w:rsidR="008A4C71" w:rsidRPr="001B6200" w:rsidRDefault="008A4C71" w:rsidP="00E53B12">
      <w:pPr>
        <w:numPr>
          <w:ilvl w:val="0"/>
          <w:numId w:val="7"/>
        </w:numPr>
        <w:ind w:left="1701" w:hanging="567"/>
        <w:rPr>
          <w:rFonts w:ascii="Verdana" w:hAnsi="Verdana"/>
        </w:rPr>
      </w:pPr>
      <w:r>
        <w:rPr>
          <w:rFonts w:ascii="Verdana" w:hAnsi="Verdana"/>
          <w:szCs w:val="22"/>
        </w:rPr>
        <w:t>The full Corporate Financial Risk register can be found in Appendix 1.</w:t>
      </w:r>
    </w:p>
    <w:p w14:paraId="0DE48996" w14:textId="77777777" w:rsidR="001B6200" w:rsidRDefault="001B6200" w:rsidP="00D2441A">
      <w:pPr>
        <w:rPr>
          <w:rFonts w:ascii="Verdana" w:hAnsi="Verdana"/>
          <w:szCs w:val="22"/>
        </w:rPr>
      </w:pPr>
    </w:p>
    <w:p w14:paraId="137EF4FE" w14:textId="03122742" w:rsidR="001B6200" w:rsidRPr="001B6200" w:rsidRDefault="00C869B8" w:rsidP="00F55D6D">
      <w:pPr>
        <w:tabs>
          <w:tab w:val="left" w:pos="1134"/>
        </w:tabs>
        <w:ind w:left="567"/>
        <w:rPr>
          <w:rFonts w:ascii="Verdana" w:hAnsi="Verdana"/>
        </w:rPr>
      </w:pPr>
      <w:r>
        <w:rPr>
          <w:rFonts w:ascii="Verdana" w:hAnsi="Verdana"/>
          <w:szCs w:val="22"/>
        </w:rPr>
        <w:t>9</w:t>
      </w:r>
      <w:r w:rsidR="001B6200">
        <w:rPr>
          <w:rFonts w:ascii="Verdana" w:hAnsi="Verdana"/>
          <w:szCs w:val="22"/>
        </w:rPr>
        <w:t>.3</w:t>
      </w:r>
      <w:r w:rsidR="001B6200">
        <w:rPr>
          <w:rFonts w:ascii="Verdana" w:hAnsi="Verdana"/>
          <w:szCs w:val="22"/>
        </w:rPr>
        <w:tab/>
      </w:r>
      <w:r w:rsidR="0060469B">
        <w:rPr>
          <w:rFonts w:ascii="Verdana" w:hAnsi="Verdana"/>
          <w:b/>
        </w:rPr>
        <w:t>Integrated Impact Assessment</w:t>
      </w:r>
    </w:p>
    <w:p w14:paraId="08898247" w14:textId="77777777" w:rsidR="001B6200" w:rsidRDefault="001B6200" w:rsidP="00F55D6D">
      <w:pPr>
        <w:tabs>
          <w:tab w:val="left" w:pos="1134"/>
        </w:tabs>
        <w:ind w:left="1134" w:hanging="414"/>
        <w:rPr>
          <w:rFonts w:ascii="Verdana" w:hAnsi="Verdana"/>
        </w:rPr>
      </w:pPr>
      <w:r>
        <w:rPr>
          <w:rFonts w:ascii="Verdana" w:hAnsi="Verdana"/>
        </w:rPr>
        <w:tab/>
      </w:r>
      <w:r w:rsidRPr="00155762">
        <w:rPr>
          <w:rFonts w:ascii="Verdana" w:hAnsi="Verdana"/>
        </w:rPr>
        <w:t xml:space="preserve">An </w:t>
      </w:r>
      <w:r w:rsidR="00555D83">
        <w:rPr>
          <w:rFonts w:ascii="Verdana" w:hAnsi="Verdana"/>
        </w:rPr>
        <w:t>I</w:t>
      </w:r>
      <w:r>
        <w:rPr>
          <w:rFonts w:ascii="Verdana" w:hAnsi="Verdana"/>
        </w:rPr>
        <w:t>ntegrated</w:t>
      </w:r>
      <w:r w:rsidR="00555D83">
        <w:rPr>
          <w:rFonts w:ascii="Verdana" w:hAnsi="Verdana"/>
        </w:rPr>
        <w:t xml:space="preserve"> Impact A</w:t>
      </w:r>
      <w:r w:rsidRPr="00155762">
        <w:rPr>
          <w:rFonts w:ascii="Verdana" w:hAnsi="Verdana"/>
        </w:rPr>
        <w:t xml:space="preserve">ssessment </w:t>
      </w:r>
      <w:r>
        <w:rPr>
          <w:rFonts w:ascii="Verdana" w:hAnsi="Verdana"/>
        </w:rPr>
        <w:t xml:space="preserve">(IIA) </w:t>
      </w:r>
      <w:r w:rsidRPr="00155762">
        <w:rPr>
          <w:rFonts w:ascii="Verdana" w:hAnsi="Verdana"/>
        </w:rPr>
        <w:t xml:space="preserve">has been undertaken with regard </w:t>
      </w:r>
      <w:r>
        <w:rPr>
          <w:rFonts w:ascii="Verdana" w:hAnsi="Verdana"/>
        </w:rPr>
        <w:t xml:space="preserve">to individual </w:t>
      </w:r>
      <w:r w:rsidRPr="00155762">
        <w:rPr>
          <w:rFonts w:ascii="Verdana" w:hAnsi="Verdana"/>
        </w:rPr>
        <w:t>budget proposals, where issues have been identified mitigating actions will be put in place.  There are no further equalities impacts arising from this specific report</w:t>
      </w:r>
      <w:r>
        <w:rPr>
          <w:rFonts w:ascii="Verdana" w:hAnsi="Verdana"/>
        </w:rPr>
        <w:t>.</w:t>
      </w:r>
    </w:p>
    <w:p w14:paraId="1E5794A5" w14:textId="77777777" w:rsidR="001B6200" w:rsidRDefault="001B6200" w:rsidP="00F55D6D">
      <w:pPr>
        <w:tabs>
          <w:tab w:val="left" w:pos="1134"/>
        </w:tabs>
        <w:ind w:left="1440" w:hanging="720"/>
        <w:rPr>
          <w:rFonts w:ascii="Verdana" w:hAnsi="Verdana"/>
        </w:rPr>
      </w:pPr>
    </w:p>
    <w:p w14:paraId="20EE2FEC" w14:textId="3604A4B7" w:rsidR="001B6200" w:rsidRDefault="00C869B8" w:rsidP="00F55D6D">
      <w:pPr>
        <w:ind w:left="1134" w:hanging="567"/>
        <w:rPr>
          <w:rFonts w:ascii="Verdana" w:hAnsi="Verdana"/>
          <w:b/>
        </w:rPr>
      </w:pPr>
      <w:r>
        <w:rPr>
          <w:rFonts w:ascii="Verdana" w:hAnsi="Verdana"/>
        </w:rPr>
        <w:t>9</w:t>
      </w:r>
      <w:r w:rsidR="001B6200">
        <w:rPr>
          <w:rFonts w:ascii="Verdana" w:hAnsi="Verdana"/>
        </w:rPr>
        <w:t>.4</w:t>
      </w:r>
      <w:r w:rsidR="001B6200">
        <w:rPr>
          <w:rFonts w:ascii="Verdana" w:hAnsi="Verdana"/>
        </w:rPr>
        <w:tab/>
      </w:r>
      <w:r w:rsidR="0060469B" w:rsidRPr="0027248D">
        <w:rPr>
          <w:rFonts w:ascii="Verdana" w:hAnsi="Verdana" w:cs="Arial"/>
          <w:b/>
          <w:szCs w:val="22"/>
        </w:rPr>
        <w:t>Sustainabl</w:t>
      </w:r>
      <w:r w:rsidR="0060469B">
        <w:rPr>
          <w:rFonts w:ascii="Verdana" w:hAnsi="Verdana" w:cs="Arial"/>
          <w:b/>
          <w:szCs w:val="22"/>
        </w:rPr>
        <w:t>e Development Goals</w:t>
      </w:r>
    </w:p>
    <w:p w14:paraId="6CB12A21" w14:textId="7DA7E654" w:rsidR="001B6200" w:rsidRDefault="001B6200" w:rsidP="00F55D6D">
      <w:pPr>
        <w:ind w:left="1134"/>
        <w:rPr>
          <w:rFonts w:ascii="Verdana" w:hAnsi="Verdana"/>
        </w:rPr>
      </w:pPr>
      <w:r w:rsidRPr="00155762">
        <w:rPr>
          <w:rFonts w:ascii="Verdana" w:hAnsi="Verdana"/>
        </w:rPr>
        <w:t xml:space="preserve">The revenue budget will affect the people and economy of the </w:t>
      </w:r>
      <w:r w:rsidR="00555D83">
        <w:rPr>
          <w:rFonts w:ascii="Verdana" w:hAnsi="Verdana"/>
        </w:rPr>
        <w:t>Scottish Borders</w:t>
      </w:r>
      <w:r w:rsidR="00433B3B">
        <w:rPr>
          <w:rFonts w:ascii="Verdana" w:hAnsi="Verdana"/>
        </w:rPr>
        <w:t>.  I</w:t>
      </w:r>
      <w:r w:rsidRPr="00155762">
        <w:rPr>
          <w:rFonts w:ascii="Verdana" w:hAnsi="Verdana"/>
        </w:rPr>
        <w:t xml:space="preserve">t has been designed to be as financially, socially and </w:t>
      </w:r>
      <w:r>
        <w:rPr>
          <w:rFonts w:ascii="Verdana" w:hAnsi="Verdana"/>
        </w:rPr>
        <w:t>e</w:t>
      </w:r>
      <w:r w:rsidRPr="00155762">
        <w:rPr>
          <w:rFonts w:ascii="Verdana" w:hAnsi="Verdana"/>
        </w:rPr>
        <w:t>nvironmentally sustainable as possible.</w:t>
      </w:r>
    </w:p>
    <w:p w14:paraId="63AA1312" w14:textId="77777777" w:rsidR="001B6200" w:rsidRDefault="001B6200" w:rsidP="00F55D6D">
      <w:pPr>
        <w:ind w:left="1134"/>
        <w:rPr>
          <w:rFonts w:ascii="Verdana" w:hAnsi="Verdana"/>
        </w:rPr>
      </w:pPr>
    </w:p>
    <w:p w14:paraId="0EAA86B7" w14:textId="69D35656" w:rsidR="001B6200" w:rsidRDefault="0060469B" w:rsidP="00F55D6D">
      <w:pPr>
        <w:tabs>
          <w:tab w:val="left" w:pos="567"/>
          <w:tab w:val="left" w:pos="1134"/>
        </w:tabs>
        <w:rPr>
          <w:rFonts w:ascii="Verdana" w:hAnsi="Verdana"/>
          <w:b/>
        </w:rPr>
      </w:pPr>
      <w:r>
        <w:rPr>
          <w:rFonts w:ascii="Verdana" w:hAnsi="Verdana"/>
        </w:rPr>
        <w:tab/>
      </w:r>
      <w:r w:rsidR="00C869B8">
        <w:rPr>
          <w:rFonts w:ascii="Verdana" w:hAnsi="Verdana"/>
        </w:rPr>
        <w:t>9</w:t>
      </w:r>
      <w:r w:rsidR="001B6200">
        <w:rPr>
          <w:rFonts w:ascii="Verdana" w:hAnsi="Verdana"/>
        </w:rPr>
        <w:t>.5</w:t>
      </w:r>
      <w:r w:rsidR="001B6200">
        <w:rPr>
          <w:rFonts w:ascii="Verdana" w:hAnsi="Verdana"/>
        </w:rPr>
        <w:tab/>
      </w:r>
      <w:r>
        <w:rPr>
          <w:rFonts w:ascii="Verdana" w:hAnsi="Verdana" w:cs="Arial"/>
          <w:b/>
          <w:szCs w:val="22"/>
        </w:rPr>
        <w:t>Climate Change</w:t>
      </w:r>
    </w:p>
    <w:p w14:paraId="3EFEC08B" w14:textId="6895C88C" w:rsidR="001B6200" w:rsidRDefault="001B6200" w:rsidP="00F55D6D">
      <w:pPr>
        <w:tabs>
          <w:tab w:val="left" w:pos="1134"/>
        </w:tabs>
        <w:rPr>
          <w:rFonts w:ascii="Verdana" w:hAnsi="Verdana"/>
        </w:rPr>
      </w:pPr>
      <w:r>
        <w:rPr>
          <w:rFonts w:ascii="Verdana" w:hAnsi="Verdana"/>
          <w:b/>
        </w:rPr>
        <w:tab/>
      </w:r>
      <w:r w:rsidRPr="00155762">
        <w:rPr>
          <w:rFonts w:ascii="Verdana" w:hAnsi="Verdana"/>
        </w:rPr>
        <w:t>There are no effects on carbon emissions.</w:t>
      </w:r>
    </w:p>
    <w:p w14:paraId="102FC4AC" w14:textId="77777777" w:rsidR="00D9355D" w:rsidRDefault="00D9355D" w:rsidP="00F55D6D">
      <w:pPr>
        <w:tabs>
          <w:tab w:val="left" w:pos="1134"/>
        </w:tabs>
        <w:rPr>
          <w:rFonts w:ascii="Verdana" w:hAnsi="Verdana"/>
        </w:rPr>
      </w:pPr>
    </w:p>
    <w:p w14:paraId="418118CF" w14:textId="1B5B0D4F" w:rsidR="001B6200" w:rsidRDefault="0060469B" w:rsidP="00F55D6D">
      <w:pPr>
        <w:tabs>
          <w:tab w:val="left" w:pos="567"/>
          <w:tab w:val="left" w:pos="1134"/>
        </w:tabs>
        <w:rPr>
          <w:rFonts w:ascii="Verdana" w:hAnsi="Verdana"/>
          <w:b/>
        </w:rPr>
      </w:pPr>
      <w:r>
        <w:rPr>
          <w:rFonts w:ascii="Verdana" w:hAnsi="Verdana"/>
        </w:rPr>
        <w:tab/>
      </w:r>
      <w:r w:rsidR="00C869B8">
        <w:rPr>
          <w:rFonts w:ascii="Verdana" w:hAnsi="Verdana"/>
        </w:rPr>
        <w:t>9</w:t>
      </w:r>
      <w:r w:rsidR="001B6200">
        <w:rPr>
          <w:rFonts w:ascii="Verdana" w:hAnsi="Verdana"/>
        </w:rPr>
        <w:t>.6</w:t>
      </w:r>
      <w:r w:rsidR="001B6200">
        <w:rPr>
          <w:rFonts w:ascii="Verdana" w:hAnsi="Verdana"/>
        </w:rPr>
        <w:tab/>
      </w:r>
      <w:r w:rsidR="001B6200">
        <w:rPr>
          <w:rFonts w:ascii="Verdana" w:hAnsi="Verdana"/>
          <w:b/>
        </w:rPr>
        <w:t>Rural Proofing</w:t>
      </w:r>
      <w:r w:rsidR="001B6200" w:rsidRPr="00155762">
        <w:rPr>
          <w:rFonts w:ascii="Verdana" w:hAnsi="Verdana"/>
          <w:b/>
        </w:rPr>
        <w:t xml:space="preserve">  </w:t>
      </w:r>
    </w:p>
    <w:p w14:paraId="10A19518" w14:textId="77777777" w:rsidR="0060469B" w:rsidRDefault="001B6200" w:rsidP="00F55D6D">
      <w:pPr>
        <w:tabs>
          <w:tab w:val="left" w:pos="1134"/>
        </w:tabs>
        <w:ind w:left="1134"/>
        <w:rPr>
          <w:rFonts w:ascii="Verdana" w:hAnsi="Verdana"/>
        </w:rPr>
      </w:pPr>
      <w:r w:rsidRPr="00155762">
        <w:rPr>
          <w:rFonts w:ascii="Verdana" w:hAnsi="Verdana"/>
        </w:rPr>
        <w:t>This report contains no implications that will compromise the Council</w:t>
      </w:r>
      <w:r>
        <w:rPr>
          <w:rFonts w:ascii="Verdana" w:hAnsi="Verdana"/>
        </w:rPr>
        <w:t>’</w:t>
      </w:r>
      <w:r w:rsidRPr="00155762">
        <w:rPr>
          <w:rFonts w:ascii="Verdana" w:hAnsi="Verdana"/>
        </w:rPr>
        <w:t>s rural proofing strategy</w:t>
      </w:r>
      <w:r>
        <w:rPr>
          <w:rFonts w:ascii="Verdana" w:hAnsi="Verdana"/>
        </w:rPr>
        <w:t>.</w:t>
      </w:r>
    </w:p>
    <w:p w14:paraId="21E16FAB" w14:textId="77777777" w:rsidR="001B6200" w:rsidRDefault="001B6200" w:rsidP="00F55D6D">
      <w:pPr>
        <w:tabs>
          <w:tab w:val="left" w:pos="1134"/>
        </w:tabs>
        <w:rPr>
          <w:rFonts w:ascii="Verdana" w:hAnsi="Verdana"/>
        </w:rPr>
      </w:pPr>
    </w:p>
    <w:p w14:paraId="6085C491" w14:textId="08999A4B" w:rsidR="0060469B" w:rsidRDefault="00C869B8" w:rsidP="00F55D6D">
      <w:pPr>
        <w:tabs>
          <w:tab w:val="left" w:pos="1134"/>
        </w:tabs>
        <w:spacing w:before="60" w:after="60"/>
        <w:ind w:firstLine="567"/>
        <w:rPr>
          <w:rFonts w:ascii="Verdana" w:hAnsi="Verdana"/>
          <w:b/>
        </w:rPr>
      </w:pPr>
      <w:r>
        <w:rPr>
          <w:rFonts w:ascii="Verdana" w:hAnsi="Verdana"/>
        </w:rPr>
        <w:t>9</w:t>
      </w:r>
      <w:r w:rsidR="0060469B">
        <w:rPr>
          <w:rFonts w:ascii="Verdana" w:hAnsi="Verdana"/>
        </w:rPr>
        <w:t>.7</w:t>
      </w:r>
      <w:r w:rsidR="00F55D6D">
        <w:rPr>
          <w:rFonts w:ascii="Verdana" w:hAnsi="Verdana"/>
        </w:rPr>
        <w:t xml:space="preserve"> </w:t>
      </w:r>
      <w:r w:rsidR="0060469B">
        <w:rPr>
          <w:rFonts w:ascii="Verdana" w:hAnsi="Verdana"/>
          <w:b/>
        </w:rPr>
        <w:t>Data Protection Impact Statement</w:t>
      </w:r>
    </w:p>
    <w:p w14:paraId="06D2D987" w14:textId="77777777" w:rsidR="0060469B" w:rsidRDefault="0060469B" w:rsidP="00F55D6D">
      <w:pPr>
        <w:ind w:left="1134"/>
        <w:rPr>
          <w:rFonts w:ascii="Verdana" w:hAnsi="Verdana"/>
        </w:rPr>
      </w:pPr>
      <w:r w:rsidRPr="0060469B">
        <w:rPr>
          <w:rFonts w:ascii="Verdana" w:hAnsi="Verdana"/>
        </w:rPr>
        <w:t>There are no personal data implications arising from the proposals contained in this report.</w:t>
      </w:r>
    </w:p>
    <w:p w14:paraId="61EFC444" w14:textId="77777777" w:rsidR="0060469B" w:rsidRDefault="0060469B" w:rsidP="0060469B">
      <w:pPr>
        <w:ind w:left="1440"/>
        <w:rPr>
          <w:rFonts w:ascii="Verdana" w:hAnsi="Verdana"/>
        </w:rPr>
      </w:pPr>
    </w:p>
    <w:p w14:paraId="464955B2" w14:textId="67AE823F" w:rsidR="001B6200" w:rsidRDefault="00C869B8" w:rsidP="00F55D6D">
      <w:pPr>
        <w:ind w:left="1134" w:hanging="567"/>
        <w:rPr>
          <w:rFonts w:ascii="Verdana" w:hAnsi="Verdana"/>
          <w:b/>
        </w:rPr>
      </w:pPr>
      <w:r>
        <w:rPr>
          <w:rFonts w:ascii="Verdana" w:hAnsi="Verdana"/>
        </w:rPr>
        <w:t>9</w:t>
      </w:r>
      <w:r w:rsidR="0060469B">
        <w:rPr>
          <w:rFonts w:ascii="Verdana" w:hAnsi="Verdana"/>
        </w:rPr>
        <w:t>.8</w:t>
      </w:r>
      <w:r w:rsidR="001B6200">
        <w:rPr>
          <w:rFonts w:ascii="Verdana" w:hAnsi="Verdana"/>
        </w:rPr>
        <w:tab/>
      </w:r>
      <w:r w:rsidR="001B6200">
        <w:rPr>
          <w:rFonts w:ascii="Verdana" w:hAnsi="Verdana"/>
          <w:b/>
        </w:rPr>
        <w:t>Changes to the Scheme of Administration or Scheme of Delegation</w:t>
      </w:r>
    </w:p>
    <w:p w14:paraId="06696436" w14:textId="77777777" w:rsidR="001B6200" w:rsidRDefault="001B6200" w:rsidP="00F55D6D">
      <w:pPr>
        <w:ind w:left="1134" w:hanging="567"/>
        <w:rPr>
          <w:rFonts w:ascii="Verdana" w:hAnsi="Verdana"/>
        </w:rPr>
      </w:pPr>
      <w:r>
        <w:rPr>
          <w:rFonts w:ascii="Verdana" w:hAnsi="Verdana"/>
        </w:rPr>
        <w:tab/>
      </w:r>
      <w:r w:rsidRPr="00155762">
        <w:rPr>
          <w:rFonts w:ascii="Verdana" w:hAnsi="Verdana"/>
        </w:rPr>
        <w:t xml:space="preserve">There are no changes required to either the </w:t>
      </w:r>
      <w:r w:rsidR="00555D83">
        <w:rPr>
          <w:rFonts w:ascii="Verdana" w:hAnsi="Verdana"/>
        </w:rPr>
        <w:t>Scheme of Administration or the Scheme of D</w:t>
      </w:r>
      <w:r w:rsidRPr="00155762">
        <w:rPr>
          <w:rFonts w:ascii="Verdana" w:hAnsi="Verdana"/>
        </w:rPr>
        <w:t>elegation</w:t>
      </w:r>
      <w:r>
        <w:rPr>
          <w:rFonts w:ascii="Verdana" w:hAnsi="Verdana"/>
        </w:rPr>
        <w:t>.</w:t>
      </w:r>
    </w:p>
    <w:p w14:paraId="1436173A" w14:textId="77777777" w:rsidR="001B6200" w:rsidRDefault="001B6200" w:rsidP="00F55D6D">
      <w:pPr>
        <w:ind w:left="1134" w:hanging="567"/>
        <w:rPr>
          <w:rFonts w:ascii="Verdana" w:hAnsi="Verdana"/>
        </w:rPr>
      </w:pPr>
    </w:p>
    <w:p w14:paraId="7A25DAF7" w14:textId="2A4269C8" w:rsidR="001B6200" w:rsidRDefault="00C869B8" w:rsidP="00F81051">
      <w:pPr>
        <w:tabs>
          <w:tab w:val="left" w:pos="567"/>
        </w:tabs>
        <w:rPr>
          <w:rFonts w:ascii="Verdana" w:hAnsi="Verdana"/>
          <w:b/>
        </w:rPr>
      </w:pPr>
      <w:r>
        <w:rPr>
          <w:rFonts w:ascii="Verdana" w:hAnsi="Verdana"/>
          <w:b/>
        </w:rPr>
        <w:t>10</w:t>
      </w:r>
      <w:r w:rsidR="001B6200">
        <w:rPr>
          <w:rFonts w:ascii="Verdana" w:hAnsi="Verdana"/>
          <w:b/>
        </w:rPr>
        <w:tab/>
      </w:r>
      <w:proofErr w:type="gramStart"/>
      <w:r w:rsidR="001B6200">
        <w:rPr>
          <w:rFonts w:ascii="Verdana" w:hAnsi="Verdana"/>
          <w:b/>
        </w:rPr>
        <w:t>CONSULTATION</w:t>
      </w:r>
      <w:proofErr w:type="gramEnd"/>
    </w:p>
    <w:p w14:paraId="194E4033" w14:textId="77777777" w:rsidR="001B6200" w:rsidRDefault="001B6200" w:rsidP="001B6200">
      <w:pPr>
        <w:rPr>
          <w:rFonts w:ascii="Verdana" w:hAnsi="Verdana"/>
          <w:b/>
        </w:rPr>
      </w:pPr>
    </w:p>
    <w:p w14:paraId="6A01B1C7" w14:textId="17F851EA" w:rsidR="001B6200" w:rsidRDefault="00C869B8" w:rsidP="00F55D6D">
      <w:pPr>
        <w:ind w:left="1134" w:hanging="567"/>
        <w:rPr>
          <w:rFonts w:ascii="Verdana" w:hAnsi="Verdana"/>
          <w:szCs w:val="22"/>
        </w:rPr>
      </w:pPr>
      <w:r>
        <w:rPr>
          <w:rFonts w:ascii="Verdana" w:hAnsi="Verdana"/>
        </w:rPr>
        <w:t>10</w:t>
      </w:r>
      <w:r w:rsidR="001B6200">
        <w:rPr>
          <w:rFonts w:ascii="Verdana" w:hAnsi="Verdana"/>
        </w:rPr>
        <w:t>.1</w:t>
      </w:r>
      <w:r w:rsidR="001B6200">
        <w:rPr>
          <w:rFonts w:ascii="Verdana" w:hAnsi="Verdana"/>
        </w:rPr>
        <w:tab/>
      </w:r>
      <w:r w:rsidR="00F215F1">
        <w:rPr>
          <w:rFonts w:ascii="Verdana" w:hAnsi="Verdana"/>
        </w:rPr>
        <w:t>T</w:t>
      </w:r>
      <w:r w:rsidR="00346037">
        <w:rPr>
          <w:rFonts w:ascii="Verdana" w:hAnsi="Verdana"/>
        </w:rPr>
        <w:t xml:space="preserve">he Council Management Team </w:t>
      </w:r>
      <w:r w:rsidR="001B6200">
        <w:rPr>
          <w:rFonts w:ascii="Verdana" w:hAnsi="Verdana"/>
          <w:szCs w:val="22"/>
        </w:rPr>
        <w:t>has fully supported the revenue and capital financial planning process</w:t>
      </w:r>
      <w:r w:rsidR="001B6200" w:rsidRPr="00F60C6B">
        <w:rPr>
          <w:rFonts w:ascii="Verdana" w:hAnsi="Verdana"/>
          <w:szCs w:val="22"/>
        </w:rPr>
        <w:t>.</w:t>
      </w:r>
    </w:p>
    <w:p w14:paraId="5E0E038C" w14:textId="77777777" w:rsidR="001B6200" w:rsidRDefault="001B6200" w:rsidP="001B6200">
      <w:pPr>
        <w:ind w:left="1440" w:hanging="720"/>
        <w:rPr>
          <w:rFonts w:ascii="Verdana" w:hAnsi="Verdana"/>
          <w:szCs w:val="22"/>
        </w:rPr>
      </w:pPr>
    </w:p>
    <w:p w14:paraId="6A54C15E" w14:textId="46219682" w:rsidR="00132CA5" w:rsidRDefault="00674207" w:rsidP="00F44931">
      <w:pPr>
        <w:ind w:left="1134" w:hanging="567"/>
        <w:rPr>
          <w:rFonts w:ascii="Verdana" w:hAnsi="Verdana" w:cs="Arial"/>
        </w:rPr>
      </w:pPr>
      <w:r>
        <w:rPr>
          <w:rFonts w:ascii="Verdana" w:hAnsi="Verdana"/>
          <w:szCs w:val="22"/>
        </w:rPr>
        <w:t>10</w:t>
      </w:r>
      <w:r w:rsidR="001B6200">
        <w:rPr>
          <w:rFonts w:ascii="Verdana" w:hAnsi="Verdana"/>
          <w:szCs w:val="22"/>
        </w:rPr>
        <w:t>.2</w:t>
      </w:r>
      <w:r w:rsidR="001B6200">
        <w:rPr>
          <w:rFonts w:ascii="Verdana" w:hAnsi="Verdana"/>
          <w:szCs w:val="22"/>
        </w:rPr>
        <w:tab/>
      </w:r>
      <w:r w:rsidR="00BF5A80" w:rsidRPr="0060469B">
        <w:rPr>
          <w:rFonts w:ascii="Verdana" w:hAnsi="Verdana"/>
        </w:rPr>
        <w:t>The Monitoring Officer/Chief Legal Officer, the Chief Offi</w:t>
      </w:r>
      <w:r w:rsidR="00BF5A80">
        <w:rPr>
          <w:rFonts w:ascii="Verdana" w:hAnsi="Verdana"/>
        </w:rPr>
        <w:t xml:space="preserve">cer Audit and Risk, the </w:t>
      </w:r>
      <w:r w:rsidR="00BF5A80" w:rsidRPr="0060469B">
        <w:rPr>
          <w:rFonts w:ascii="Verdana" w:hAnsi="Verdana"/>
        </w:rPr>
        <w:t xml:space="preserve">Director </w:t>
      </w:r>
      <w:r w:rsidR="00BF5A80">
        <w:rPr>
          <w:rFonts w:ascii="Verdana" w:hAnsi="Verdana"/>
        </w:rPr>
        <w:t>People, Performance and Change</w:t>
      </w:r>
      <w:r w:rsidR="00BF5A80" w:rsidRPr="0060469B">
        <w:rPr>
          <w:rFonts w:ascii="Verdana" w:hAnsi="Verdana"/>
        </w:rPr>
        <w:t xml:space="preserve">, the Clerk to the Council and </w:t>
      </w:r>
      <w:r w:rsidR="00BF5A80" w:rsidRPr="0060469B">
        <w:rPr>
          <w:rFonts w:ascii="Verdana" w:hAnsi="Verdana"/>
        </w:rPr>
        <w:lastRenderedPageBreak/>
        <w:t xml:space="preserve">Corporate Communications </w:t>
      </w:r>
      <w:r w:rsidR="00F44931">
        <w:rPr>
          <w:rFonts w:ascii="Verdana" w:hAnsi="Verdana"/>
          <w:szCs w:val="22"/>
        </w:rPr>
        <w:t>have been</w:t>
      </w:r>
      <w:r w:rsidR="00F44931" w:rsidRPr="007630F8">
        <w:rPr>
          <w:rFonts w:ascii="Verdana" w:hAnsi="Verdana"/>
          <w:szCs w:val="22"/>
        </w:rPr>
        <w:t xml:space="preserve"> consulted </w:t>
      </w:r>
      <w:r w:rsidR="00F44931">
        <w:rPr>
          <w:rFonts w:ascii="Verdana" w:hAnsi="Verdana" w:cs="Arial"/>
        </w:rPr>
        <w:t>any comments received have been incorporated into the final report.</w:t>
      </w:r>
    </w:p>
    <w:p w14:paraId="0E6326D9" w14:textId="77777777" w:rsidR="00EB5AE9" w:rsidRDefault="00EB5AE9" w:rsidP="00F44931">
      <w:pPr>
        <w:ind w:left="1134" w:hanging="567"/>
        <w:rPr>
          <w:rFonts w:ascii="Verdana" w:hAnsi="Verdana" w:cs="Arial"/>
        </w:rPr>
      </w:pPr>
    </w:p>
    <w:p w14:paraId="0A0D52C1" w14:textId="77777777" w:rsidR="00EB5AE9" w:rsidRDefault="00EB5AE9" w:rsidP="00F44931">
      <w:pPr>
        <w:ind w:left="1134" w:hanging="567"/>
      </w:pPr>
    </w:p>
    <w:p w14:paraId="508B3573" w14:textId="77777777" w:rsidR="005C3FB3" w:rsidRDefault="005C3FB3">
      <w:pPr>
        <w:pStyle w:val="Heading2"/>
        <w:rPr>
          <w:rFonts w:ascii="Verdana" w:hAnsi="Verdana"/>
          <w:sz w:val="22"/>
        </w:rPr>
      </w:pPr>
      <w:r w:rsidRPr="00221544">
        <w:rPr>
          <w:rFonts w:ascii="Verdana" w:hAnsi="Verdana"/>
          <w:sz w:val="22"/>
        </w:rPr>
        <w:t>Approved by</w:t>
      </w:r>
    </w:p>
    <w:p w14:paraId="078E51C0" w14:textId="77777777" w:rsidR="009D160D" w:rsidRDefault="009D160D" w:rsidP="009D160D"/>
    <w:p w14:paraId="0EBED8D3" w14:textId="77777777" w:rsidR="00EB5AE9" w:rsidRDefault="00EB5AE9" w:rsidP="009D160D"/>
    <w:p w14:paraId="30032186" w14:textId="77777777" w:rsidR="00EB5AE9" w:rsidRDefault="00EB5AE9" w:rsidP="009D160D"/>
    <w:p w14:paraId="79E2E579" w14:textId="77777777" w:rsidR="009D160D" w:rsidRDefault="00C659CC" w:rsidP="009D160D">
      <w:pPr>
        <w:rPr>
          <w:rFonts w:ascii="Verdana" w:hAnsi="Verdana"/>
          <w:b/>
        </w:rPr>
      </w:pPr>
      <w:r>
        <w:rPr>
          <w:rFonts w:ascii="Verdana" w:hAnsi="Verdana"/>
          <w:b/>
        </w:rPr>
        <w:t>Suzy Douglas</w:t>
      </w:r>
      <w:r w:rsidR="009D160D">
        <w:rPr>
          <w:rFonts w:ascii="Verdana" w:hAnsi="Verdana"/>
          <w:b/>
        </w:rPr>
        <w:tab/>
      </w:r>
      <w:r w:rsidR="009D160D">
        <w:rPr>
          <w:rFonts w:ascii="Verdana" w:hAnsi="Verdana"/>
          <w:b/>
        </w:rPr>
        <w:tab/>
      </w:r>
      <w:r w:rsidR="009D160D">
        <w:rPr>
          <w:rFonts w:ascii="Verdana" w:hAnsi="Verdana"/>
          <w:b/>
        </w:rPr>
        <w:tab/>
      </w:r>
      <w:r w:rsidR="00C244AB">
        <w:rPr>
          <w:rFonts w:ascii="Verdana" w:hAnsi="Verdana"/>
          <w:b/>
        </w:rPr>
        <w:tab/>
        <w:t>Signature ……………………………………..</w:t>
      </w:r>
    </w:p>
    <w:p w14:paraId="108A520A" w14:textId="738D9E7C" w:rsidR="00C244AB" w:rsidRPr="009D160D" w:rsidRDefault="00C425D3" w:rsidP="009D160D">
      <w:pPr>
        <w:rPr>
          <w:rFonts w:ascii="Verdana" w:hAnsi="Verdana"/>
          <w:b/>
        </w:rPr>
      </w:pPr>
      <w:r>
        <w:rPr>
          <w:rFonts w:ascii="Verdana" w:hAnsi="Verdana"/>
          <w:b/>
        </w:rPr>
        <w:t>Director – Finance &amp; Procurement</w:t>
      </w:r>
    </w:p>
    <w:p w14:paraId="2579FF82" w14:textId="77777777" w:rsidR="009D160D" w:rsidRPr="009D160D" w:rsidRDefault="009D160D" w:rsidP="009D160D"/>
    <w:p w14:paraId="544BE8B4" w14:textId="77777777" w:rsidR="005C3FB3" w:rsidRPr="00221544" w:rsidRDefault="005C3FB3">
      <w:pPr>
        <w:rPr>
          <w:rFonts w:ascii="Verdana" w:hAnsi="Verdana"/>
          <w:b/>
        </w:rPr>
      </w:pPr>
      <w:r w:rsidRPr="00221544">
        <w:rPr>
          <w:rFonts w:ascii="Verdana" w:hAnsi="Verdana"/>
          <w:b/>
        </w:rPr>
        <w:t>Author(s)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229"/>
      </w:tblGrid>
      <w:tr w:rsidR="005C3FB3" w:rsidRPr="00221544" w14:paraId="735D225D" w14:textId="77777777">
        <w:tc>
          <w:tcPr>
            <w:tcW w:w="2660" w:type="dxa"/>
          </w:tcPr>
          <w:p w14:paraId="7F2B305B" w14:textId="77777777" w:rsidR="005C3FB3" w:rsidRPr="00221544" w:rsidRDefault="005C3FB3">
            <w:pPr>
              <w:tabs>
                <w:tab w:val="left" w:pos="567"/>
                <w:tab w:val="left" w:pos="1134"/>
                <w:tab w:val="left" w:pos="1701"/>
              </w:tabs>
              <w:rPr>
                <w:rFonts w:ascii="Verdana" w:hAnsi="Verdana"/>
              </w:rPr>
            </w:pPr>
            <w:r w:rsidRPr="00221544">
              <w:rPr>
                <w:rFonts w:ascii="Verdana" w:hAnsi="Verdana"/>
              </w:rPr>
              <w:t>Name</w:t>
            </w:r>
          </w:p>
        </w:tc>
        <w:tc>
          <w:tcPr>
            <w:tcW w:w="7229" w:type="dxa"/>
          </w:tcPr>
          <w:p w14:paraId="36EB13A3" w14:textId="77777777" w:rsidR="005C3FB3" w:rsidRPr="00221544" w:rsidRDefault="005C3FB3">
            <w:pPr>
              <w:tabs>
                <w:tab w:val="left" w:pos="567"/>
                <w:tab w:val="left" w:pos="1134"/>
                <w:tab w:val="left" w:pos="1701"/>
              </w:tabs>
              <w:rPr>
                <w:rFonts w:ascii="Verdana" w:hAnsi="Verdana"/>
              </w:rPr>
            </w:pPr>
            <w:r w:rsidRPr="00221544">
              <w:rPr>
                <w:rFonts w:ascii="Verdana" w:hAnsi="Verdana"/>
              </w:rPr>
              <w:t>Designation</w:t>
            </w:r>
            <w:r w:rsidR="009C67F6">
              <w:rPr>
                <w:rFonts w:ascii="Verdana" w:hAnsi="Verdana"/>
              </w:rPr>
              <w:t xml:space="preserve"> and Contact Number</w:t>
            </w:r>
          </w:p>
        </w:tc>
      </w:tr>
      <w:tr w:rsidR="005C3FB3" w:rsidRPr="00221544" w14:paraId="7E08F1FB" w14:textId="77777777">
        <w:tc>
          <w:tcPr>
            <w:tcW w:w="2660" w:type="dxa"/>
          </w:tcPr>
          <w:p w14:paraId="56FC34EE" w14:textId="7EE63FC2" w:rsidR="00793ACF" w:rsidRPr="00221544" w:rsidRDefault="005F42B0">
            <w:pPr>
              <w:tabs>
                <w:tab w:val="left" w:pos="567"/>
                <w:tab w:val="left" w:pos="1134"/>
                <w:tab w:val="left" w:pos="1701"/>
              </w:tabs>
              <w:rPr>
                <w:rFonts w:ascii="Verdana" w:hAnsi="Verdana"/>
              </w:rPr>
            </w:pPr>
            <w:r>
              <w:rPr>
                <w:rFonts w:ascii="Verdana" w:hAnsi="Verdana"/>
              </w:rPr>
              <w:t>Lizzie Turner</w:t>
            </w:r>
          </w:p>
        </w:tc>
        <w:tc>
          <w:tcPr>
            <w:tcW w:w="7229" w:type="dxa"/>
          </w:tcPr>
          <w:p w14:paraId="24878513" w14:textId="6FC14F9D" w:rsidR="00793ACF" w:rsidRPr="00221544" w:rsidRDefault="00C659CC">
            <w:pPr>
              <w:tabs>
                <w:tab w:val="left" w:pos="567"/>
                <w:tab w:val="left" w:pos="1134"/>
                <w:tab w:val="left" w:pos="1701"/>
              </w:tabs>
              <w:rPr>
                <w:rFonts w:ascii="Verdana" w:hAnsi="Verdana"/>
              </w:rPr>
            </w:pPr>
            <w:r>
              <w:rPr>
                <w:rFonts w:ascii="Verdana" w:hAnsi="Verdana"/>
              </w:rPr>
              <w:t>Chief Officer</w:t>
            </w:r>
            <w:r w:rsidR="001B6200">
              <w:rPr>
                <w:rFonts w:ascii="Verdana" w:hAnsi="Verdana"/>
              </w:rPr>
              <w:t xml:space="preserve"> </w:t>
            </w:r>
            <w:r w:rsidR="005F42B0">
              <w:rPr>
                <w:rFonts w:ascii="Verdana" w:hAnsi="Verdana"/>
              </w:rPr>
              <w:t>Finance &amp; Procurement</w:t>
            </w:r>
          </w:p>
        </w:tc>
      </w:tr>
    </w:tbl>
    <w:p w14:paraId="38382059" w14:textId="77777777" w:rsidR="00537359" w:rsidRPr="00221544" w:rsidRDefault="00537359">
      <w:pPr>
        <w:rPr>
          <w:rFonts w:ascii="Verdana" w:hAnsi="Verdana"/>
          <w:b/>
        </w:rPr>
      </w:pPr>
    </w:p>
    <w:p w14:paraId="5C3DBB0A" w14:textId="1CE1E2BA" w:rsidR="009D160D" w:rsidRPr="00430EA7" w:rsidRDefault="009D160D" w:rsidP="009D160D">
      <w:pPr>
        <w:rPr>
          <w:rFonts w:ascii="Verdana" w:hAnsi="Verdana"/>
        </w:rPr>
      </w:pPr>
      <w:r w:rsidRPr="00430EA7">
        <w:rPr>
          <w:rFonts w:ascii="Verdana" w:hAnsi="Verdana"/>
          <w:b/>
        </w:rPr>
        <w:t xml:space="preserve">Background Papers:  </w:t>
      </w:r>
      <w:hyperlink r:id="rId15" w:history="1">
        <w:r w:rsidR="00F150CE">
          <w:rPr>
            <w:rStyle w:val="Hyperlink"/>
          </w:rPr>
          <w:t>Item No. 8 - Council Tax - Council - 21 February 2024.pdf (moderngov.co.uk)</w:t>
        </w:r>
      </w:hyperlink>
    </w:p>
    <w:p w14:paraId="473D5E20" w14:textId="77777777" w:rsidR="009D160D" w:rsidRPr="00430EA7" w:rsidRDefault="009D160D" w:rsidP="009D160D">
      <w:pPr>
        <w:rPr>
          <w:rFonts w:ascii="Verdana" w:hAnsi="Verdana"/>
          <w:b/>
        </w:rPr>
      </w:pPr>
      <w:r w:rsidRPr="00430EA7">
        <w:rPr>
          <w:rFonts w:ascii="Verdana" w:hAnsi="Verdana"/>
          <w:b/>
        </w:rPr>
        <w:t xml:space="preserve">Previous Minute Reference:  </w:t>
      </w:r>
      <w:r w:rsidRPr="00430EA7">
        <w:rPr>
          <w:rFonts w:ascii="Verdana" w:hAnsi="Verdana"/>
        </w:rPr>
        <w:fldChar w:fldCharType="begin">
          <w:ffData>
            <w:name w:val=""/>
            <w:enabled/>
            <w:calcOnExit w:val="0"/>
            <w:textInput>
              <w:default w:val="[insert last Minute reference (if any)]"/>
            </w:textInput>
          </w:ffData>
        </w:fldChar>
      </w:r>
      <w:r w:rsidRPr="00430EA7">
        <w:rPr>
          <w:rFonts w:ascii="Verdana" w:hAnsi="Verdana"/>
        </w:rPr>
        <w:instrText xml:space="preserve"> FORMTEXT </w:instrText>
      </w:r>
      <w:r w:rsidRPr="00430EA7">
        <w:rPr>
          <w:rFonts w:ascii="Verdana" w:hAnsi="Verdana"/>
        </w:rPr>
      </w:r>
      <w:r w:rsidRPr="00430EA7">
        <w:rPr>
          <w:rFonts w:ascii="Verdana" w:hAnsi="Verdana"/>
        </w:rPr>
        <w:fldChar w:fldCharType="separate"/>
      </w:r>
      <w:r w:rsidRPr="00430EA7">
        <w:rPr>
          <w:rFonts w:ascii="Verdana" w:hAnsi="Verdana"/>
          <w:noProof/>
        </w:rPr>
        <w:t>[insert last Minute reference (if any)]</w:t>
      </w:r>
      <w:r w:rsidRPr="00430EA7">
        <w:rPr>
          <w:rFonts w:ascii="Verdana" w:hAnsi="Verdana"/>
        </w:rPr>
        <w:fldChar w:fldCharType="end"/>
      </w:r>
    </w:p>
    <w:p w14:paraId="1850D642" w14:textId="77777777" w:rsidR="009D160D" w:rsidRPr="00430EA7" w:rsidRDefault="009D160D" w:rsidP="009D160D">
      <w:pPr>
        <w:rPr>
          <w:rFonts w:ascii="Verdana" w:hAnsi="Verdana"/>
        </w:rPr>
      </w:pPr>
    </w:p>
    <w:p w14:paraId="70385347" w14:textId="77777777" w:rsidR="009D160D" w:rsidRPr="00430EA7" w:rsidRDefault="009D160D" w:rsidP="009D160D">
      <w:pPr>
        <w:tabs>
          <w:tab w:val="left" w:pos="567"/>
          <w:tab w:val="left" w:pos="1134"/>
          <w:tab w:val="left" w:pos="1701"/>
        </w:tabs>
        <w:jc w:val="both"/>
        <w:rPr>
          <w:rFonts w:ascii="Verdana" w:hAnsi="Verdana"/>
        </w:rPr>
      </w:pPr>
      <w:r w:rsidRPr="00430EA7">
        <w:rPr>
          <w:rFonts w:ascii="Verdana" w:hAnsi="Verdana"/>
          <w:b/>
        </w:rPr>
        <w:t xml:space="preserve">Note – </w:t>
      </w:r>
      <w:r w:rsidRPr="00430EA7">
        <w:rPr>
          <w:rFonts w:ascii="Verdana" w:hAnsi="Verdana"/>
        </w:rPr>
        <w:t xml:space="preserve">You can get this document on tape, in Braille, large print and various computer formats by contacting the address below.  </w:t>
      </w:r>
      <w:r w:rsidR="001B6200">
        <w:rPr>
          <w:rFonts w:ascii="Verdana" w:hAnsi="Verdana"/>
        </w:rPr>
        <w:t>Finance</w:t>
      </w:r>
      <w:r w:rsidRPr="00430EA7">
        <w:rPr>
          <w:rFonts w:ascii="Verdana" w:hAnsi="Verdana"/>
        </w:rPr>
        <w:t xml:space="preserve"> can also give information on other language translations as well as providing additional copies.</w:t>
      </w:r>
    </w:p>
    <w:p w14:paraId="3BDFB890" w14:textId="77777777" w:rsidR="009D160D" w:rsidRPr="00430EA7" w:rsidRDefault="009D160D" w:rsidP="009D160D">
      <w:pPr>
        <w:tabs>
          <w:tab w:val="left" w:pos="567"/>
          <w:tab w:val="left" w:pos="1134"/>
          <w:tab w:val="left" w:pos="1701"/>
        </w:tabs>
        <w:jc w:val="both"/>
        <w:rPr>
          <w:rFonts w:ascii="Verdana" w:hAnsi="Verdana"/>
        </w:rPr>
      </w:pPr>
    </w:p>
    <w:p w14:paraId="10B84A33" w14:textId="7FFCCC2C" w:rsidR="00A97D9C" w:rsidRPr="004B355A" w:rsidRDefault="009D160D" w:rsidP="004B355A">
      <w:pPr>
        <w:tabs>
          <w:tab w:val="left" w:pos="567"/>
          <w:tab w:val="left" w:pos="1134"/>
          <w:tab w:val="left" w:pos="1701"/>
        </w:tabs>
        <w:rPr>
          <w:rFonts w:ascii="Verdana" w:hAnsi="Verdana"/>
          <w:b/>
          <w:szCs w:val="22"/>
        </w:rPr>
      </w:pPr>
      <w:r w:rsidRPr="00430EA7">
        <w:rPr>
          <w:rFonts w:ascii="Verdana" w:hAnsi="Verdana"/>
        </w:rPr>
        <w:t xml:space="preserve">Contact us at </w:t>
      </w:r>
      <w:r w:rsidR="0074643E">
        <w:rPr>
          <w:rFonts w:ascii="Verdana" w:hAnsi="Verdana"/>
        </w:rPr>
        <w:t>Lizzie Turner</w:t>
      </w:r>
      <w:r w:rsidR="001B6200">
        <w:rPr>
          <w:rFonts w:ascii="Verdana" w:hAnsi="Verdana"/>
        </w:rPr>
        <w:t xml:space="preserve">, Council HQ, </w:t>
      </w:r>
      <w:r w:rsidR="0074643E" w:rsidRPr="006B0C51">
        <w:rPr>
          <w:rFonts w:ascii="Verdana" w:hAnsi="Verdana"/>
        </w:rPr>
        <w:t>lizzi</w:t>
      </w:r>
      <w:r w:rsidR="006B0C51">
        <w:rPr>
          <w:rFonts w:ascii="Verdana" w:hAnsi="Verdana"/>
        </w:rPr>
        <w:t>e.turner@scotborders.gov.uk</w:t>
      </w:r>
      <w:r w:rsidR="001B6200">
        <w:rPr>
          <w:rFonts w:ascii="Verdana" w:hAnsi="Verdana"/>
        </w:rPr>
        <w:t>, 01835 824000 X</w:t>
      </w:r>
      <w:r w:rsidR="0074643E">
        <w:rPr>
          <w:rFonts w:ascii="Verdana" w:hAnsi="Verdana"/>
        </w:rPr>
        <w:t>6056</w:t>
      </w:r>
      <w:r w:rsidR="001B6200">
        <w:rPr>
          <w:rFonts w:ascii="Verdana" w:hAnsi="Verdana"/>
        </w:rPr>
        <w:t>.</w:t>
      </w:r>
    </w:p>
    <w:sectPr w:rsidR="00A97D9C" w:rsidRPr="004B355A" w:rsidSect="00A415C3">
      <w:footerReference w:type="default" r:id="rId16"/>
      <w:pgSz w:w="11907" w:h="16840" w:code="9"/>
      <w:pgMar w:top="1134" w:right="1134" w:bottom="1134" w:left="1134" w:header="720" w:footer="561" w:gutter="0"/>
      <w:paperSrc w:first="7" w:other="7"/>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05EE" w14:textId="77777777" w:rsidR="00A415C3" w:rsidRDefault="00A415C3">
      <w:r>
        <w:separator/>
      </w:r>
    </w:p>
  </w:endnote>
  <w:endnote w:type="continuationSeparator" w:id="0">
    <w:p w14:paraId="0FECD504" w14:textId="77777777" w:rsidR="00A415C3" w:rsidRDefault="00A415C3">
      <w:r>
        <w:continuationSeparator/>
      </w:r>
    </w:p>
  </w:endnote>
  <w:endnote w:type="continuationNotice" w:id="1">
    <w:p w14:paraId="314169F0" w14:textId="77777777" w:rsidR="00A415C3" w:rsidRDefault="00A41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453E" w14:textId="5FBA2E9A" w:rsidR="00786874" w:rsidRPr="009D160D" w:rsidRDefault="00FB224B" w:rsidP="00E33EA1">
    <w:pPr>
      <w:pStyle w:val="Footer"/>
      <w:rPr>
        <w:sz w:val="18"/>
        <w:szCs w:val="18"/>
      </w:rPr>
    </w:pPr>
    <w:r>
      <w:rPr>
        <w:rStyle w:val="PageNumber"/>
        <w:rFonts w:ascii="Verdana" w:hAnsi="Verdana"/>
        <w:i/>
        <w:sz w:val="18"/>
        <w:szCs w:val="18"/>
      </w:rPr>
      <w:t>Scottish Bo</w:t>
    </w:r>
    <w:r w:rsidR="00AD5077">
      <w:rPr>
        <w:rStyle w:val="PageNumber"/>
        <w:rFonts w:ascii="Verdana" w:hAnsi="Verdana"/>
        <w:i/>
        <w:sz w:val="18"/>
        <w:szCs w:val="18"/>
      </w:rPr>
      <w:t>rders Council – 2</w:t>
    </w:r>
    <w:r w:rsidR="000D7AAD">
      <w:rPr>
        <w:rStyle w:val="PageNumber"/>
        <w:rFonts w:ascii="Verdana" w:hAnsi="Verdana"/>
        <w:i/>
        <w:sz w:val="18"/>
        <w:szCs w:val="18"/>
      </w:rPr>
      <w:t>9</w:t>
    </w:r>
    <w:r>
      <w:rPr>
        <w:rStyle w:val="PageNumber"/>
        <w:rFonts w:ascii="Verdana" w:hAnsi="Verdana"/>
        <w:i/>
        <w:sz w:val="18"/>
        <w:szCs w:val="18"/>
      </w:rPr>
      <w:t xml:space="preserve"> </w:t>
    </w:r>
    <w:r w:rsidR="003B6DC2">
      <w:rPr>
        <w:rStyle w:val="PageNumber"/>
        <w:rFonts w:ascii="Verdana" w:hAnsi="Verdana"/>
        <w:i/>
        <w:sz w:val="18"/>
        <w:szCs w:val="18"/>
      </w:rPr>
      <w:t>February</w:t>
    </w:r>
    <w:r>
      <w:rPr>
        <w:rStyle w:val="PageNumber"/>
        <w:rFonts w:ascii="Verdana" w:hAnsi="Verdana"/>
        <w:i/>
        <w:sz w:val="18"/>
        <w:szCs w:val="18"/>
      </w:rPr>
      <w:t xml:space="preserve"> 202</w:t>
    </w:r>
    <w:r w:rsidR="000D7AAD">
      <w:rPr>
        <w:rStyle w:val="PageNumber"/>
        <w:rFonts w:ascii="Verdana" w:hAnsi="Verdana"/>
        <w:i/>
        <w:sz w:val="18"/>
        <w:szCs w:val="18"/>
      </w:rPr>
      <w:t>4</w:t>
    </w:r>
    <w:r w:rsidR="00786874" w:rsidRPr="009D160D">
      <w:rPr>
        <w:rStyle w:val="PageNumber"/>
        <w:sz w:val="18"/>
        <w:szCs w:val="18"/>
      </w:rPr>
      <w:tab/>
    </w:r>
    <w:r w:rsidR="00786874" w:rsidRPr="009D160D">
      <w:rPr>
        <w:rStyle w:val="PageNumber"/>
        <w:sz w:val="18"/>
        <w:szCs w:val="18"/>
      </w:rPr>
      <w:tab/>
    </w:r>
    <w:r w:rsidR="00786874" w:rsidRPr="009D160D">
      <w:rPr>
        <w:rStyle w:val="PageNumbe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2DC9C" w14:textId="77777777" w:rsidR="00A415C3" w:rsidRDefault="00A415C3">
      <w:r>
        <w:separator/>
      </w:r>
    </w:p>
  </w:footnote>
  <w:footnote w:type="continuationSeparator" w:id="0">
    <w:p w14:paraId="2AF251FD" w14:textId="77777777" w:rsidR="00A415C3" w:rsidRDefault="00A415C3">
      <w:r>
        <w:continuationSeparator/>
      </w:r>
    </w:p>
  </w:footnote>
  <w:footnote w:type="continuationNotice" w:id="1">
    <w:p w14:paraId="0DA76075" w14:textId="77777777" w:rsidR="00A415C3" w:rsidRDefault="00A415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2B24"/>
    <w:multiLevelType w:val="multilevel"/>
    <w:tmpl w:val="7F7C5306"/>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536" w:hanging="2520"/>
      </w:pPr>
      <w:rPr>
        <w:rFonts w:hint="default"/>
      </w:rPr>
    </w:lvl>
  </w:abstractNum>
  <w:abstractNum w:abstractNumId="1" w15:restartNumberingAfterBreak="0">
    <w:nsid w:val="1D1A2605"/>
    <w:multiLevelType w:val="hybridMultilevel"/>
    <w:tmpl w:val="126AD070"/>
    <w:lvl w:ilvl="0" w:tplc="58A66902">
      <w:start w:val="1"/>
      <w:numFmt w:val="lowerLetter"/>
      <w:lvlText w:val="(%1)"/>
      <w:lvlJc w:val="left"/>
      <w:pPr>
        <w:ind w:left="1854" w:hanging="72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2D9F79C6"/>
    <w:multiLevelType w:val="hybridMultilevel"/>
    <w:tmpl w:val="01A2F530"/>
    <w:lvl w:ilvl="0" w:tplc="068C9A10">
      <w:start w:val="1"/>
      <w:numFmt w:val="lowerLetter"/>
      <w:lvlText w:val="(%1)"/>
      <w:lvlJc w:val="left"/>
      <w:pPr>
        <w:ind w:left="2214" w:hanging="72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3A3968C7"/>
    <w:multiLevelType w:val="hybridMultilevel"/>
    <w:tmpl w:val="48B23080"/>
    <w:lvl w:ilvl="0" w:tplc="D29AEC7E">
      <w:start w:val="1"/>
      <w:numFmt w:val="lowerLetter"/>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AFD3B87"/>
    <w:multiLevelType w:val="hybridMultilevel"/>
    <w:tmpl w:val="B026353E"/>
    <w:lvl w:ilvl="0" w:tplc="DC7E8664">
      <w:start w:val="1"/>
      <w:numFmt w:val="lowerLetter"/>
      <w:lvlText w:val="%1)"/>
      <w:lvlJc w:val="left"/>
      <w:pPr>
        <w:ind w:left="1647" w:hanging="360"/>
      </w:pPr>
    </w:lvl>
    <w:lvl w:ilvl="1" w:tplc="459A769E" w:tentative="1">
      <w:start w:val="1"/>
      <w:numFmt w:val="lowerLetter"/>
      <w:lvlText w:val="%2."/>
      <w:lvlJc w:val="left"/>
      <w:pPr>
        <w:ind w:left="2367" w:hanging="360"/>
      </w:pPr>
    </w:lvl>
    <w:lvl w:ilvl="2" w:tplc="29505A86" w:tentative="1">
      <w:start w:val="1"/>
      <w:numFmt w:val="lowerRoman"/>
      <w:lvlText w:val="%3."/>
      <w:lvlJc w:val="right"/>
      <w:pPr>
        <w:ind w:left="3087" w:hanging="180"/>
      </w:pPr>
    </w:lvl>
    <w:lvl w:ilvl="3" w:tplc="3D8CA10C" w:tentative="1">
      <w:start w:val="1"/>
      <w:numFmt w:val="decimal"/>
      <w:lvlText w:val="%4."/>
      <w:lvlJc w:val="left"/>
      <w:pPr>
        <w:ind w:left="3807" w:hanging="360"/>
      </w:pPr>
    </w:lvl>
    <w:lvl w:ilvl="4" w:tplc="CD222060" w:tentative="1">
      <w:start w:val="1"/>
      <w:numFmt w:val="lowerLetter"/>
      <w:lvlText w:val="%5."/>
      <w:lvlJc w:val="left"/>
      <w:pPr>
        <w:ind w:left="4527" w:hanging="360"/>
      </w:pPr>
    </w:lvl>
    <w:lvl w:ilvl="5" w:tplc="86FE63EC" w:tentative="1">
      <w:start w:val="1"/>
      <w:numFmt w:val="lowerRoman"/>
      <w:lvlText w:val="%6."/>
      <w:lvlJc w:val="right"/>
      <w:pPr>
        <w:ind w:left="5247" w:hanging="180"/>
      </w:pPr>
    </w:lvl>
    <w:lvl w:ilvl="6" w:tplc="EFA892DA" w:tentative="1">
      <w:start w:val="1"/>
      <w:numFmt w:val="decimal"/>
      <w:lvlText w:val="%7."/>
      <w:lvlJc w:val="left"/>
      <w:pPr>
        <w:ind w:left="5967" w:hanging="360"/>
      </w:pPr>
    </w:lvl>
    <w:lvl w:ilvl="7" w:tplc="4F9A2C88" w:tentative="1">
      <w:start w:val="1"/>
      <w:numFmt w:val="lowerLetter"/>
      <w:lvlText w:val="%8."/>
      <w:lvlJc w:val="left"/>
      <w:pPr>
        <w:ind w:left="6687" w:hanging="360"/>
      </w:pPr>
    </w:lvl>
    <w:lvl w:ilvl="8" w:tplc="DF8221EC" w:tentative="1">
      <w:start w:val="1"/>
      <w:numFmt w:val="lowerRoman"/>
      <w:lvlText w:val="%9."/>
      <w:lvlJc w:val="right"/>
      <w:pPr>
        <w:ind w:left="7407" w:hanging="180"/>
      </w:pPr>
    </w:lvl>
  </w:abstractNum>
  <w:abstractNum w:abstractNumId="5" w15:restartNumberingAfterBreak="0">
    <w:nsid w:val="3B93274F"/>
    <w:multiLevelType w:val="hybridMultilevel"/>
    <w:tmpl w:val="F35A7840"/>
    <w:lvl w:ilvl="0" w:tplc="810C28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E742F1"/>
    <w:multiLevelType w:val="hybridMultilevel"/>
    <w:tmpl w:val="FBBC221C"/>
    <w:lvl w:ilvl="0" w:tplc="00B0DC82">
      <w:start w:val="26"/>
      <w:numFmt w:val="bullet"/>
      <w:lvlText w:val="-"/>
      <w:lvlJc w:val="left"/>
      <w:pPr>
        <w:ind w:left="-2736" w:hanging="360"/>
      </w:pPr>
      <w:rPr>
        <w:rFonts w:ascii="Aptos" w:eastAsia="Aptos" w:hAnsi="Aptos" w:cs="Times New Roman" w:hint="default"/>
      </w:rPr>
    </w:lvl>
    <w:lvl w:ilvl="1" w:tplc="08090003">
      <w:start w:val="1"/>
      <w:numFmt w:val="bullet"/>
      <w:lvlText w:val="o"/>
      <w:lvlJc w:val="left"/>
      <w:pPr>
        <w:ind w:left="-2016" w:hanging="360"/>
      </w:pPr>
      <w:rPr>
        <w:rFonts w:ascii="Courier New" w:hAnsi="Courier New" w:cs="Courier New" w:hint="default"/>
      </w:rPr>
    </w:lvl>
    <w:lvl w:ilvl="2" w:tplc="08090005">
      <w:start w:val="1"/>
      <w:numFmt w:val="bullet"/>
      <w:lvlText w:val=""/>
      <w:lvlJc w:val="left"/>
      <w:pPr>
        <w:ind w:left="-1296" w:hanging="360"/>
      </w:pPr>
      <w:rPr>
        <w:rFonts w:ascii="Wingdings" w:hAnsi="Wingdings" w:hint="default"/>
      </w:rPr>
    </w:lvl>
    <w:lvl w:ilvl="3" w:tplc="08090001">
      <w:start w:val="1"/>
      <w:numFmt w:val="bullet"/>
      <w:lvlText w:val=""/>
      <w:lvlJc w:val="left"/>
      <w:pPr>
        <w:ind w:left="-576" w:hanging="360"/>
      </w:pPr>
      <w:rPr>
        <w:rFonts w:ascii="Symbol" w:hAnsi="Symbol" w:hint="default"/>
      </w:rPr>
    </w:lvl>
    <w:lvl w:ilvl="4" w:tplc="08090003">
      <w:start w:val="1"/>
      <w:numFmt w:val="bullet"/>
      <w:lvlText w:val="o"/>
      <w:lvlJc w:val="left"/>
      <w:pPr>
        <w:ind w:left="144" w:hanging="360"/>
      </w:pPr>
      <w:rPr>
        <w:rFonts w:ascii="Courier New" w:hAnsi="Courier New" w:cs="Courier New" w:hint="default"/>
      </w:rPr>
    </w:lvl>
    <w:lvl w:ilvl="5" w:tplc="08090005">
      <w:start w:val="1"/>
      <w:numFmt w:val="bullet"/>
      <w:lvlText w:val=""/>
      <w:lvlJc w:val="left"/>
      <w:pPr>
        <w:ind w:left="864" w:hanging="360"/>
      </w:pPr>
      <w:rPr>
        <w:rFonts w:ascii="Wingdings" w:hAnsi="Wingdings" w:hint="default"/>
      </w:rPr>
    </w:lvl>
    <w:lvl w:ilvl="6" w:tplc="08090001">
      <w:start w:val="1"/>
      <w:numFmt w:val="bullet"/>
      <w:lvlText w:val=""/>
      <w:lvlJc w:val="left"/>
      <w:pPr>
        <w:ind w:left="1584" w:hanging="360"/>
      </w:pPr>
      <w:rPr>
        <w:rFonts w:ascii="Symbol" w:hAnsi="Symbol" w:hint="default"/>
      </w:rPr>
    </w:lvl>
    <w:lvl w:ilvl="7" w:tplc="08090003">
      <w:start w:val="1"/>
      <w:numFmt w:val="bullet"/>
      <w:lvlText w:val="o"/>
      <w:lvlJc w:val="left"/>
      <w:pPr>
        <w:ind w:left="2304" w:hanging="360"/>
      </w:pPr>
      <w:rPr>
        <w:rFonts w:ascii="Courier New" w:hAnsi="Courier New" w:cs="Courier New" w:hint="default"/>
      </w:rPr>
    </w:lvl>
    <w:lvl w:ilvl="8" w:tplc="08090005">
      <w:start w:val="1"/>
      <w:numFmt w:val="bullet"/>
      <w:lvlText w:val=""/>
      <w:lvlJc w:val="left"/>
      <w:pPr>
        <w:ind w:left="3024" w:hanging="360"/>
      </w:pPr>
      <w:rPr>
        <w:rFonts w:ascii="Wingdings" w:hAnsi="Wingdings" w:hint="default"/>
      </w:rPr>
    </w:lvl>
  </w:abstractNum>
  <w:abstractNum w:abstractNumId="7" w15:restartNumberingAfterBreak="0">
    <w:nsid w:val="444D0F2B"/>
    <w:multiLevelType w:val="multilevel"/>
    <w:tmpl w:val="23B40EAE"/>
    <w:lvl w:ilvl="0">
      <w:start w:val="4"/>
      <w:numFmt w:val="decimal"/>
      <w:lvlText w:val="%1"/>
      <w:lvlJc w:val="left"/>
      <w:pPr>
        <w:ind w:left="360" w:hanging="36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8" w15:restartNumberingAfterBreak="0">
    <w:nsid w:val="5ECF08FF"/>
    <w:multiLevelType w:val="hybridMultilevel"/>
    <w:tmpl w:val="41CA34D4"/>
    <w:lvl w:ilvl="0" w:tplc="068C9A10">
      <w:start w:val="1"/>
      <w:numFmt w:val="lowerLetter"/>
      <w:lvlText w:val="(%1)"/>
      <w:lvlJc w:val="left"/>
      <w:pPr>
        <w:ind w:left="1647" w:hanging="360"/>
      </w:pPr>
      <w:rPr>
        <w:rFonts w:hint="default"/>
      </w:rPr>
    </w:lvl>
    <w:lvl w:ilvl="1" w:tplc="FFFFFFFF" w:tentative="1">
      <w:start w:val="1"/>
      <w:numFmt w:val="lowerLetter"/>
      <w:lvlText w:val="%2."/>
      <w:lvlJc w:val="left"/>
      <w:pPr>
        <w:ind w:left="2367" w:hanging="360"/>
      </w:pPr>
    </w:lvl>
    <w:lvl w:ilvl="2" w:tplc="FFFFFFFF" w:tentative="1">
      <w:start w:val="1"/>
      <w:numFmt w:val="lowerRoman"/>
      <w:lvlText w:val="%3."/>
      <w:lvlJc w:val="right"/>
      <w:pPr>
        <w:ind w:left="3087" w:hanging="180"/>
      </w:pPr>
    </w:lvl>
    <w:lvl w:ilvl="3" w:tplc="FFFFFFFF" w:tentative="1">
      <w:start w:val="1"/>
      <w:numFmt w:val="decimal"/>
      <w:lvlText w:val="%4."/>
      <w:lvlJc w:val="left"/>
      <w:pPr>
        <w:ind w:left="3807" w:hanging="360"/>
      </w:pPr>
    </w:lvl>
    <w:lvl w:ilvl="4" w:tplc="FFFFFFFF" w:tentative="1">
      <w:start w:val="1"/>
      <w:numFmt w:val="lowerLetter"/>
      <w:lvlText w:val="%5."/>
      <w:lvlJc w:val="left"/>
      <w:pPr>
        <w:ind w:left="4527" w:hanging="360"/>
      </w:pPr>
    </w:lvl>
    <w:lvl w:ilvl="5" w:tplc="FFFFFFFF" w:tentative="1">
      <w:start w:val="1"/>
      <w:numFmt w:val="lowerRoman"/>
      <w:lvlText w:val="%6."/>
      <w:lvlJc w:val="right"/>
      <w:pPr>
        <w:ind w:left="5247" w:hanging="180"/>
      </w:pPr>
    </w:lvl>
    <w:lvl w:ilvl="6" w:tplc="FFFFFFFF" w:tentative="1">
      <w:start w:val="1"/>
      <w:numFmt w:val="decimal"/>
      <w:lvlText w:val="%7."/>
      <w:lvlJc w:val="left"/>
      <w:pPr>
        <w:ind w:left="5967" w:hanging="360"/>
      </w:pPr>
    </w:lvl>
    <w:lvl w:ilvl="7" w:tplc="FFFFFFFF" w:tentative="1">
      <w:start w:val="1"/>
      <w:numFmt w:val="lowerLetter"/>
      <w:lvlText w:val="%8."/>
      <w:lvlJc w:val="left"/>
      <w:pPr>
        <w:ind w:left="6687" w:hanging="360"/>
      </w:pPr>
    </w:lvl>
    <w:lvl w:ilvl="8" w:tplc="FFFFFFFF" w:tentative="1">
      <w:start w:val="1"/>
      <w:numFmt w:val="lowerRoman"/>
      <w:lvlText w:val="%9."/>
      <w:lvlJc w:val="right"/>
      <w:pPr>
        <w:ind w:left="7407" w:hanging="180"/>
      </w:pPr>
    </w:lvl>
  </w:abstractNum>
  <w:abstractNum w:abstractNumId="9" w15:restartNumberingAfterBreak="0">
    <w:nsid w:val="778F7834"/>
    <w:multiLevelType w:val="multilevel"/>
    <w:tmpl w:val="597AF78A"/>
    <w:lvl w:ilvl="0">
      <w:start w:val="2"/>
      <w:numFmt w:val="decimal"/>
      <w:lvlText w:val="%1"/>
      <w:lvlJc w:val="left"/>
      <w:pPr>
        <w:ind w:left="375" w:hanging="375"/>
      </w:pPr>
      <w:rPr>
        <w:rFonts w:hint="default"/>
        <w:b w:val="0"/>
      </w:rPr>
    </w:lvl>
    <w:lvl w:ilvl="1">
      <w:start w:val="1"/>
      <w:numFmt w:val="decimal"/>
      <w:lvlText w:val="%1.%2"/>
      <w:lvlJc w:val="left"/>
      <w:pPr>
        <w:ind w:left="1287" w:hanging="720"/>
      </w:pPr>
      <w:rPr>
        <w:rFonts w:hint="default"/>
        <w:b/>
        <w:bCs/>
      </w:rPr>
    </w:lvl>
    <w:lvl w:ilvl="2">
      <w:start w:val="1"/>
      <w:numFmt w:val="decimal"/>
      <w:lvlText w:val="%1.%2.%3"/>
      <w:lvlJc w:val="left"/>
      <w:pPr>
        <w:ind w:left="2214" w:hanging="108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708" w:hanging="1440"/>
      </w:pPr>
      <w:rPr>
        <w:rFonts w:hint="default"/>
        <w:b w:val="0"/>
      </w:rPr>
    </w:lvl>
    <w:lvl w:ilvl="5">
      <w:start w:val="1"/>
      <w:numFmt w:val="decimal"/>
      <w:lvlText w:val="%1.%2.%3.%4.%5.%6"/>
      <w:lvlJc w:val="left"/>
      <w:pPr>
        <w:ind w:left="4635" w:hanging="1800"/>
      </w:pPr>
      <w:rPr>
        <w:rFonts w:hint="default"/>
        <w:b w:val="0"/>
      </w:rPr>
    </w:lvl>
    <w:lvl w:ilvl="6">
      <w:start w:val="1"/>
      <w:numFmt w:val="decimal"/>
      <w:lvlText w:val="%1.%2.%3.%4.%5.%6.%7"/>
      <w:lvlJc w:val="left"/>
      <w:pPr>
        <w:ind w:left="5562" w:hanging="2160"/>
      </w:pPr>
      <w:rPr>
        <w:rFonts w:hint="default"/>
        <w:b w:val="0"/>
      </w:rPr>
    </w:lvl>
    <w:lvl w:ilvl="7">
      <w:start w:val="1"/>
      <w:numFmt w:val="decimal"/>
      <w:lvlText w:val="%1.%2.%3.%4.%5.%6.%7.%8"/>
      <w:lvlJc w:val="left"/>
      <w:pPr>
        <w:ind w:left="6129" w:hanging="2160"/>
      </w:pPr>
      <w:rPr>
        <w:rFonts w:hint="default"/>
        <w:b w:val="0"/>
      </w:rPr>
    </w:lvl>
    <w:lvl w:ilvl="8">
      <w:start w:val="1"/>
      <w:numFmt w:val="decimal"/>
      <w:lvlText w:val="%1.%2.%3.%4.%5.%6.%7.%8.%9"/>
      <w:lvlJc w:val="left"/>
      <w:pPr>
        <w:ind w:left="7056" w:hanging="2520"/>
      </w:pPr>
      <w:rPr>
        <w:rFonts w:hint="default"/>
        <w:b w:val="0"/>
      </w:rPr>
    </w:lvl>
  </w:abstractNum>
  <w:abstractNum w:abstractNumId="10" w15:restartNumberingAfterBreak="0">
    <w:nsid w:val="783132D5"/>
    <w:multiLevelType w:val="multilevel"/>
    <w:tmpl w:val="88887522"/>
    <w:lvl w:ilvl="0">
      <w:start w:val="8"/>
      <w:numFmt w:val="decimal"/>
      <w:lvlText w:val="%1"/>
      <w:lvlJc w:val="left"/>
      <w:pPr>
        <w:ind w:left="360" w:hanging="36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635" w:hanging="180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7056" w:hanging="2520"/>
      </w:pPr>
      <w:rPr>
        <w:rFonts w:cs="Times New Roman" w:hint="default"/>
      </w:rPr>
    </w:lvl>
  </w:abstractNum>
  <w:abstractNum w:abstractNumId="11" w15:restartNumberingAfterBreak="0">
    <w:nsid w:val="7E3929E7"/>
    <w:multiLevelType w:val="multilevel"/>
    <w:tmpl w:val="5DAE72A8"/>
    <w:lvl w:ilvl="0">
      <w:start w:val="1"/>
      <w:numFmt w:val="lowerLetter"/>
      <w:lvlText w:val="(%1)"/>
      <w:lvlJc w:val="left"/>
      <w:pPr>
        <w:ind w:left="1494" w:hanging="360"/>
      </w:pPr>
      <w:rPr>
        <w:rFonts w:ascii="Verdana" w:eastAsia="Times New Roman" w:hAnsi="Verdana" w:cs="Times New Roman"/>
      </w:rPr>
    </w:lvl>
    <w:lvl w:ilvl="1">
      <w:start w:val="2"/>
      <w:numFmt w:val="decimal"/>
      <w:isLgl/>
      <w:lvlText w:val="%1.%2"/>
      <w:lvlJc w:val="left"/>
      <w:pPr>
        <w:ind w:left="2061"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402" w:hanging="1440"/>
      </w:pPr>
      <w:rPr>
        <w:rFonts w:hint="default"/>
      </w:rPr>
    </w:lvl>
    <w:lvl w:ilvl="5">
      <w:start w:val="1"/>
      <w:numFmt w:val="decimal"/>
      <w:isLgl/>
      <w:lvlText w:val="%1.%2.%3.%4.%5.%6"/>
      <w:lvlJc w:val="left"/>
      <w:pPr>
        <w:ind w:left="3969" w:hanging="1800"/>
      </w:pPr>
      <w:rPr>
        <w:rFonts w:hint="default"/>
      </w:rPr>
    </w:lvl>
    <w:lvl w:ilvl="6">
      <w:start w:val="1"/>
      <w:numFmt w:val="decimal"/>
      <w:isLgl/>
      <w:lvlText w:val="%1.%2.%3.%4.%5.%6.%7"/>
      <w:lvlJc w:val="left"/>
      <w:pPr>
        <w:ind w:left="4176" w:hanging="1800"/>
      </w:pPr>
      <w:rPr>
        <w:rFonts w:hint="default"/>
      </w:rPr>
    </w:lvl>
    <w:lvl w:ilvl="7">
      <w:start w:val="1"/>
      <w:numFmt w:val="decimal"/>
      <w:isLgl/>
      <w:lvlText w:val="%1.%2.%3.%4.%5.%6.%7.%8"/>
      <w:lvlJc w:val="left"/>
      <w:pPr>
        <w:ind w:left="4743" w:hanging="2160"/>
      </w:pPr>
      <w:rPr>
        <w:rFonts w:hint="default"/>
      </w:rPr>
    </w:lvl>
    <w:lvl w:ilvl="8">
      <w:start w:val="1"/>
      <w:numFmt w:val="decimal"/>
      <w:isLgl/>
      <w:lvlText w:val="%1.%2.%3.%4.%5.%6.%7.%8.%9"/>
      <w:lvlJc w:val="left"/>
      <w:pPr>
        <w:ind w:left="5310" w:hanging="2520"/>
      </w:pPr>
      <w:rPr>
        <w:rFonts w:hint="default"/>
      </w:rPr>
    </w:lvl>
  </w:abstractNum>
  <w:num w:numId="1" w16cid:durableId="1786928070">
    <w:abstractNumId w:val="9"/>
  </w:num>
  <w:num w:numId="2" w16cid:durableId="315500168">
    <w:abstractNumId w:val="2"/>
  </w:num>
  <w:num w:numId="3" w16cid:durableId="1703483535">
    <w:abstractNumId w:val="0"/>
  </w:num>
  <w:num w:numId="4" w16cid:durableId="885331490">
    <w:abstractNumId w:val="11"/>
  </w:num>
  <w:num w:numId="5" w16cid:durableId="1346175865">
    <w:abstractNumId w:val="1"/>
  </w:num>
  <w:num w:numId="6" w16cid:durableId="1653634097">
    <w:abstractNumId w:val="5"/>
  </w:num>
  <w:num w:numId="7" w16cid:durableId="1450658587">
    <w:abstractNumId w:val="3"/>
  </w:num>
  <w:num w:numId="8" w16cid:durableId="1073772388">
    <w:abstractNumId w:val="6"/>
  </w:num>
  <w:num w:numId="9" w16cid:durableId="775640277">
    <w:abstractNumId w:val="4"/>
  </w:num>
  <w:num w:numId="10" w16cid:durableId="993607141">
    <w:abstractNumId w:val="7"/>
  </w:num>
  <w:num w:numId="11" w16cid:durableId="147867666">
    <w:abstractNumId w:val="10"/>
  </w:num>
  <w:num w:numId="12" w16cid:durableId="110391636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v:fill color="white" on="f"/>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14"/>
    <w:rsid w:val="000013EB"/>
    <w:rsid w:val="000024E9"/>
    <w:rsid w:val="00004E03"/>
    <w:rsid w:val="000057EE"/>
    <w:rsid w:val="00006EA8"/>
    <w:rsid w:val="00007CA0"/>
    <w:rsid w:val="00010293"/>
    <w:rsid w:val="000106B5"/>
    <w:rsid w:val="00011FBE"/>
    <w:rsid w:val="00012ED1"/>
    <w:rsid w:val="00013EA5"/>
    <w:rsid w:val="00014DA0"/>
    <w:rsid w:val="00016627"/>
    <w:rsid w:val="000166CD"/>
    <w:rsid w:val="00017965"/>
    <w:rsid w:val="00020D0D"/>
    <w:rsid w:val="00021E56"/>
    <w:rsid w:val="00021EFF"/>
    <w:rsid w:val="00024470"/>
    <w:rsid w:val="00026A80"/>
    <w:rsid w:val="0003082F"/>
    <w:rsid w:val="00030E74"/>
    <w:rsid w:val="00031D1E"/>
    <w:rsid w:val="0003241C"/>
    <w:rsid w:val="00032850"/>
    <w:rsid w:val="0003333B"/>
    <w:rsid w:val="00034749"/>
    <w:rsid w:val="00035CF7"/>
    <w:rsid w:val="0003621D"/>
    <w:rsid w:val="00042B0F"/>
    <w:rsid w:val="00044086"/>
    <w:rsid w:val="00044E1F"/>
    <w:rsid w:val="000468A9"/>
    <w:rsid w:val="00051018"/>
    <w:rsid w:val="0005171F"/>
    <w:rsid w:val="00054185"/>
    <w:rsid w:val="00054786"/>
    <w:rsid w:val="000548B4"/>
    <w:rsid w:val="00054B3B"/>
    <w:rsid w:val="00054FCB"/>
    <w:rsid w:val="00055107"/>
    <w:rsid w:val="000562A7"/>
    <w:rsid w:val="00056678"/>
    <w:rsid w:val="00060475"/>
    <w:rsid w:val="00060737"/>
    <w:rsid w:val="000619F6"/>
    <w:rsid w:val="00062026"/>
    <w:rsid w:val="00062EA8"/>
    <w:rsid w:val="0006317B"/>
    <w:rsid w:val="000644B5"/>
    <w:rsid w:val="00067CCC"/>
    <w:rsid w:val="00070142"/>
    <w:rsid w:val="00071E02"/>
    <w:rsid w:val="0007457F"/>
    <w:rsid w:val="00074847"/>
    <w:rsid w:val="00077146"/>
    <w:rsid w:val="00082403"/>
    <w:rsid w:val="00083094"/>
    <w:rsid w:val="000838A9"/>
    <w:rsid w:val="00084167"/>
    <w:rsid w:val="0008442E"/>
    <w:rsid w:val="00086A30"/>
    <w:rsid w:val="00087911"/>
    <w:rsid w:val="00087CBA"/>
    <w:rsid w:val="00087F33"/>
    <w:rsid w:val="0009044E"/>
    <w:rsid w:val="000904CE"/>
    <w:rsid w:val="00091081"/>
    <w:rsid w:val="00092B6A"/>
    <w:rsid w:val="0009403C"/>
    <w:rsid w:val="000963D3"/>
    <w:rsid w:val="00096493"/>
    <w:rsid w:val="000A0255"/>
    <w:rsid w:val="000A0D02"/>
    <w:rsid w:val="000B1B3D"/>
    <w:rsid w:val="000B2287"/>
    <w:rsid w:val="000B36FA"/>
    <w:rsid w:val="000B3CCE"/>
    <w:rsid w:val="000B47C8"/>
    <w:rsid w:val="000B5062"/>
    <w:rsid w:val="000B5737"/>
    <w:rsid w:val="000B656D"/>
    <w:rsid w:val="000B70BB"/>
    <w:rsid w:val="000B71AA"/>
    <w:rsid w:val="000C0E3A"/>
    <w:rsid w:val="000C287F"/>
    <w:rsid w:val="000C2C29"/>
    <w:rsid w:val="000C5B1B"/>
    <w:rsid w:val="000C6242"/>
    <w:rsid w:val="000D15CD"/>
    <w:rsid w:val="000D22EC"/>
    <w:rsid w:val="000D33D7"/>
    <w:rsid w:val="000D4282"/>
    <w:rsid w:val="000D5AE6"/>
    <w:rsid w:val="000D6F91"/>
    <w:rsid w:val="000D707A"/>
    <w:rsid w:val="000D73C2"/>
    <w:rsid w:val="000D772F"/>
    <w:rsid w:val="000D7AAD"/>
    <w:rsid w:val="000E150D"/>
    <w:rsid w:val="000E19B5"/>
    <w:rsid w:val="000E2617"/>
    <w:rsid w:val="000E340A"/>
    <w:rsid w:val="000F0953"/>
    <w:rsid w:val="000F0A96"/>
    <w:rsid w:val="000F0AB5"/>
    <w:rsid w:val="000F1961"/>
    <w:rsid w:val="000F39C0"/>
    <w:rsid w:val="000F3B7C"/>
    <w:rsid w:val="000F3DF4"/>
    <w:rsid w:val="000F45C9"/>
    <w:rsid w:val="000F56FC"/>
    <w:rsid w:val="000F5CAD"/>
    <w:rsid w:val="000F76A4"/>
    <w:rsid w:val="00100CCE"/>
    <w:rsid w:val="00100F0D"/>
    <w:rsid w:val="00100FB0"/>
    <w:rsid w:val="0010363F"/>
    <w:rsid w:val="00106885"/>
    <w:rsid w:val="00110045"/>
    <w:rsid w:val="0011039D"/>
    <w:rsid w:val="00110DAC"/>
    <w:rsid w:val="00113C2B"/>
    <w:rsid w:val="001143A1"/>
    <w:rsid w:val="00115342"/>
    <w:rsid w:val="00115C82"/>
    <w:rsid w:val="00116A5B"/>
    <w:rsid w:val="001171D7"/>
    <w:rsid w:val="00120261"/>
    <w:rsid w:val="00120A7D"/>
    <w:rsid w:val="00120D6D"/>
    <w:rsid w:val="00122364"/>
    <w:rsid w:val="00122880"/>
    <w:rsid w:val="00127093"/>
    <w:rsid w:val="00130037"/>
    <w:rsid w:val="0013041E"/>
    <w:rsid w:val="001311FB"/>
    <w:rsid w:val="00132CA5"/>
    <w:rsid w:val="00136BBF"/>
    <w:rsid w:val="001429F6"/>
    <w:rsid w:val="00144D6D"/>
    <w:rsid w:val="0014753D"/>
    <w:rsid w:val="00147623"/>
    <w:rsid w:val="0015262E"/>
    <w:rsid w:val="001529C4"/>
    <w:rsid w:val="00153B9B"/>
    <w:rsid w:val="00153BAD"/>
    <w:rsid w:val="00154F5A"/>
    <w:rsid w:val="00157088"/>
    <w:rsid w:val="00157DF9"/>
    <w:rsid w:val="00162894"/>
    <w:rsid w:val="00162FCC"/>
    <w:rsid w:val="0016493B"/>
    <w:rsid w:val="001660F0"/>
    <w:rsid w:val="00166FCC"/>
    <w:rsid w:val="0017048E"/>
    <w:rsid w:val="00171789"/>
    <w:rsid w:val="00171A4B"/>
    <w:rsid w:val="00171B64"/>
    <w:rsid w:val="00173ADB"/>
    <w:rsid w:val="0017639B"/>
    <w:rsid w:val="001843DC"/>
    <w:rsid w:val="001865EF"/>
    <w:rsid w:val="00186C08"/>
    <w:rsid w:val="00187910"/>
    <w:rsid w:val="00187EE6"/>
    <w:rsid w:val="0019193E"/>
    <w:rsid w:val="00194235"/>
    <w:rsid w:val="00194DA7"/>
    <w:rsid w:val="00197281"/>
    <w:rsid w:val="00197766"/>
    <w:rsid w:val="001A11F1"/>
    <w:rsid w:val="001A3950"/>
    <w:rsid w:val="001A5DCE"/>
    <w:rsid w:val="001A5F05"/>
    <w:rsid w:val="001A603E"/>
    <w:rsid w:val="001A6B0E"/>
    <w:rsid w:val="001A73FE"/>
    <w:rsid w:val="001B0937"/>
    <w:rsid w:val="001B094E"/>
    <w:rsid w:val="001B1365"/>
    <w:rsid w:val="001B2908"/>
    <w:rsid w:val="001B39F8"/>
    <w:rsid w:val="001B5B6E"/>
    <w:rsid w:val="001B6200"/>
    <w:rsid w:val="001C4308"/>
    <w:rsid w:val="001C455B"/>
    <w:rsid w:val="001D1CC8"/>
    <w:rsid w:val="001D32EE"/>
    <w:rsid w:val="001D33BC"/>
    <w:rsid w:val="001D3964"/>
    <w:rsid w:val="001D4740"/>
    <w:rsid w:val="001D53C1"/>
    <w:rsid w:val="001D6C48"/>
    <w:rsid w:val="001D7E66"/>
    <w:rsid w:val="001E060A"/>
    <w:rsid w:val="001E1C5A"/>
    <w:rsid w:val="001E1D0F"/>
    <w:rsid w:val="001E4689"/>
    <w:rsid w:val="001E481B"/>
    <w:rsid w:val="001E53AF"/>
    <w:rsid w:val="001E61C0"/>
    <w:rsid w:val="001F0267"/>
    <w:rsid w:val="001F07B5"/>
    <w:rsid w:val="001F0BCF"/>
    <w:rsid w:val="001F0C41"/>
    <w:rsid w:val="001F0F91"/>
    <w:rsid w:val="001F11D6"/>
    <w:rsid w:val="001F2448"/>
    <w:rsid w:val="001F32DB"/>
    <w:rsid w:val="001F623B"/>
    <w:rsid w:val="0020009E"/>
    <w:rsid w:val="00200782"/>
    <w:rsid w:val="00202398"/>
    <w:rsid w:val="00202578"/>
    <w:rsid w:val="0020297E"/>
    <w:rsid w:val="00202D59"/>
    <w:rsid w:val="00204ABC"/>
    <w:rsid w:val="00205683"/>
    <w:rsid w:val="00205CC2"/>
    <w:rsid w:val="002069F1"/>
    <w:rsid w:val="0020735A"/>
    <w:rsid w:val="002100D2"/>
    <w:rsid w:val="0021115D"/>
    <w:rsid w:val="00211246"/>
    <w:rsid w:val="00211417"/>
    <w:rsid w:val="00211813"/>
    <w:rsid w:val="00211A78"/>
    <w:rsid w:val="0021353C"/>
    <w:rsid w:val="002154EF"/>
    <w:rsid w:val="00216D3E"/>
    <w:rsid w:val="0021746A"/>
    <w:rsid w:val="00221544"/>
    <w:rsid w:val="0022347D"/>
    <w:rsid w:val="00223A9A"/>
    <w:rsid w:val="0022466C"/>
    <w:rsid w:val="00226797"/>
    <w:rsid w:val="00227576"/>
    <w:rsid w:val="0023074D"/>
    <w:rsid w:val="00230F0C"/>
    <w:rsid w:val="00232373"/>
    <w:rsid w:val="00232A75"/>
    <w:rsid w:val="0023576D"/>
    <w:rsid w:val="0023747B"/>
    <w:rsid w:val="00237C9A"/>
    <w:rsid w:val="00240C0B"/>
    <w:rsid w:val="00245A94"/>
    <w:rsid w:val="00245DC6"/>
    <w:rsid w:val="00246733"/>
    <w:rsid w:val="002475A7"/>
    <w:rsid w:val="002500DE"/>
    <w:rsid w:val="002508DD"/>
    <w:rsid w:val="0025113D"/>
    <w:rsid w:val="00253689"/>
    <w:rsid w:val="00257E21"/>
    <w:rsid w:val="00260062"/>
    <w:rsid w:val="0026042E"/>
    <w:rsid w:val="00262FD6"/>
    <w:rsid w:val="00264EF5"/>
    <w:rsid w:val="00265351"/>
    <w:rsid w:val="00266037"/>
    <w:rsid w:val="00266E30"/>
    <w:rsid w:val="00274B9C"/>
    <w:rsid w:val="002766AE"/>
    <w:rsid w:val="002812E0"/>
    <w:rsid w:val="00281347"/>
    <w:rsid w:val="00281EEA"/>
    <w:rsid w:val="00282908"/>
    <w:rsid w:val="0028448D"/>
    <w:rsid w:val="0029348B"/>
    <w:rsid w:val="0029402A"/>
    <w:rsid w:val="00297390"/>
    <w:rsid w:val="002A2CA7"/>
    <w:rsid w:val="002A54EC"/>
    <w:rsid w:val="002A75C6"/>
    <w:rsid w:val="002A7708"/>
    <w:rsid w:val="002A7A28"/>
    <w:rsid w:val="002B021C"/>
    <w:rsid w:val="002B0881"/>
    <w:rsid w:val="002B0E93"/>
    <w:rsid w:val="002B105C"/>
    <w:rsid w:val="002B1741"/>
    <w:rsid w:val="002B23F6"/>
    <w:rsid w:val="002B2CE6"/>
    <w:rsid w:val="002B482B"/>
    <w:rsid w:val="002B4B3D"/>
    <w:rsid w:val="002B4D6C"/>
    <w:rsid w:val="002B4F87"/>
    <w:rsid w:val="002C09D7"/>
    <w:rsid w:val="002C0AB7"/>
    <w:rsid w:val="002C0EB2"/>
    <w:rsid w:val="002C262E"/>
    <w:rsid w:val="002C2764"/>
    <w:rsid w:val="002C311C"/>
    <w:rsid w:val="002C3B35"/>
    <w:rsid w:val="002C3CA4"/>
    <w:rsid w:val="002C5F18"/>
    <w:rsid w:val="002D22CE"/>
    <w:rsid w:val="002D2681"/>
    <w:rsid w:val="002D6704"/>
    <w:rsid w:val="002E03FF"/>
    <w:rsid w:val="002E13D0"/>
    <w:rsid w:val="002E181C"/>
    <w:rsid w:val="002E32F0"/>
    <w:rsid w:val="002E4814"/>
    <w:rsid w:val="002E7E3E"/>
    <w:rsid w:val="002F1332"/>
    <w:rsid w:val="002F2414"/>
    <w:rsid w:val="002F2AF1"/>
    <w:rsid w:val="002F2AF2"/>
    <w:rsid w:val="002F2C53"/>
    <w:rsid w:val="002F2C5D"/>
    <w:rsid w:val="002F2C91"/>
    <w:rsid w:val="002F32AC"/>
    <w:rsid w:val="002F32C9"/>
    <w:rsid w:val="002F5258"/>
    <w:rsid w:val="002F622F"/>
    <w:rsid w:val="003010BC"/>
    <w:rsid w:val="0030458C"/>
    <w:rsid w:val="003063EB"/>
    <w:rsid w:val="00306F2D"/>
    <w:rsid w:val="00310CC2"/>
    <w:rsid w:val="0031207D"/>
    <w:rsid w:val="00313C3F"/>
    <w:rsid w:val="003149EA"/>
    <w:rsid w:val="00314A14"/>
    <w:rsid w:val="003157DF"/>
    <w:rsid w:val="003168D8"/>
    <w:rsid w:val="00316BAD"/>
    <w:rsid w:val="0032063C"/>
    <w:rsid w:val="00320C8D"/>
    <w:rsid w:val="00320CFD"/>
    <w:rsid w:val="00321392"/>
    <w:rsid w:val="003225CA"/>
    <w:rsid w:val="00322799"/>
    <w:rsid w:val="00324031"/>
    <w:rsid w:val="00324B71"/>
    <w:rsid w:val="00325179"/>
    <w:rsid w:val="00325786"/>
    <w:rsid w:val="00325A84"/>
    <w:rsid w:val="0033118C"/>
    <w:rsid w:val="00334A3C"/>
    <w:rsid w:val="00335FA5"/>
    <w:rsid w:val="003361FE"/>
    <w:rsid w:val="00337B06"/>
    <w:rsid w:val="003446C1"/>
    <w:rsid w:val="00346037"/>
    <w:rsid w:val="00346D16"/>
    <w:rsid w:val="00347FE3"/>
    <w:rsid w:val="0035093A"/>
    <w:rsid w:val="00351720"/>
    <w:rsid w:val="00353274"/>
    <w:rsid w:val="0035332C"/>
    <w:rsid w:val="003537D4"/>
    <w:rsid w:val="00354932"/>
    <w:rsid w:val="00356037"/>
    <w:rsid w:val="00356CF3"/>
    <w:rsid w:val="0035752B"/>
    <w:rsid w:val="00361817"/>
    <w:rsid w:val="003625C3"/>
    <w:rsid w:val="00362728"/>
    <w:rsid w:val="00363324"/>
    <w:rsid w:val="00364396"/>
    <w:rsid w:val="00364BCA"/>
    <w:rsid w:val="0036506E"/>
    <w:rsid w:val="003659C9"/>
    <w:rsid w:val="00366931"/>
    <w:rsid w:val="00366FE5"/>
    <w:rsid w:val="00372261"/>
    <w:rsid w:val="0037518B"/>
    <w:rsid w:val="0037548A"/>
    <w:rsid w:val="00377A2F"/>
    <w:rsid w:val="00380FEF"/>
    <w:rsid w:val="0038134F"/>
    <w:rsid w:val="00382432"/>
    <w:rsid w:val="0038284B"/>
    <w:rsid w:val="00382D79"/>
    <w:rsid w:val="00384359"/>
    <w:rsid w:val="003848BC"/>
    <w:rsid w:val="00384CF8"/>
    <w:rsid w:val="00386A64"/>
    <w:rsid w:val="0038735E"/>
    <w:rsid w:val="00390A43"/>
    <w:rsid w:val="00390D00"/>
    <w:rsid w:val="003914E9"/>
    <w:rsid w:val="00392AE6"/>
    <w:rsid w:val="00393519"/>
    <w:rsid w:val="003937AB"/>
    <w:rsid w:val="00393BDB"/>
    <w:rsid w:val="0039663C"/>
    <w:rsid w:val="003A0921"/>
    <w:rsid w:val="003A1D77"/>
    <w:rsid w:val="003A2244"/>
    <w:rsid w:val="003A348E"/>
    <w:rsid w:val="003A3F19"/>
    <w:rsid w:val="003A5297"/>
    <w:rsid w:val="003A64C3"/>
    <w:rsid w:val="003A6941"/>
    <w:rsid w:val="003A75E7"/>
    <w:rsid w:val="003A7C8C"/>
    <w:rsid w:val="003B0FC9"/>
    <w:rsid w:val="003B10AE"/>
    <w:rsid w:val="003B1A00"/>
    <w:rsid w:val="003B247F"/>
    <w:rsid w:val="003B3CF2"/>
    <w:rsid w:val="003B4415"/>
    <w:rsid w:val="003B5AD2"/>
    <w:rsid w:val="003B6048"/>
    <w:rsid w:val="003B695B"/>
    <w:rsid w:val="003B6DC2"/>
    <w:rsid w:val="003B7A3A"/>
    <w:rsid w:val="003C096E"/>
    <w:rsid w:val="003C41FB"/>
    <w:rsid w:val="003C6287"/>
    <w:rsid w:val="003C7FCB"/>
    <w:rsid w:val="003D0A3B"/>
    <w:rsid w:val="003D12AC"/>
    <w:rsid w:val="003D3056"/>
    <w:rsid w:val="003D3736"/>
    <w:rsid w:val="003D3984"/>
    <w:rsid w:val="003D5278"/>
    <w:rsid w:val="003D7269"/>
    <w:rsid w:val="003D7322"/>
    <w:rsid w:val="003E52C8"/>
    <w:rsid w:val="003E59CC"/>
    <w:rsid w:val="003E5DDD"/>
    <w:rsid w:val="003E7A50"/>
    <w:rsid w:val="003E7F4C"/>
    <w:rsid w:val="003F0461"/>
    <w:rsid w:val="003F2DA7"/>
    <w:rsid w:val="003F3D0B"/>
    <w:rsid w:val="003F3E77"/>
    <w:rsid w:val="003F42C7"/>
    <w:rsid w:val="003F4FF1"/>
    <w:rsid w:val="003F58F8"/>
    <w:rsid w:val="003F5CD2"/>
    <w:rsid w:val="00401BD6"/>
    <w:rsid w:val="00401F99"/>
    <w:rsid w:val="00402C19"/>
    <w:rsid w:val="00402F7C"/>
    <w:rsid w:val="004047B5"/>
    <w:rsid w:val="004065CF"/>
    <w:rsid w:val="00407895"/>
    <w:rsid w:val="004114C8"/>
    <w:rsid w:val="00415315"/>
    <w:rsid w:val="004179E9"/>
    <w:rsid w:val="00420351"/>
    <w:rsid w:val="00420A40"/>
    <w:rsid w:val="00422D1E"/>
    <w:rsid w:val="00424B29"/>
    <w:rsid w:val="0042581B"/>
    <w:rsid w:val="00427686"/>
    <w:rsid w:val="0042776F"/>
    <w:rsid w:val="00427942"/>
    <w:rsid w:val="00427FC4"/>
    <w:rsid w:val="00430540"/>
    <w:rsid w:val="00430D4F"/>
    <w:rsid w:val="00431C43"/>
    <w:rsid w:val="00431ECD"/>
    <w:rsid w:val="004336CF"/>
    <w:rsid w:val="00433B3B"/>
    <w:rsid w:val="0043612B"/>
    <w:rsid w:val="00436597"/>
    <w:rsid w:val="004371CE"/>
    <w:rsid w:val="004379AF"/>
    <w:rsid w:val="004402DA"/>
    <w:rsid w:val="00441674"/>
    <w:rsid w:val="00442251"/>
    <w:rsid w:val="00442FBA"/>
    <w:rsid w:val="00444495"/>
    <w:rsid w:val="00445B1D"/>
    <w:rsid w:val="00453CBF"/>
    <w:rsid w:val="00454CB3"/>
    <w:rsid w:val="00454F8B"/>
    <w:rsid w:val="00455320"/>
    <w:rsid w:val="00455331"/>
    <w:rsid w:val="00455CB1"/>
    <w:rsid w:val="0045628A"/>
    <w:rsid w:val="00456BA4"/>
    <w:rsid w:val="00457646"/>
    <w:rsid w:val="00457E7E"/>
    <w:rsid w:val="00460E9F"/>
    <w:rsid w:val="0046178B"/>
    <w:rsid w:val="00462D80"/>
    <w:rsid w:val="00463177"/>
    <w:rsid w:val="00464163"/>
    <w:rsid w:val="00464868"/>
    <w:rsid w:val="00470B52"/>
    <w:rsid w:val="00472833"/>
    <w:rsid w:val="00473EA0"/>
    <w:rsid w:val="0047481A"/>
    <w:rsid w:val="00474D90"/>
    <w:rsid w:val="0047740F"/>
    <w:rsid w:val="00482B6C"/>
    <w:rsid w:val="00482C6C"/>
    <w:rsid w:val="00483BB3"/>
    <w:rsid w:val="00487B6F"/>
    <w:rsid w:val="00490874"/>
    <w:rsid w:val="00490A03"/>
    <w:rsid w:val="00491C25"/>
    <w:rsid w:val="0049401E"/>
    <w:rsid w:val="00494766"/>
    <w:rsid w:val="0049610B"/>
    <w:rsid w:val="004969BD"/>
    <w:rsid w:val="004A07EE"/>
    <w:rsid w:val="004A29B2"/>
    <w:rsid w:val="004A67B6"/>
    <w:rsid w:val="004B041C"/>
    <w:rsid w:val="004B0779"/>
    <w:rsid w:val="004B07F6"/>
    <w:rsid w:val="004B0999"/>
    <w:rsid w:val="004B0FE1"/>
    <w:rsid w:val="004B1BA7"/>
    <w:rsid w:val="004B355A"/>
    <w:rsid w:val="004B7194"/>
    <w:rsid w:val="004C0A44"/>
    <w:rsid w:val="004C0A8A"/>
    <w:rsid w:val="004C0BE0"/>
    <w:rsid w:val="004C1640"/>
    <w:rsid w:val="004C180C"/>
    <w:rsid w:val="004C278D"/>
    <w:rsid w:val="004C2825"/>
    <w:rsid w:val="004C289B"/>
    <w:rsid w:val="004C2DE2"/>
    <w:rsid w:val="004C34F7"/>
    <w:rsid w:val="004C396B"/>
    <w:rsid w:val="004C4E75"/>
    <w:rsid w:val="004C67FF"/>
    <w:rsid w:val="004C6D3C"/>
    <w:rsid w:val="004C7679"/>
    <w:rsid w:val="004D0D54"/>
    <w:rsid w:val="004D176B"/>
    <w:rsid w:val="004D1B85"/>
    <w:rsid w:val="004D34B9"/>
    <w:rsid w:val="004D4C80"/>
    <w:rsid w:val="004D52BB"/>
    <w:rsid w:val="004D7036"/>
    <w:rsid w:val="004D7ED5"/>
    <w:rsid w:val="004E18F8"/>
    <w:rsid w:val="004E495A"/>
    <w:rsid w:val="004E5F27"/>
    <w:rsid w:val="004E5F89"/>
    <w:rsid w:val="004E798A"/>
    <w:rsid w:val="004F3AF5"/>
    <w:rsid w:val="004F46B2"/>
    <w:rsid w:val="004F619C"/>
    <w:rsid w:val="004F6B59"/>
    <w:rsid w:val="004F6F1F"/>
    <w:rsid w:val="005009FE"/>
    <w:rsid w:val="00504A14"/>
    <w:rsid w:val="00505761"/>
    <w:rsid w:val="00506314"/>
    <w:rsid w:val="00506F5F"/>
    <w:rsid w:val="00514218"/>
    <w:rsid w:val="00514331"/>
    <w:rsid w:val="00515B4D"/>
    <w:rsid w:val="0051672C"/>
    <w:rsid w:val="00517BA7"/>
    <w:rsid w:val="00523E33"/>
    <w:rsid w:val="00524611"/>
    <w:rsid w:val="00524622"/>
    <w:rsid w:val="005257EB"/>
    <w:rsid w:val="005260AD"/>
    <w:rsid w:val="00527737"/>
    <w:rsid w:val="005302FA"/>
    <w:rsid w:val="00531C81"/>
    <w:rsid w:val="005347A5"/>
    <w:rsid w:val="005356EF"/>
    <w:rsid w:val="00536591"/>
    <w:rsid w:val="00537359"/>
    <w:rsid w:val="00537D68"/>
    <w:rsid w:val="00540C17"/>
    <w:rsid w:val="005415CC"/>
    <w:rsid w:val="00541753"/>
    <w:rsid w:val="00541BD0"/>
    <w:rsid w:val="00542F9E"/>
    <w:rsid w:val="005444CD"/>
    <w:rsid w:val="005447CE"/>
    <w:rsid w:val="005468BE"/>
    <w:rsid w:val="00547AA6"/>
    <w:rsid w:val="005502F7"/>
    <w:rsid w:val="00551375"/>
    <w:rsid w:val="00555D83"/>
    <w:rsid w:val="00556CD6"/>
    <w:rsid w:val="00557C93"/>
    <w:rsid w:val="00560116"/>
    <w:rsid w:val="005605D4"/>
    <w:rsid w:val="00560B86"/>
    <w:rsid w:val="0056224B"/>
    <w:rsid w:val="005627A8"/>
    <w:rsid w:val="005645A6"/>
    <w:rsid w:val="00565E77"/>
    <w:rsid w:val="00566839"/>
    <w:rsid w:val="00570B8B"/>
    <w:rsid w:val="00571B7B"/>
    <w:rsid w:val="00573078"/>
    <w:rsid w:val="00574309"/>
    <w:rsid w:val="00575C91"/>
    <w:rsid w:val="00575F69"/>
    <w:rsid w:val="00576A87"/>
    <w:rsid w:val="005810F0"/>
    <w:rsid w:val="00581FE9"/>
    <w:rsid w:val="005841CB"/>
    <w:rsid w:val="005849A8"/>
    <w:rsid w:val="0058586E"/>
    <w:rsid w:val="00593F2D"/>
    <w:rsid w:val="00596121"/>
    <w:rsid w:val="00596468"/>
    <w:rsid w:val="005A11B2"/>
    <w:rsid w:val="005A1C6B"/>
    <w:rsid w:val="005A27B6"/>
    <w:rsid w:val="005A549B"/>
    <w:rsid w:val="005A780A"/>
    <w:rsid w:val="005A7D2E"/>
    <w:rsid w:val="005B22E8"/>
    <w:rsid w:val="005B230E"/>
    <w:rsid w:val="005B3177"/>
    <w:rsid w:val="005B4A30"/>
    <w:rsid w:val="005B7145"/>
    <w:rsid w:val="005B749A"/>
    <w:rsid w:val="005B7606"/>
    <w:rsid w:val="005C1122"/>
    <w:rsid w:val="005C12A8"/>
    <w:rsid w:val="005C1971"/>
    <w:rsid w:val="005C3523"/>
    <w:rsid w:val="005C3FB3"/>
    <w:rsid w:val="005C73A8"/>
    <w:rsid w:val="005C7AF2"/>
    <w:rsid w:val="005D1489"/>
    <w:rsid w:val="005D23FF"/>
    <w:rsid w:val="005D4056"/>
    <w:rsid w:val="005D465D"/>
    <w:rsid w:val="005D4ACE"/>
    <w:rsid w:val="005D5745"/>
    <w:rsid w:val="005D591B"/>
    <w:rsid w:val="005D633E"/>
    <w:rsid w:val="005E3937"/>
    <w:rsid w:val="005E4E92"/>
    <w:rsid w:val="005E518F"/>
    <w:rsid w:val="005E6E07"/>
    <w:rsid w:val="005F1827"/>
    <w:rsid w:val="005F3AB3"/>
    <w:rsid w:val="005F3E5C"/>
    <w:rsid w:val="005F42B0"/>
    <w:rsid w:val="005F58FA"/>
    <w:rsid w:val="005F68C1"/>
    <w:rsid w:val="005F6B05"/>
    <w:rsid w:val="005F70BE"/>
    <w:rsid w:val="0060469B"/>
    <w:rsid w:val="00604A65"/>
    <w:rsid w:val="00605CED"/>
    <w:rsid w:val="00606597"/>
    <w:rsid w:val="006100EE"/>
    <w:rsid w:val="00610B6E"/>
    <w:rsid w:val="006116B8"/>
    <w:rsid w:val="00613363"/>
    <w:rsid w:val="0061343F"/>
    <w:rsid w:val="006148B1"/>
    <w:rsid w:val="006170A4"/>
    <w:rsid w:val="006215A7"/>
    <w:rsid w:val="00625A08"/>
    <w:rsid w:val="00625A1E"/>
    <w:rsid w:val="00626039"/>
    <w:rsid w:val="00626DF0"/>
    <w:rsid w:val="00626E94"/>
    <w:rsid w:val="00627987"/>
    <w:rsid w:val="00632412"/>
    <w:rsid w:val="006326EC"/>
    <w:rsid w:val="00632A32"/>
    <w:rsid w:val="00632E05"/>
    <w:rsid w:val="0063494B"/>
    <w:rsid w:val="00634A0E"/>
    <w:rsid w:val="00634B9D"/>
    <w:rsid w:val="006420B9"/>
    <w:rsid w:val="006441A2"/>
    <w:rsid w:val="006445C5"/>
    <w:rsid w:val="006459DC"/>
    <w:rsid w:val="006461C5"/>
    <w:rsid w:val="00646561"/>
    <w:rsid w:val="006476EA"/>
    <w:rsid w:val="00647F9D"/>
    <w:rsid w:val="0065035C"/>
    <w:rsid w:val="00653B7D"/>
    <w:rsid w:val="00662E41"/>
    <w:rsid w:val="00667672"/>
    <w:rsid w:val="00672E31"/>
    <w:rsid w:val="00673DE1"/>
    <w:rsid w:val="00674207"/>
    <w:rsid w:val="00674F3E"/>
    <w:rsid w:val="0067681F"/>
    <w:rsid w:val="00676FA0"/>
    <w:rsid w:val="006808E3"/>
    <w:rsid w:val="00680AFF"/>
    <w:rsid w:val="00680D91"/>
    <w:rsid w:val="00681C45"/>
    <w:rsid w:val="0068377F"/>
    <w:rsid w:val="00684B80"/>
    <w:rsid w:val="00687DB4"/>
    <w:rsid w:val="006907FE"/>
    <w:rsid w:val="006935A7"/>
    <w:rsid w:val="00694CDC"/>
    <w:rsid w:val="00695644"/>
    <w:rsid w:val="00695C64"/>
    <w:rsid w:val="006966AB"/>
    <w:rsid w:val="0069682F"/>
    <w:rsid w:val="0069747B"/>
    <w:rsid w:val="00697FB7"/>
    <w:rsid w:val="006A0283"/>
    <w:rsid w:val="006A0694"/>
    <w:rsid w:val="006A0D09"/>
    <w:rsid w:val="006A20CD"/>
    <w:rsid w:val="006A4A3B"/>
    <w:rsid w:val="006A6CB1"/>
    <w:rsid w:val="006A6D9E"/>
    <w:rsid w:val="006A79E3"/>
    <w:rsid w:val="006B05F6"/>
    <w:rsid w:val="006B0C51"/>
    <w:rsid w:val="006B126C"/>
    <w:rsid w:val="006B1722"/>
    <w:rsid w:val="006B1A63"/>
    <w:rsid w:val="006B34C2"/>
    <w:rsid w:val="006B3B65"/>
    <w:rsid w:val="006B3BF6"/>
    <w:rsid w:val="006B3D88"/>
    <w:rsid w:val="006B4DB8"/>
    <w:rsid w:val="006B554B"/>
    <w:rsid w:val="006B5C90"/>
    <w:rsid w:val="006B5E1F"/>
    <w:rsid w:val="006B5F34"/>
    <w:rsid w:val="006B6FB0"/>
    <w:rsid w:val="006B750E"/>
    <w:rsid w:val="006B7E71"/>
    <w:rsid w:val="006C09DF"/>
    <w:rsid w:val="006C2835"/>
    <w:rsid w:val="006C2F69"/>
    <w:rsid w:val="006C35A6"/>
    <w:rsid w:val="006C4163"/>
    <w:rsid w:val="006C4F8F"/>
    <w:rsid w:val="006C5003"/>
    <w:rsid w:val="006C7703"/>
    <w:rsid w:val="006C7DC6"/>
    <w:rsid w:val="006D3019"/>
    <w:rsid w:val="006D3476"/>
    <w:rsid w:val="006D4926"/>
    <w:rsid w:val="006D4C35"/>
    <w:rsid w:val="006E2B17"/>
    <w:rsid w:val="006E39B0"/>
    <w:rsid w:val="006E48F9"/>
    <w:rsid w:val="006E54EB"/>
    <w:rsid w:val="006F245E"/>
    <w:rsid w:val="006F2CA8"/>
    <w:rsid w:val="006F3180"/>
    <w:rsid w:val="006F3251"/>
    <w:rsid w:val="006F4736"/>
    <w:rsid w:val="006F5AEF"/>
    <w:rsid w:val="006F631F"/>
    <w:rsid w:val="006F7CD1"/>
    <w:rsid w:val="00700035"/>
    <w:rsid w:val="007023F8"/>
    <w:rsid w:val="007036E1"/>
    <w:rsid w:val="00704BA7"/>
    <w:rsid w:val="007061B1"/>
    <w:rsid w:val="00706411"/>
    <w:rsid w:val="007073EE"/>
    <w:rsid w:val="00710EDC"/>
    <w:rsid w:val="00711DAD"/>
    <w:rsid w:val="00711E73"/>
    <w:rsid w:val="00712430"/>
    <w:rsid w:val="007125F4"/>
    <w:rsid w:val="00712E7C"/>
    <w:rsid w:val="00713993"/>
    <w:rsid w:val="007144F6"/>
    <w:rsid w:val="007150D4"/>
    <w:rsid w:val="00715A1D"/>
    <w:rsid w:val="00715AD7"/>
    <w:rsid w:val="00717269"/>
    <w:rsid w:val="0072083C"/>
    <w:rsid w:val="00721186"/>
    <w:rsid w:val="00721488"/>
    <w:rsid w:val="0072263C"/>
    <w:rsid w:val="00722B66"/>
    <w:rsid w:val="00723E2E"/>
    <w:rsid w:val="00725733"/>
    <w:rsid w:val="00727C3E"/>
    <w:rsid w:val="0073055E"/>
    <w:rsid w:val="00731127"/>
    <w:rsid w:val="00733391"/>
    <w:rsid w:val="0073378A"/>
    <w:rsid w:val="00733BB6"/>
    <w:rsid w:val="00735CC8"/>
    <w:rsid w:val="00736EA5"/>
    <w:rsid w:val="007374FA"/>
    <w:rsid w:val="007404B2"/>
    <w:rsid w:val="00740E95"/>
    <w:rsid w:val="00740F82"/>
    <w:rsid w:val="00742091"/>
    <w:rsid w:val="007435AE"/>
    <w:rsid w:val="00744FA9"/>
    <w:rsid w:val="00745822"/>
    <w:rsid w:val="007462D4"/>
    <w:rsid w:val="0074643E"/>
    <w:rsid w:val="00746EEB"/>
    <w:rsid w:val="0075018F"/>
    <w:rsid w:val="00750518"/>
    <w:rsid w:val="007507DC"/>
    <w:rsid w:val="00757569"/>
    <w:rsid w:val="00762C5C"/>
    <w:rsid w:val="00764A26"/>
    <w:rsid w:val="007651C7"/>
    <w:rsid w:val="00765831"/>
    <w:rsid w:val="00766311"/>
    <w:rsid w:val="007677C5"/>
    <w:rsid w:val="00770393"/>
    <w:rsid w:val="007713BA"/>
    <w:rsid w:val="007714AD"/>
    <w:rsid w:val="00771D90"/>
    <w:rsid w:val="00773DD0"/>
    <w:rsid w:val="00775972"/>
    <w:rsid w:val="00777107"/>
    <w:rsid w:val="007779B1"/>
    <w:rsid w:val="007821A7"/>
    <w:rsid w:val="00782388"/>
    <w:rsid w:val="007836D1"/>
    <w:rsid w:val="0078406D"/>
    <w:rsid w:val="00786874"/>
    <w:rsid w:val="00786CCB"/>
    <w:rsid w:val="00787AA6"/>
    <w:rsid w:val="00787BB5"/>
    <w:rsid w:val="007909A2"/>
    <w:rsid w:val="00793ACF"/>
    <w:rsid w:val="00795C4F"/>
    <w:rsid w:val="00796720"/>
    <w:rsid w:val="007A055D"/>
    <w:rsid w:val="007A18DB"/>
    <w:rsid w:val="007A3541"/>
    <w:rsid w:val="007A4456"/>
    <w:rsid w:val="007A4F75"/>
    <w:rsid w:val="007A6E03"/>
    <w:rsid w:val="007B0735"/>
    <w:rsid w:val="007B1226"/>
    <w:rsid w:val="007B1864"/>
    <w:rsid w:val="007B19DD"/>
    <w:rsid w:val="007B2FD5"/>
    <w:rsid w:val="007B4815"/>
    <w:rsid w:val="007B6C96"/>
    <w:rsid w:val="007B6D19"/>
    <w:rsid w:val="007B6F84"/>
    <w:rsid w:val="007B7508"/>
    <w:rsid w:val="007C0297"/>
    <w:rsid w:val="007C0CD7"/>
    <w:rsid w:val="007C1F98"/>
    <w:rsid w:val="007C275E"/>
    <w:rsid w:val="007C2BF7"/>
    <w:rsid w:val="007C3149"/>
    <w:rsid w:val="007C3BCA"/>
    <w:rsid w:val="007C4358"/>
    <w:rsid w:val="007C558A"/>
    <w:rsid w:val="007C5825"/>
    <w:rsid w:val="007D0EF8"/>
    <w:rsid w:val="007D25B8"/>
    <w:rsid w:val="007D46B4"/>
    <w:rsid w:val="007D4D65"/>
    <w:rsid w:val="007D51CA"/>
    <w:rsid w:val="007D66C2"/>
    <w:rsid w:val="007E157A"/>
    <w:rsid w:val="007E2ADA"/>
    <w:rsid w:val="007E3ED6"/>
    <w:rsid w:val="007E48C8"/>
    <w:rsid w:val="007E6C27"/>
    <w:rsid w:val="007F18A5"/>
    <w:rsid w:val="007F38F6"/>
    <w:rsid w:val="007F5001"/>
    <w:rsid w:val="007F5C19"/>
    <w:rsid w:val="007F7007"/>
    <w:rsid w:val="00800AA6"/>
    <w:rsid w:val="00800E95"/>
    <w:rsid w:val="00801B11"/>
    <w:rsid w:val="00801C7B"/>
    <w:rsid w:val="00802408"/>
    <w:rsid w:val="00803005"/>
    <w:rsid w:val="008047D8"/>
    <w:rsid w:val="0080492F"/>
    <w:rsid w:val="00804A3E"/>
    <w:rsid w:val="00804E77"/>
    <w:rsid w:val="00805013"/>
    <w:rsid w:val="00805F51"/>
    <w:rsid w:val="00806138"/>
    <w:rsid w:val="00806B17"/>
    <w:rsid w:val="0081083A"/>
    <w:rsid w:val="00810EDD"/>
    <w:rsid w:val="00815D78"/>
    <w:rsid w:val="008170A1"/>
    <w:rsid w:val="008177E5"/>
    <w:rsid w:val="00822C0D"/>
    <w:rsid w:val="0082307E"/>
    <w:rsid w:val="0082310B"/>
    <w:rsid w:val="008235F4"/>
    <w:rsid w:val="008243BA"/>
    <w:rsid w:val="00824500"/>
    <w:rsid w:val="00825E8F"/>
    <w:rsid w:val="00831E91"/>
    <w:rsid w:val="00834469"/>
    <w:rsid w:val="0083599F"/>
    <w:rsid w:val="008365B6"/>
    <w:rsid w:val="008378E9"/>
    <w:rsid w:val="00837AA9"/>
    <w:rsid w:val="00841736"/>
    <w:rsid w:val="00843112"/>
    <w:rsid w:val="0084472C"/>
    <w:rsid w:val="00845972"/>
    <w:rsid w:val="00846DED"/>
    <w:rsid w:val="00851390"/>
    <w:rsid w:val="00852D4F"/>
    <w:rsid w:val="00855B89"/>
    <w:rsid w:val="008561A7"/>
    <w:rsid w:val="00856623"/>
    <w:rsid w:val="00856FC2"/>
    <w:rsid w:val="0085754A"/>
    <w:rsid w:val="008620A3"/>
    <w:rsid w:val="00862CBF"/>
    <w:rsid w:val="008631A9"/>
    <w:rsid w:val="00865BF4"/>
    <w:rsid w:val="00870247"/>
    <w:rsid w:val="00870666"/>
    <w:rsid w:val="00870DC1"/>
    <w:rsid w:val="00871ECB"/>
    <w:rsid w:val="0087249C"/>
    <w:rsid w:val="00872DC2"/>
    <w:rsid w:val="00873587"/>
    <w:rsid w:val="00874A65"/>
    <w:rsid w:val="00876665"/>
    <w:rsid w:val="00876E22"/>
    <w:rsid w:val="00877DFB"/>
    <w:rsid w:val="008807CB"/>
    <w:rsid w:val="00885285"/>
    <w:rsid w:val="008879D6"/>
    <w:rsid w:val="008902F9"/>
    <w:rsid w:val="00890311"/>
    <w:rsid w:val="00891726"/>
    <w:rsid w:val="0089202A"/>
    <w:rsid w:val="00892AC2"/>
    <w:rsid w:val="008931CD"/>
    <w:rsid w:val="00893551"/>
    <w:rsid w:val="00893BBB"/>
    <w:rsid w:val="00896399"/>
    <w:rsid w:val="00897771"/>
    <w:rsid w:val="008A03A1"/>
    <w:rsid w:val="008A04B1"/>
    <w:rsid w:val="008A1305"/>
    <w:rsid w:val="008A4C71"/>
    <w:rsid w:val="008A590F"/>
    <w:rsid w:val="008B10E9"/>
    <w:rsid w:val="008B1FD2"/>
    <w:rsid w:val="008B22E4"/>
    <w:rsid w:val="008B5883"/>
    <w:rsid w:val="008B6397"/>
    <w:rsid w:val="008B74CF"/>
    <w:rsid w:val="008B7EEF"/>
    <w:rsid w:val="008C00EB"/>
    <w:rsid w:val="008C0E92"/>
    <w:rsid w:val="008C11F2"/>
    <w:rsid w:val="008C236B"/>
    <w:rsid w:val="008C31F8"/>
    <w:rsid w:val="008C608B"/>
    <w:rsid w:val="008C78C8"/>
    <w:rsid w:val="008C7ECD"/>
    <w:rsid w:val="008D0979"/>
    <w:rsid w:val="008D1B6C"/>
    <w:rsid w:val="008D33E6"/>
    <w:rsid w:val="008D409A"/>
    <w:rsid w:val="008D4439"/>
    <w:rsid w:val="008E1672"/>
    <w:rsid w:val="008E1B89"/>
    <w:rsid w:val="008E267C"/>
    <w:rsid w:val="008E35BE"/>
    <w:rsid w:val="008E3E95"/>
    <w:rsid w:val="008E616E"/>
    <w:rsid w:val="008F00D6"/>
    <w:rsid w:val="008F01B9"/>
    <w:rsid w:val="008F0CEB"/>
    <w:rsid w:val="008F10D8"/>
    <w:rsid w:val="008F11C1"/>
    <w:rsid w:val="008F32F5"/>
    <w:rsid w:val="008F6EFE"/>
    <w:rsid w:val="0090296C"/>
    <w:rsid w:val="00902EC6"/>
    <w:rsid w:val="009070AD"/>
    <w:rsid w:val="00910062"/>
    <w:rsid w:val="009108E6"/>
    <w:rsid w:val="00911D03"/>
    <w:rsid w:val="00912BDC"/>
    <w:rsid w:val="00912DC7"/>
    <w:rsid w:val="00916442"/>
    <w:rsid w:val="009243FD"/>
    <w:rsid w:val="00924715"/>
    <w:rsid w:val="0092538C"/>
    <w:rsid w:val="00930137"/>
    <w:rsid w:val="00932F12"/>
    <w:rsid w:val="00935319"/>
    <w:rsid w:val="00940992"/>
    <w:rsid w:val="00940DCF"/>
    <w:rsid w:val="009412FD"/>
    <w:rsid w:val="00943F39"/>
    <w:rsid w:val="00944157"/>
    <w:rsid w:val="00945629"/>
    <w:rsid w:val="00947171"/>
    <w:rsid w:val="0095267D"/>
    <w:rsid w:val="009542EB"/>
    <w:rsid w:val="009551BB"/>
    <w:rsid w:val="00956101"/>
    <w:rsid w:val="009561BA"/>
    <w:rsid w:val="00956E2C"/>
    <w:rsid w:val="0095760B"/>
    <w:rsid w:val="009608CA"/>
    <w:rsid w:val="00970FFD"/>
    <w:rsid w:val="00971859"/>
    <w:rsid w:val="00973337"/>
    <w:rsid w:val="00974F3E"/>
    <w:rsid w:val="00975196"/>
    <w:rsid w:val="0097616A"/>
    <w:rsid w:val="0097631C"/>
    <w:rsid w:val="009774BF"/>
    <w:rsid w:val="0098027B"/>
    <w:rsid w:val="00980A5B"/>
    <w:rsid w:val="00980C67"/>
    <w:rsid w:val="00982977"/>
    <w:rsid w:val="0098299B"/>
    <w:rsid w:val="0098340A"/>
    <w:rsid w:val="00985CF7"/>
    <w:rsid w:val="00986019"/>
    <w:rsid w:val="00986100"/>
    <w:rsid w:val="00987F3E"/>
    <w:rsid w:val="00990114"/>
    <w:rsid w:val="009905C1"/>
    <w:rsid w:val="0099129D"/>
    <w:rsid w:val="00992AE8"/>
    <w:rsid w:val="00994792"/>
    <w:rsid w:val="00995916"/>
    <w:rsid w:val="00995A94"/>
    <w:rsid w:val="00995B74"/>
    <w:rsid w:val="0099633F"/>
    <w:rsid w:val="009970F6"/>
    <w:rsid w:val="009A1ACE"/>
    <w:rsid w:val="009A1EC9"/>
    <w:rsid w:val="009A23F4"/>
    <w:rsid w:val="009A52A1"/>
    <w:rsid w:val="009A63AA"/>
    <w:rsid w:val="009B00D1"/>
    <w:rsid w:val="009B3D07"/>
    <w:rsid w:val="009B51FC"/>
    <w:rsid w:val="009B54DD"/>
    <w:rsid w:val="009B6D4C"/>
    <w:rsid w:val="009C0698"/>
    <w:rsid w:val="009C1001"/>
    <w:rsid w:val="009C2988"/>
    <w:rsid w:val="009C3006"/>
    <w:rsid w:val="009C4001"/>
    <w:rsid w:val="009C4283"/>
    <w:rsid w:val="009C47FF"/>
    <w:rsid w:val="009C4846"/>
    <w:rsid w:val="009C5938"/>
    <w:rsid w:val="009C67F6"/>
    <w:rsid w:val="009D0C15"/>
    <w:rsid w:val="009D0D52"/>
    <w:rsid w:val="009D1144"/>
    <w:rsid w:val="009D160D"/>
    <w:rsid w:val="009D4894"/>
    <w:rsid w:val="009D524B"/>
    <w:rsid w:val="009D6910"/>
    <w:rsid w:val="009E0454"/>
    <w:rsid w:val="009E1878"/>
    <w:rsid w:val="009E279A"/>
    <w:rsid w:val="009E35BC"/>
    <w:rsid w:val="009E365F"/>
    <w:rsid w:val="009E36CF"/>
    <w:rsid w:val="009E494C"/>
    <w:rsid w:val="009E4C01"/>
    <w:rsid w:val="009E5BFC"/>
    <w:rsid w:val="009E601E"/>
    <w:rsid w:val="009F0CE7"/>
    <w:rsid w:val="009F2277"/>
    <w:rsid w:val="009F403C"/>
    <w:rsid w:val="009F510A"/>
    <w:rsid w:val="00A01B11"/>
    <w:rsid w:val="00A02900"/>
    <w:rsid w:val="00A02D9A"/>
    <w:rsid w:val="00A038FA"/>
    <w:rsid w:val="00A03A72"/>
    <w:rsid w:val="00A0438D"/>
    <w:rsid w:val="00A05280"/>
    <w:rsid w:val="00A06CE0"/>
    <w:rsid w:val="00A07CA6"/>
    <w:rsid w:val="00A109DE"/>
    <w:rsid w:val="00A10F25"/>
    <w:rsid w:val="00A134D0"/>
    <w:rsid w:val="00A1579E"/>
    <w:rsid w:val="00A16521"/>
    <w:rsid w:val="00A16D20"/>
    <w:rsid w:val="00A20043"/>
    <w:rsid w:val="00A20DA8"/>
    <w:rsid w:val="00A21A8B"/>
    <w:rsid w:val="00A21AE6"/>
    <w:rsid w:val="00A22F06"/>
    <w:rsid w:val="00A243E2"/>
    <w:rsid w:val="00A253CB"/>
    <w:rsid w:val="00A2574F"/>
    <w:rsid w:val="00A25B26"/>
    <w:rsid w:val="00A25B6D"/>
    <w:rsid w:val="00A32190"/>
    <w:rsid w:val="00A334F9"/>
    <w:rsid w:val="00A345F0"/>
    <w:rsid w:val="00A367D2"/>
    <w:rsid w:val="00A36E3D"/>
    <w:rsid w:val="00A3738D"/>
    <w:rsid w:val="00A375D5"/>
    <w:rsid w:val="00A37E2D"/>
    <w:rsid w:val="00A37E55"/>
    <w:rsid w:val="00A409C5"/>
    <w:rsid w:val="00A412DF"/>
    <w:rsid w:val="00A415C3"/>
    <w:rsid w:val="00A42F35"/>
    <w:rsid w:val="00A43609"/>
    <w:rsid w:val="00A46AA8"/>
    <w:rsid w:val="00A50506"/>
    <w:rsid w:val="00A51808"/>
    <w:rsid w:val="00A52AE1"/>
    <w:rsid w:val="00A539F5"/>
    <w:rsid w:val="00A55CD0"/>
    <w:rsid w:val="00A560D0"/>
    <w:rsid w:val="00A576D4"/>
    <w:rsid w:val="00A615FD"/>
    <w:rsid w:val="00A6167C"/>
    <w:rsid w:val="00A62BBC"/>
    <w:rsid w:val="00A64933"/>
    <w:rsid w:val="00A649A1"/>
    <w:rsid w:val="00A66733"/>
    <w:rsid w:val="00A66A4F"/>
    <w:rsid w:val="00A70E6A"/>
    <w:rsid w:val="00A724E9"/>
    <w:rsid w:val="00A72E56"/>
    <w:rsid w:val="00A745FC"/>
    <w:rsid w:val="00A751E4"/>
    <w:rsid w:val="00A762FA"/>
    <w:rsid w:val="00A82715"/>
    <w:rsid w:val="00A83B52"/>
    <w:rsid w:val="00A859F8"/>
    <w:rsid w:val="00A86721"/>
    <w:rsid w:val="00A86C99"/>
    <w:rsid w:val="00A86CB2"/>
    <w:rsid w:val="00A86EAB"/>
    <w:rsid w:val="00A90F87"/>
    <w:rsid w:val="00A91D5A"/>
    <w:rsid w:val="00A93CDA"/>
    <w:rsid w:val="00A94032"/>
    <w:rsid w:val="00A94AA7"/>
    <w:rsid w:val="00A95781"/>
    <w:rsid w:val="00A95DD8"/>
    <w:rsid w:val="00A96331"/>
    <w:rsid w:val="00A96547"/>
    <w:rsid w:val="00A9688D"/>
    <w:rsid w:val="00A97D9C"/>
    <w:rsid w:val="00AA0A70"/>
    <w:rsid w:val="00AA1EA2"/>
    <w:rsid w:val="00AA3B6F"/>
    <w:rsid w:val="00AA4242"/>
    <w:rsid w:val="00AA4FC4"/>
    <w:rsid w:val="00AA5AFC"/>
    <w:rsid w:val="00AA665D"/>
    <w:rsid w:val="00AA6910"/>
    <w:rsid w:val="00AA7706"/>
    <w:rsid w:val="00AB24E2"/>
    <w:rsid w:val="00AB27DA"/>
    <w:rsid w:val="00AB2EDE"/>
    <w:rsid w:val="00AB43A1"/>
    <w:rsid w:val="00AB6A4D"/>
    <w:rsid w:val="00AB7D23"/>
    <w:rsid w:val="00AB7E75"/>
    <w:rsid w:val="00AC00F9"/>
    <w:rsid w:val="00AC09E0"/>
    <w:rsid w:val="00AC0BD9"/>
    <w:rsid w:val="00AC1549"/>
    <w:rsid w:val="00AC233B"/>
    <w:rsid w:val="00AC424A"/>
    <w:rsid w:val="00AC4379"/>
    <w:rsid w:val="00AC622D"/>
    <w:rsid w:val="00AC64B2"/>
    <w:rsid w:val="00AD1738"/>
    <w:rsid w:val="00AD5077"/>
    <w:rsid w:val="00AD5317"/>
    <w:rsid w:val="00AD53DD"/>
    <w:rsid w:val="00AD5929"/>
    <w:rsid w:val="00AD5BA7"/>
    <w:rsid w:val="00AD67F7"/>
    <w:rsid w:val="00AE0393"/>
    <w:rsid w:val="00AE1221"/>
    <w:rsid w:val="00AE2BC6"/>
    <w:rsid w:val="00AE52AA"/>
    <w:rsid w:val="00AE63AC"/>
    <w:rsid w:val="00AE74F6"/>
    <w:rsid w:val="00AF01AA"/>
    <w:rsid w:val="00AF1F7C"/>
    <w:rsid w:val="00AF243F"/>
    <w:rsid w:val="00AF2E0A"/>
    <w:rsid w:val="00AF4906"/>
    <w:rsid w:val="00AF4C4A"/>
    <w:rsid w:val="00AF6C09"/>
    <w:rsid w:val="00AF6F9F"/>
    <w:rsid w:val="00B0035B"/>
    <w:rsid w:val="00B00BA6"/>
    <w:rsid w:val="00B01D9B"/>
    <w:rsid w:val="00B02058"/>
    <w:rsid w:val="00B05652"/>
    <w:rsid w:val="00B0577B"/>
    <w:rsid w:val="00B06615"/>
    <w:rsid w:val="00B1111C"/>
    <w:rsid w:val="00B115D6"/>
    <w:rsid w:val="00B13B8B"/>
    <w:rsid w:val="00B1466E"/>
    <w:rsid w:val="00B17285"/>
    <w:rsid w:val="00B17922"/>
    <w:rsid w:val="00B17CA4"/>
    <w:rsid w:val="00B20369"/>
    <w:rsid w:val="00B20FBC"/>
    <w:rsid w:val="00B22C73"/>
    <w:rsid w:val="00B22F9B"/>
    <w:rsid w:val="00B234A5"/>
    <w:rsid w:val="00B23590"/>
    <w:rsid w:val="00B23B64"/>
    <w:rsid w:val="00B2584A"/>
    <w:rsid w:val="00B26320"/>
    <w:rsid w:val="00B26A92"/>
    <w:rsid w:val="00B27692"/>
    <w:rsid w:val="00B30B2F"/>
    <w:rsid w:val="00B3159A"/>
    <w:rsid w:val="00B36D02"/>
    <w:rsid w:val="00B36EEB"/>
    <w:rsid w:val="00B4161D"/>
    <w:rsid w:val="00B418D9"/>
    <w:rsid w:val="00B4320A"/>
    <w:rsid w:val="00B4444A"/>
    <w:rsid w:val="00B45848"/>
    <w:rsid w:val="00B45C83"/>
    <w:rsid w:val="00B46A18"/>
    <w:rsid w:val="00B46A34"/>
    <w:rsid w:val="00B54683"/>
    <w:rsid w:val="00B5537E"/>
    <w:rsid w:val="00B56A0C"/>
    <w:rsid w:val="00B57EFA"/>
    <w:rsid w:val="00B6020A"/>
    <w:rsid w:val="00B60943"/>
    <w:rsid w:val="00B611CF"/>
    <w:rsid w:val="00B632E5"/>
    <w:rsid w:val="00B63641"/>
    <w:rsid w:val="00B6382A"/>
    <w:rsid w:val="00B63982"/>
    <w:rsid w:val="00B64E4D"/>
    <w:rsid w:val="00B66EF9"/>
    <w:rsid w:val="00B67959"/>
    <w:rsid w:val="00B67F1F"/>
    <w:rsid w:val="00B711EC"/>
    <w:rsid w:val="00B714FB"/>
    <w:rsid w:val="00B71B09"/>
    <w:rsid w:val="00B71B67"/>
    <w:rsid w:val="00B72115"/>
    <w:rsid w:val="00B73253"/>
    <w:rsid w:val="00B736B0"/>
    <w:rsid w:val="00B736B3"/>
    <w:rsid w:val="00B756BA"/>
    <w:rsid w:val="00B76FFE"/>
    <w:rsid w:val="00B80CDF"/>
    <w:rsid w:val="00B81C25"/>
    <w:rsid w:val="00B826AE"/>
    <w:rsid w:val="00B83692"/>
    <w:rsid w:val="00B83F86"/>
    <w:rsid w:val="00B85154"/>
    <w:rsid w:val="00B869A6"/>
    <w:rsid w:val="00B86E6A"/>
    <w:rsid w:val="00B9391D"/>
    <w:rsid w:val="00B944A2"/>
    <w:rsid w:val="00B96003"/>
    <w:rsid w:val="00BA03EC"/>
    <w:rsid w:val="00BA04A2"/>
    <w:rsid w:val="00BA0777"/>
    <w:rsid w:val="00BA0A27"/>
    <w:rsid w:val="00BA0FA2"/>
    <w:rsid w:val="00BA1383"/>
    <w:rsid w:val="00BA160D"/>
    <w:rsid w:val="00BA1AE4"/>
    <w:rsid w:val="00BA2A5E"/>
    <w:rsid w:val="00BA3F5F"/>
    <w:rsid w:val="00BA60DD"/>
    <w:rsid w:val="00BA63A1"/>
    <w:rsid w:val="00BB0C8C"/>
    <w:rsid w:val="00BB2179"/>
    <w:rsid w:val="00BB23B7"/>
    <w:rsid w:val="00BB2403"/>
    <w:rsid w:val="00BB2513"/>
    <w:rsid w:val="00BB41BA"/>
    <w:rsid w:val="00BB5408"/>
    <w:rsid w:val="00BB5CA7"/>
    <w:rsid w:val="00BB723A"/>
    <w:rsid w:val="00BB769D"/>
    <w:rsid w:val="00BC3C78"/>
    <w:rsid w:val="00BC7093"/>
    <w:rsid w:val="00BC7872"/>
    <w:rsid w:val="00BC7D87"/>
    <w:rsid w:val="00BD09B1"/>
    <w:rsid w:val="00BD12F1"/>
    <w:rsid w:val="00BD3386"/>
    <w:rsid w:val="00BD3399"/>
    <w:rsid w:val="00BD363A"/>
    <w:rsid w:val="00BD39E4"/>
    <w:rsid w:val="00BD3C98"/>
    <w:rsid w:val="00BD5C5C"/>
    <w:rsid w:val="00BD5E8B"/>
    <w:rsid w:val="00BD7443"/>
    <w:rsid w:val="00BE00AA"/>
    <w:rsid w:val="00BE0FEF"/>
    <w:rsid w:val="00BE150D"/>
    <w:rsid w:val="00BE2180"/>
    <w:rsid w:val="00BE4A53"/>
    <w:rsid w:val="00BE5475"/>
    <w:rsid w:val="00BF06FD"/>
    <w:rsid w:val="00BF0F9A"/>
    <w:rsid w:val="00BF5A80"/>
    <w:rsid w:val="00BF5DBC"/>
    <w:rsid w:val="00BF66A8"/>
    <w:rsid w:val="00BF7D86"/>
    <w:rsid w:val="00C00E28"/>
    <w:rsid w:val="00C0298F"/>
    <w:rsid w:val="00C02A04"/>
    <w:rsid w:val="00C04CDA"/>
    <w:rsid w:val="00C05575"/>
    <w:rsid w:val="00C1118A"/>
    <w:rsid w:val="00C1311A"/>
    <w:rsid w:val="00C13147"/>
    <w:rsid w:val="00C137CA"/>
    <w:rsid w:val="00C15EC4"/>
    <w:rsid w:val="00C16623"/>
    <w:rsid w:val="00C20B67"/>
    <w:rsid w:val="00C21208"/>
    <w:rsid w:val="00C227CE"/>
    <w:rsid w:val="00C232EB"/>
    <w:rsid w:val="00C235F0"/>
    <w:rsid w:val="00C23CF6"/>
    <w:rsid w:val="00C244AB"/>
    <w:rsid w:val="00C24562"/>
    <w:rsid w:val="00C24614"/>
    <w:rsid w:val="00C248EA"/>
    <w:rsid w:val="00C24FAC"/>
    <w:rsid w:val="00C26937"/>
    <w:rsid w:val="00C26F2D"/>
    <w:rsid w:val="00C26FC5"/>
    <w:rsid w:val="00C308AD"/>
    <w:rsid w:val="00C31AFF"/>
    <w:rsid w:val="00C337D0"/>
    <w:rsid w:val="00C338EC"/>
    <w:rsid w:val="00C34D53"/>
    <w:rsid w:val="00C36402"/>
    <w:rsid w:val="00C36E35"/>
    <w:rsid w:val="00C375B6"/>
    <w:rsid w:val="00C425D3"/>
    <w:rsid w:val="00C426C1"/>
    <w:rsid w:val="00C45150"/>
    <w:rsid w:val="00C46912"/>
    <w:rsid w:val="00C46B41"/>
    <w:rsid w:val="00C46CF6"/>
    <w:rsid w:val="00C52742"/>
    <w:rsid w:val="00C54FBF"/>
    <w:rsid w:val="00C57351"/>
    <w:rsid w:val="00C61484"/>
    <w:rsid w:val="00C6201D"/>
    <w:rsid w:val="00C62515"/>
    <w:rsid w:val="00C636AA"/>
    <w:rsid w:val="00C64417"/>
    <w:rsid w:val="00C659CC"/>
    <w:rsid w:val="00C66B29"/>
    <w:rsid w:val="00C66FE5"/>
    <w:rsid w:val="00C70AC7"/>
    <w:rsid w:val="00C72441"/>
    <w:rsid w:val="00C73575"/>
    <w:rsid w:val="00C7560E"/>
    <w:rsid w:val="00C77C37"/>
    <w:rsid w:val="00C801F1"/>
    <w:rsid w:val="00C823AE"/>
    <w:rsid w:val="00C83A32"/>
    <w:rsid w:val="00C858A6"/>
    <w:rsid w:val="00C869B8"/>
    <w:rsid w:val="00C869F9"/>
    <w:rsid w:val="00C86C73"/>
    <w:rsid w:val="00C90EE6"/>
    <w:rsid w:val="00C92153"/>
    <w:rsid w:val="00C933C2"/>
    <w:rsid w:val="00C9694A"/>
    <w:rsid w:val="00C96D1C"/>
    <w:rsid w:val="00C97390"/>
    <w:rsid w:val="00CA0692"/>
    <w:rsid w:val="00CA26CC"/>
    <w:rsid w:val="00CA34CC"/>
    <w:rsid w:val="00CA3DA1"/>
    <w:rsid w:val="00CA4186"/>
    <w:rsid w:val="00CA4AF0"/>
    <w:rsid w:val="00CA4B6F"/>
    <w:rsid w:val="00CA5CF1"/>
    <w:rsid w:val="00CB2105"/>
    <w:rsid w:val="00CB3EFB"/>
    <w:rsid w:val="00CB55E6"/>
    <w:rsid w:val="00CB5A63"/>
    <w:rsid w:val="00CC1E04"/>
    <w:rsid w:val="00CC212E"/>
    <w:rsid w:val="00CC3560"/>
    <w:rsid w:val="00CC3BAC"/>
    <w:rsid w:val="00CC3D70"/>
    <w:rsid w:val="00CC4CF9"/>
    <w:rsid w:val="00CD1ADF"/>
    <w:rsid w:val="00CD1BD5"/>
    <w:rsid w:val="00CD2277"/>
    <w:rsid w:val="00CD3811"/>
    <w:rsid w:val="00CD3F4A"/>
    <w:rsid w:val="00CD594A"/>
    <w:rsid w:val="00CD59B1"/>
    <w:rsid w:val="00CD5A8E"/>
    <w:rsid w:val="00CD74EA"/>
    <w:rsid w:val="00CD7E64"/>
    <w:rsid w:val="00CE06CB"/>
    <w:rsid w:val="00CE15DA"/>
    <w:rsid w:val="00CE2E8A"/>
    <w:rsid w:val="00CE314C"/>
    <w:rsid w:val="00CF20FE"/>
    <w:rsid w:val="00CF499D"/>
    <w:rsid w:val="00CF4A4D"/>
    <w:rsid w:val="00CF5D22"/>
    <w:rsid w:val="00CF61E4"/>
    <w:rsid w:val="00CF6CD8"/>
    <w:rsid w:val="00D02655"/>
    <w:rsid w:val="00D028FF"/>
    <w:rsid w:val="00D035E0"/>
    <w:rsid w:val="00D04AC6"/>
    <w:rsid w:val="00D04AE8"/>
    <w:rsid w:val="00D04DAD"/>
    <w:rsid w:val="00D051EF"/>
    <w:rsid w:val="00D05B42"/>
    <w:rsid w:val="00D05D02"/>
    <w:rsid w:val="00D05FE6"/>
    <w:rsid w:val="00D065B5"/>
    <w:rsid w:val="00D118D8"/>
    <w:rsid w:val="00D12783"/>
    <w:rsid w:val="00D171FB"/>
    <w:rsid w:val="00D17208"/>
    <w:rsid w:val="00D209B0"/>
    <w:rsid w:val="00D20D31"/>
    <w:rsid w:val="00D21359"/>
    <w:rsid w:val="00D2171F"/>
    <w:rsid w:val="00D22FE6"/>
    <w:rsid w:val="00D23A3F"/>
    <w:rsid w:val="00D2441A"/>
    <w:rsid w:val="00D249B0"/>
    <w:rsid w:val="00D25A09"/>
    <w:rsid w:val="00D25FAB"/>
    <w:rsid w:val="00D26951"/>
    <w:rsid w:val="00D31EDB"/>
    <w:rsid w:val="00D348B7"/>
    <w:rsid w:val="00D3556C"/>
    <w:rsid w:val="00D361DD"/>
    <w:rsid w:val="00D36D9F"/>
    <w:rsid w:val="00D40B06"/>
    <w:rsid w:val="00D417E4"/>
    <w:rsid w:val="00D41ADD"/>
    <w:rsid w:val="00D4225B"/>
    <w:rsid w:val="00D43BC0"/>
    <w:rsid w:val="00D4680F"/>
    <w:rsid w:val="00D4785A"/>
    <w:rsid w:val="00D50A16"/>
    <w:rsid w:val="00D54DFD"/>
    <w:rsid w:val="00D57885"/>
    <w:rsid w:val="00D604E1"/>
    <w:rsid w:val="00D6064E"/>
    <w:rsid w:val="00D6369C"/>
    <w:rsid w:val="00D64AA3"/>
    <w:rsid w:val="00D64CB2"/>
    <w:rsid w:val="00D65E1D"/>
    <w:rsid w:val="00D671C2"/>
    <w:rsid w:val="00D700D2"/>
    <w:rsid w:val="00D71DF6"/>
    <w:rsid w:val="00D7318F"/>
    <w:rsid w:val="00D7412E"/>
    <w:rsid w:val="00D74572"/>
    <w:rsid w:val="00D7487B"/>
    <w:rsid w:val="00D76CB4"/>
    <w:rsid w:val="00D80078"/>
    <w:rsid w:val="00D80912"/>
    <w:rsid w:val="00D81195"/>
    <w:rsid w:val="00D822A4"/>
    <w:rsid w:val="00D830D1"/>
    <w:rsid w:val="00D839C9"/>
    <w:rsid w:val="00D8577F"/>
    <w:rsid w:val="00D86043"/>
    <w:rsid w:val="00D865B0"/>
    <w:rsid w:val="00D90054"/>
    <w:rsid w:val="00D90A8E"/>
    <w:rsid w:val="00D923AB"/>
    <w:rsid w:val="00D9355D"/>
    <w:rsid w:val="00D9390E"/>
    <w:rsid w:val="00D946B6"/>
    <w:rsid w:val="00D94D4C"/>
    <w:rsid w:val="00DA31A6"/>
    <w:rsid w:val="00DA41A5"/>
    <w:rsid w:val="00DA78A9"/>
    <w:rsid w:val="00DB0243"/>
    <w:rsid w:val="00DB0642"/>
    <w:rsid w:val="00DB135F"/>
    <w:rsid w:val="00DB1673"/>
    <w:rsid w:val="00DB1D2F"/>
    <w:rsid w:val="00DC0882"/>
    <w:rsid w:val="00DC489B"/>
    <w:rsid w:val="00DC578E"/>
    <w:rsid w:val="00DC60E5"/>
    <w:rsid w:val="00DC6A1D"/>
    <w:rsid w:val="00DC6F63"/>
    <w:rsid w:val="00DC6FAC"/>
    <w:rsid w:val="00DD20E9"/>
    <w:rsid w:val="00DD2977"/>
    <w:rsid w:val="00DD40EE"/>
    <w:rsid w:val="00DD48B2"/>
    <w:rsid w:val="00DD4CD8"/>
    <w:rsid w:val="00DD521E"/>
    <w:rsid w:val="00DD5BC7"/>
    <w:rsid w:val="00DD6846"/>
    <w:rsid w:val="00DD72B3"/>
    <w:rsid w:val="00DE3891"/>
    <w:rsid w:val="00DE48E3"/>
    <w:rsid w:val="00DE5B00"/>
    <w:rsid w:val="00DE5F99"/>
    <w:rsid w:val="00DE65BE"/>
    <w:rsid w:val="00DF21A6"/>
    <w:rsid w:val="00DF46DC"/>
    <w:rsid w:val="00DF78E9"/>
    <w:rsid w:val="00E03BDB"/>
    <w:rsid w:val="00E03C8E"/>
    <w:rsid w:val="00E051C2"/>
    <w:rsid w:val="00E053C3"/>
    <w:rsid w:val="00E06B14"/>
    <w:rsid w:val="00E12194"/>
    <w:rsid w:val="00E1229F"/>
    <w:rsid w:val="00E13C05"/>
    <w:rsid w:val="00E16ADB"/>
    <w:rsid w:val="00E1768C"/>
    <w:rsid w:val="00E216E5"/>
    <w:rsid w:val="00E256A8"/>
    <w:rsid w:val="00E25748"/>
    <w:rsid w:val="00E25A85"/>
    <w:rsid w:val="00E26D64"/>
    <w:rsid w:val="00E31699"/>
    <w:rsid w:val="00E31C9A"/>
    <w:rsid w:val="00E31E42"/>
    <w:rsid w:val="00E33CB0"/>
    <w:rsid w:val="00E33EA1"/>
    <w:rsid w:val="00E35499"/>
    <w:rsid w:val="00E35941"/>
    <w:rsid w:val="00E3686B"/>
    <w:rsid w:val="00E36FA7"/>
    <w:rsid w:val="00E40CEA"/>
    <w:rsid w:val="00E4131F"/>
    <w:rsid w:val="00E418E0"/>
    <w:rsid w:val="00E42273"/>
    <w:rsid w:val="00E4267C"/>
    <w:rsid w:val="00E42B42"/>
    <w:rsid w:val="00E43E1F"/>
    <w:rsid w:val="00E440D1"/>
    <w:rsid w:val="00E45B57"/>
    <w:rsid w:val="00E46EBC"/>
    <w:rsid w:val="00E4736E"/>
    <w:rsid w:val="00E477AE"/>
    <w:rsid w:val="00E47C98"/>
    <w:rsid w:val="00E53B12"/>
    <w:rsid w:val="00E547F7"/>
    <w:rsid w:val="00E56D06"/>
    <w:rsid w:val="00E57E71"/>
    <w:rsid w:val="00E603CE"/>
    <w:rsid w:val="00E635D1"/>
    <w:rsid w:val="00E661E2"/>
    <w:rsid w:val="00E66F54"/>
    <w:rsid w:val="00E672A2"/>
    <w:rsid w:val="00E7055C"/>
    <w:rsid w:val="00E71130"/>
    <w:rsid w:val="00E71271"/>
    <w:rsid w:val="00E71B1A"/>
    <w:rsid w:val="00E71FC4"/>
    <w:rsid w:val="00E71FC8"/>
    <w:rsid w:val="00E725DF"/>
    <w:rsid w:val="00E73E0F"/>
    <w:rsid w:val="00E7586E"/>
    <w:rsid w:val="00E75EE7"/>
    <w:rsid w:val="00E7690F"/>
    <w:rsid w:val="00E77AD6"/>
    <w:rsid w:val="00E8038A"/>
    <w:rsid w:val="00E81537"/>
    <w:rsid w:val="00E816C7"/>
    <w:rsid w:val="00E826C4"/>
    <w:rsid w:val="00E829EF"/>
    <w:rsid w:val="00E83DE7"/>
    <w:rsid w:val="00E84BCB"/>
    <w:rsid w:val="00E84FD7"/>
    <w:rsid w:val="00E90813"/>
    <w:rsid w:val="00E91AEF"/>
    <w:rsid w:val="00E92528"/>
    <w:rsid w:val="00E93A6C"/>
    <w:rsid w:val="00E966D8"/>
    <w:rsid w:val="00E96DCF"/>
    <w:rsid w:val="00EA0552"/>
    <w:rsid w:val="00EA075E"/>
    <w:rsid w:val="00EA0A87"/>
    <w:rsid w:val="00EA14C8"/>
    <w:rsid w:val="00EA2EBC"/>
    <w:rsid w:val="00EA6D3B"/>
    <w:rsid w:val="00EB0984"/>
    <w:rsid w:val="00EB1447"/>
    <w:rsid w:val="00EB1566"/>
    <w:rsid w:val="00EB3E40"/>
    <w:rsid w:val="00EB483A"/>
    <w:rsid w:val="00EB5AE9"/>
    <w:rsid w:val="00EB65FA"/>
    <w:rsid w:val="00EB7C8C"/>
    <w:rsid w:val="00EC0D56"/>
    <w:rsid w:val="00EC2483"/>
    <w:rsid w:val="00EC3BA7"/>
    <w:rsid w:val="00EC4A70"/>
    <w:rsid w:val="00ED0068"/>
    <w:rsid w:val="00ED0FA1"/>
    <w:rsid w:val="00ED1296"/>
    <w:rsid w:val="00ED3014"/>
    <w:rsid w:val="00ED51E6"/>
    <w:rsid w:val="00ED5370"/>
    <w:rsid w:val="00ED5A03"/>
    <w:rsid w:val="00ED5CCC"/>
    <w:rsid w:val="00ED7048"/>
    <w:rsid w:val="00EE1F24"/>
    <w:rsid w:val="00EE3CB5"/>
    <w:rsid w:val="00EE3CC1"/>
    <w:rsid w:val="00EE4997"/>
    <w:rsid w:val="00EE5FD5"/>
    <w:rsid w:val="00EE610E"/>
    <w:rsid w:val="00EE6722"/>
    <w:rsid w:val="00EE70DC"/>
    <w:rsid w:val="00EF2078"/>
    <w:rsid w:val="00EF20B0"/>
    <w:rsid w:val="00EF27AE"/>
    <w:rsid w:val="00EF2B74"/>
    <w:rsid w:val="00EF3C9E"/>
    <w:rsid w:val="00EF40B0"/>
    <w:rsid w:val="00EF40F3"/>
    <w:rsid w:val="00EF43B8"/>
    <w:rsid w:val="00EF5253"/>
    <w:rsid w:val="00F0123E"/>
    <w:rsid w:val="00F01726"/>
    <w:rsid w:val="00F040A4"/>
    <w:rsid w:val="00F04456"/>
    <w:rsid w:val="00F04932"/>
    <w:rsid w:val="00F0728F"/>
    <w:rsid w:val="00F07BEB"/>
    <w:rsid w:val="00F10212"/>
    <w:rsid w:val="00F10C08"/>
    <w:rsid w:val="00F11C45"/>
    <w:rsid w:val="00F130B3"/>
    <w:rsid w:val="00F13163"/>
    <w:rsid w:val="00F1349E"/>
    <w:rsid w:val="00F13658"/>
    <w:rsid w:val="00F150CE"/>
    <w:rsid w:val="00F20A46"/>
    <w:rsid w:val="00F215F1"/>
    <w:rsid w:val="00F24A44"/>
    <w:rsid w:val="00F25ED4"/>
    <w:rsid w:val="00F27AF0"/>
    <w:rsid w:val="00F300FC"/>
    <w:rsid w:val="00F306DC"/>
    <w:rsid w:val="00F30F24"/>
    <w:rsid w:val="00F31ADE"/>
    <w:rsid w:val="00F31ECD"/>
    <w:rsid w:val="00F325BE"/>
    <w:rsid w:val="00F32BD7"/>
    <w:rsid w:val="00F33948"/>
    <w:rsid w:val="00F33F30"/>
    <w:rsid w:val="00F343E1"/>
    <w:rsid w:val="00F351D1"/>
    <w:rsid w:val="00F363AF"/>
    <w:rsid w:val="00F435C8"/>
    <w:rsid w:val="00F43789"/>
    <w:rsid w:val="00F443BA"/>
    <w:rsid w:val="00F44931"/>
    <w:rsid w:val="00F4565C"/>
    <w:rsid w:val="00F46FDD"/>
    <w:rsid w:val="00F473EA"/>
    <w:rsid w:val="00F47D5A"/>
    <w:rsid w:val="00F47F89"/>
    <w:rsid w:val="00F50C7D"/>
    <w:rsid w:val="00F51A73"/>
    <w:rsid w:val="00F52F87"/>
    <w:rsid w:val="00F54D2A"/>
    <w:rsid w:val="00F54D44"/>
    <w:rsid w:val="00F551D3"/>
    <w:rsid w:val="00F55A61"/>
    <w:rsid w:val="00F55D6D"/>
    <w:rsid w:val="00F60139"/>
    <w:rsid w:val="00F60773"/>
    <w:rsid w:val="00F610C6"/>
    <w:rsid w:val="00F61105"/>
    <w:rsid w:val="00F633C5"/>
    <w:rsid w:val="00F63B0B"/>
    <w:rsid w:val="00F6480B"/>
    <w:rsid w:val="00F65914"/>
    <w:rsid w:val="00F6737D"/>
    <w:rsid w:val="00F674BE"/>
    <w:rsid w:val="00F70085"/>
    <w:rsid w:val="00F7177F"/>
    <w:rsid w:val="00F7302B"/>
    <w:rsid w:val="00F749FE"/>
    <w:rsid w:val="00F75981"/>
    <w:rsid w:val="00F75B21"/>
    <w:rsid w:val="00F761A5"/>
    <w:rsid w:val="00F76B30"/>
    <w:rsid w:val="00F77B22"/>
    <w:rsid w:val="00F77CC8"/>
    <w:rsid w:val="00F77D85"/>
    <w:rsid w:val="00F80DDE"/>
    <w:rsid w:val="00F81051"/>
    <w:rsid w:val="00F812E1"/>
    <w:rsid w:val="00F83995"/>
    <w:rsid w:val="00F845DC"/>
    <w:rsid w:val="00F86963"/>
    <w:rsid w:val="00F8706F"/>
    <w:rsid w:val="00F87A81"/>
    <w:rsid w:val="00F90A14"/>
    <w:rsid w:val="00F91686"/>
    <w:rsid w:val="00F92BE0"/>
    <w:rsid w:val="00F93E9F"/>
    <w:rsid w:val="00F9439E"/>
    <w:rsid w:val="00F95D27"/>
    <w:rsid w:val="00F96177"/>
    <w:rsid w:val="00F96A6C"/>
    <w:rsid w:val="00FA014C"/>
    <w:rsid w:val="00FA4F97"/>
    <w:rsid w:val="00FA6008"/>
    <w:rsid w:val="00FA6772"/>
    <w:rsid w:val="00FA67AC"/>
    <w:rsid w:val="00FB01C6"/>
    <w:rsid w:val="00FB224B"/>
    <w:rsid w:val="00FB54A5"/>
    <w:rsid w:val="00FB7711"/>
    <w:rsid w:val="00FC013F"/>
    <w:rsid w:val="00FC0C41"/>
    <w:rsid w:val="00FC1270"/>
    <w:rsid w:val="00FC4628"/>
    <w:rsid w:val="00FC4868"/>
    <w:rsid w:val="00FC4ADE"/>
    <w:rsid w:val="00FC5F04"/>
    <w:rsid w:val="00FC613F"/>
    <w:rsid w:val="00FC736D"/>
    <w:rsid w:val="00FD099F"/>
    <w:rsid w:val="00FD2DA5"/>
    <w:rsid w:val="00FD33B4"/>
    <w:rsid w:val="00FD3623"/>
    <w:rsid w:val="00FD4C17"/>
    <w:rsid w:val="00FD6B61"/>
    <w:rsid w:val="00FD71B1"/>
    <w:rsid w:val="00FE4BF8"/>
    <w:rsid w:val="00FE6B63"/>
    <w:rsid w:val="00FF085D"/>
    <w:rsid w:val="00FF2BEF"/>
    <w:rsid w:val="00FF2C85"/>
    <w:rsid w:val="00FF406B"/>
    <w:rsid w:val="00FF6333"/>
    <w:rsid w:val="00FF7A87"/>
    <w:rsid w:val="0549A31E"/>
    <w:rsid w:val="22BF6BE4"/>
    <w:rsid w:val="246F44C4"/>
    <w:rsid w:val="28FDD2E0"/>
    <w:rsid w:val="33EB3BF8"/>
    <w:rsid w:val="349DFF8F"/>
    <w:rsid w:val="34D804DC"/>
    <w:rsid w:val="518AECA7"/>
    <w:rsid w:val="51DE5BE6"/>
    <w:rsid w:val="531D3BEB"/>
    <w:rsid w:val="5802B5AF"/>
    <w:rsid w:val="6407C0C2"/>
    <w:rsid w:val="68B02383"/>
    <w:rsid w:val="7D2E0B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2"/>
    </o:shapelayout>
  </w:shapeDefaults>
  <w:decimalSymbol w:val="."/>
  <w:listSeparator w:val=","/>
  <w14:docId w14:val="478A9CF2"/>
  <w15:chartTrackingRefBased/>
  <w15:docId w15:val="{A3DC8385-71B2-4659-9A73-FDD2BD64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CE7"/>
    <w:rPr>
      <w:rFonts w:ascii="Univers (W1)" w:hAnsi="Univers (W1)"/>
      <w:sz w:val="22"/>
      <w:lang w:eastAsia="en-US"/>
    </w:rPr>
  </w:style>
  <w:style w:type="paragraph" w:styleId="Heading1">
    <w:name w:val="heading 1"/>
    <w:basedOn w:val="Normal"/>
    <w:next w:val="Normal"/>
    <w:qFormat/>
    <w:rsid w:val="0078406D"/>
    <w:pPr>
      <w:keepNext/>
      <w:spacing w:line="360" w:lineRule="auto"/>
      <w:jc w:val="center"/>
      <w:outlineLvl w:val="0"/>
    </w:pPr>
    <w:rPr>
      <w:rFonts w:ascii="Arial" w:hAnsi="Arial"/>
      <w:b/>
      <w:sz w:val="28"/>
    </w:rPr>
  </w:style>
  <w:style w:type="paragraph" w:styleId="Heading2">
    <w:name w:val="heading 2"/>
    <w:basedOn w:val="Normal"/>
    <w:next w:val="Normal"/>
    <w:qFormat/>
    <w:rsid w:val="0078406D"/>
    <w:pPr>
      <w:keepNext/>
      <w:jc w:val="center"/>
      <w:outlineLvl w:val="1"/>
    </w:pPr>
    <w:rPr>
      <w:rFonts w:ascii="Arial" w:hAnsi="Arial"/>
      <w:b/>
      <w:sz w:val="28"/>
    </w:rPr>
  </w:style>
  <w:style w:type="paragraph" w:styleId="Heading3">
    <w:name w:val="heading 3"/>
    <w:basedOn w:val="Normal"/>
    <w:next w:val="Normal"/>
    <w:qFormat/>
    <w:rsid w:val="0078406D"/>
    <w:pPr>
      <w:keepNext/>
      <w:jc w:val="both"/>
      <w:outlineLvl w:val="2"/>
    </w:pPr>
    <w:rPr>
      <w:b/>
    </w:rPr>
  </w:style>
  <w:style w:type="paragraph" w:styleId="Heading4">
    <w:name w:val="heading 4"/>
    <w:basedOn w:val="Normal"/>
    <w:next w:val="Normal"/>
    <w:qFormat/>
    <w:rsid w:val="0078406D"/>
    <w:pPr>
      <w:keepNext/>
      <w:ind w:left="360"/>
      <w:jc w:val="center"/>
      <w:outlineLvl w:val="3"/>
    </w:pPr>
    <w:rPr>
      <w:rFonts w:ascii="Arial" w:hAnsi="Arial"/>
      <w:b/>
      <w:sz w:val="28"/>
    </w:rPr>
  </w:style>
  <w:style w:type="paragraph" w:styleId="Heading5">
    <w:name w:val="heading 5"/>
    <w:basedOn w:val="Normal"/>
    <w:next w:val="Normal"/>
    <w:qFormat/>
    <w:rsid w:val="0078406D"/>
    <w:pPr>
      <w:keepNext/>
      <w:jc w:val="both"/>
      <w:outlineLvl w:val="4"/>
    </w:pPr>
    <w:rPr>
      <w:rFonts w:ascii="Arial" w:hAnsi="Arial"/>
      <w:sz w:val="72"/>
    </w:rPr>
  </w:style>
  <w:style w:type="paragraph" w:styleId="Heading6">
    <w:name w:val="heading 6"/>
    <w:basedOn w:val="Normal"/>
    <w:next w:val="Normal"/>
    <w:qFormat/>
    <w:pPr>
      <w:keepNext/>
      <w:spacing w:before="120" w:after="120" w:line="280" w:lineRule="exact"/>
      <w:jc w:val="right"/>
      <w:outlineLvl w:val="5"/>
    </w:pPr>
    <w:rPr>
      <w:rFonts w:ascii="Arial" w:hAnsi="Arial"/>
      <w:b/>
    </w:rPr>
  </w:style>
  <w:style w:type="paragraph" w:styleId="Heading7">
    <w:name w:val="heading 7"/>
    <w:basedOn w:val="Normal"/>
    <w:next w:val="Normal"/>
    <w:qFormat/>
    <w:pPr>
      <w:keepNext/>
      <w:spacing w:before="120" w:after="60" w:line="280" w:lineRule="exact"/>
      <w:jc w:val="both"/>
      <w:outlineLvl w:val="6"/>
    </w:pPr>
    <w:rPr>
      <w:rFonts w:ascii="Arial" w:hAnsi="Arial"/>
      <w:i/>
    </w:rPr>
  </w:style>
  <w:style w:type="paragraph" w:styleId="Heading8">
    <w:name w:val="heading 8"/>
    <w:basedOn w:val="Normal"/>
    <w:next w:val="Normal"/>
    <w:qFormat/>
    <w:pPr>
      <w:keepNext/>
      <w:tabs>
        <w:tab w:val="left" w:pos="567"/>
        <w:tab w:val="left" w:pos="1134"/>
        <w:tab w:val="left" w:pos="1701"/>
      </w:tabs>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line="200" w:lineRule="atLeast"/>
      <w:ind w:left="450" w:hanging="540"/>
    </w:pPr>
    <w:rPr>
      <w:rFonts w:ascii="Times New Roman" w:hAnsi="Times New Roman"/>
      <w:color w:val="000000"/>
      <w:sz w:val="20"/>
    </w:rPr>
  </w:style>
  <w:style w:type="paragraph" w:styleId="BodyTextIndent">
    <w:name w:val="Body Text Indent"/>
    <w:basedOn w:val="Normal"/>
    <w:link w:val="BodyTextIndentChar"/>
    <w:rsid w:val="0078406D"/>
    <w:pPr>
      <w:ind w:left="284" w:hanging="284"/>
    </w:pPr>
    <w:rPr>
      <w:rFonts w:ascii="Arial" w:hAnsi="Arial"/>
    </w:rPr>
  </w:style>
  <w:style w:type="paragraph" w:styleId="BodyTextIndent3">
    <w:name w:val="Body Text Indent 3"/>
    <w:basedOn w:val="Normal"/>
    <w:rsid w:val="0078406D"/>
    <w:pPr>
      <w:tabs>
        <w:tab w:val="left" w:pos="567"/>
        <w:tab w:val="left" w:pos="1134"/>
      </w:tabs>
      <w:ind w:left="1134" w:hanging="1134"/>
    </w:pPr>
    <w:rPr>
      <w:rFonts w:ascii="Times New Roman" w:hAnsi="Times New Roman"/>
      <w:sz w:val="20"/>
    </w:rPr>
  </w:style>
  <w:style w:type="paragraph" w:styleId="Title">
    <w:name w:val="Title"/>
    <w:basedOn w:val="Normal"/>
    <w:qFormat/>
    <w:pPr>
      <w:jc w:val="center"/>
    </w:pPr>
    <w:rPr>
      <w:rFonts w:ascii="Arial" w:hAnsi="Arial"/>
      <w:b/>
      <w:sz w:val="30"/>
      <w:u w:val="single"/>
    </w:rPr>
  </w:style>
  <w:style w:type="paragraph" w:styleId="BodyText">
    <w:name w:val="Body Text"/>
    <w:basedOn w:val="Normal"/>
    <w:rsid w:val="0078406D"/>
    <w:pPr>
      <w:jc w:val="both"/>
    </w:pPr>
    <w:rPr>
      <w:rFonts w:ascii="Times New Roman" w:hAnsi="Times New Roman"/>
      <w:sz w:val="24"/>
    </w:rPr>
  </w:style>
  <w:style w:type="paragraph" w:styleId="BodyTextIndent2">
    <w:name w:val="Body Text Indent 2"/>
    <w:basedOn w:val="Normal"/>
    <w:rsid w:val="0078406D"/>
    <w:pPr>
      <w:tabs>
        <w:tab w:val="left" w:pos="7088"/>
      </w:tabs>
      <w:ind w:left="720" w:firstLine="720"/>
      <w:jc w:val="both"/>
    </w:pPr>
    <w:rPr>
      <w:rFonts w:ascii="Times New Roman" w:hAnsi="Times New Roman"/>
      <w:sz w:val="24"/>
    </w:rPr>
  </w:style>
  <w:style w:type="table" w:styleId="TableGrid">
    <w:name w:val="Table Grid"/>
    <w:basedOn w:val="TableNormal"/>
    <w:rsid w:val="005D5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7576"/>
    <w:rPr>
      <w:rFonts w:ascii="Tahoma" w:hAnsi="Tahoma" w:cs="Tahoma"/>
      <w:sz w:val="16"/>
      <w:szCs w:val="16"/>
    </w:rPr>
  </w:style>
  <w:style w:type="character" w:styleId="CommentReference">
    <w:name w:val="annotation reference"/>
    <w:semiHidden/>
    <w:rsid w:val="00B20FBC"/>
    <w:rPr>
      <w:sz w:val="16"/>
      <w:szCs w:val="16"/>
    </w:rPr>
  </w:style>
  <w:style w:type="paragraph" w:styleId="CommentText">
    <w:name w:val="annotation text"/>
    <w:basedOn w:val="Normal"/>
    <w:semiHidden/>
    <w:rsid w:val="00B20FBC"/>
    <w:rPr>
      <w:sz w:val="20"/>
    </w:rPr>
  </w:style>
  <w:style w:type="paragraph" w:styleId="CommentSubject">
    <w:name w:val="annotation subject"/>
    <w:basedOn w:val="CommentText"/>
    <w:next w:val="CommentText"/>
    <w:semiHidden/>
    <w:rsid w:val="00B20FBC"/>
    <w:rPr>
      <w:b/>
      <w:bCs/>
    </w:rPr>
  </w:style>
  <w:style w:type="character" w:styleId="FootnoteReference">
    <w:name w:val="footnote reference"/>
    <w:semiHidden/>
    <w:rsid w:val="0078406D"/>
    <w:rPr>
      <w:vertAlign w:val="superscript"/>
    </w:rPr>
  </w:style>
  <w:style w:type="paragraph" w:styleId="EndnoteText">
    <w:name w:val="endnote text"/>
    <w:basedOn w:val="Normal"/>
    <w:semiHidden/>
    <w:rsid w:val="0078406D"/>
    <w:rPr>
      <w:rFonts w:ascii="Times New Roman" w:hAnsi="Times New Roman"/>
      <w:sz w:val="20"/>
      <w:lang w:eastAsia="en-GB"/>
    </w:rPr>
  </w:style>
  <w:style w:type="paragraph" w:styleId="FootnoteText">
    <w:name w:val="footnote text"/>
    <w:basedOn w:val="Normal"/>
    <w:semiHidden/>
    <w:rsid w:val="0078406D"/>
    <w:rPr>
      <w:rFonts w:ascii="Times New Roman" w:hAnsi="Times New Roman"/>
      <w:sz w:val="20"/>
      <w:lang w:eastAsia="en-GB"/>
    </w:rPr>
  </w:style>
  <w:style w:type="paragraph" w:customStyle="1" w:styleId="1">
    <w:name w:val="1"/>
    <w:basedOn w:val="Normal"/>
    <w:rsid w:val="00731127"/>
    <w:pPr>
      <w:tabs>
        <w:tab w:val="left" w:pos="1425"/>
      </w:tabs>
      <w:ind w:right="53"/>
      <w:jc w:val="both"/>
    </w:pPr>
    <w:rPr>
      <w:rFonts w:ascii="Arial" w:eastAsia="SimSun" w:hAnsi="Arial"/>
      <w:color w:val="FF6600"/>
      <w:szCs w:val="16"/>
      <w:lang w:eastAsia="zh-CN"/>
    </w:rPr>
  </w:style>
  <w:style w:type="character" w:customStyle="1" w:styleId="HeaderChar1">
    <w:name w:val="Header Char1"/>
    <w:link w:val="Header"/>
    <w:locked/>
    <w:rsid w:val="002F2AF1"/>
    <w:rPr>
      <w:rFonts w:ascii="Univers (W1)" w:hAnsi="Univers (W1)"/>
      <w:sz w:val="22"/>
      <w:lang w:eastAsia="en-US"/>
    </w:rPr>
  </w:style>
  <w:style w:type="character" w:customStyle="1" w:styleId="BodyTextIndentChar">
    <w:name w:val="Body Text Indent Char"/>
    <w:link w:val="BodyTextIndent"/>
    <w:locked/>
    <w:rsid w:val="002F2AF1"/>
    <w:rPr>
      <w:rFonts w:ascii="Arial" w:hAnsi="Arial"/>
      <w:sz w:val="22"/>
      <w:lang w:eastAsia="en-US"/>
    </w:rPr>
  </w:style>
  <w:style w:type="paragraph" w:styleId="ListParagraph">
    <w:name w:val="List Paragraph"/>
    <w:aliases w:val="Dot pt,Colorful List - Accent 11,No Spacing1,List Paragraph Char Char Char,Indicator Text,Numbered Para 1,Bullet 1,F5 List Paragraph,List Paragraph1,Bullet Points,MAIN CONTENT,List Paragraph2,List Paragraph12,OBC Bullet,List Paragraph11,L"/>
    <w:basedOn w:val="Normal"/>
    <w:link w:val="ListParagraphChar"/>
    <w:uiPriority w:val="34"/>
    <w:qFormat/>
    <w:rsid w:val="00A539F5"/>
    <w:pPr>
      <w:ind w:left="720"/>
    </w:pPr>
  </w:style>
  <w:style w:type="paragraph" w:customStyle="1" w:styleId="Default">
    <w:name w:val="Default"/>
    <w:rsid w:val="00AC1549"/>
    <w:pPr>
      <w:autoSpaceDE w:val="0"/>
      <w:autoSpaceDN w:val="0"/>
      <w:adjustRightInd w:val="0"/>
    </w:pPr>
    <w:rPr>
      <w:rFonts w:ascii="Arial" w:hAnsi="Arial" w:cs="Arial"/>
      <w:color w:val="000000"/>
      <w:sz w:val="24"/>
      <w:szCs w:val="24"/>
    </w:rPr>
  </w:style>
  <w:style w:type="character" w:styleId="Hyperlink">
    <w:name w:val="Hyperlink"/>
    <w:rsid w:val="001B6200"/>
    <w:rPr>
      <w:color w:val="0000FF"/>
      <w:u w:val="single"/>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link w:val="ListParagraph"/>
    <w:uiPriority w:val="34"/>
    <w:locked/>
    <w:rsid w:val="007B19DD"/>
    <w:rPr>
      <w:rFonts w:ascii="Univers (W1)" w:hAnsi="Univers (W1)"/>
      <w:sz w:val="22"/>
      <w:lang w:eastAsia="en-US"/>
    </w:rPr>
  </w:style>
  <w:style w:type="character" w:customStyle="1" w:styleId="HeaderChar">
    <w:name w:val="Header Char"/>
    <w:rsid w:val="00FC4868"/>
    <w:rPr>
      <w:rFonts w:ascii="Univers (W1)" w:hAnsi="Univers (W1)"/>
      <w:sz w:val="22"/>
      <w:lang w:eastAsia="en-US"/>
    </w:rPr>
  </w:style>
  <w:style w:type="character" w:styleId="Emphasis">
    <w:name w:val="Emphasis"/>
    <w:uiPriority w:val="20"/>
    <w:qFormat/>
    <w:rsid w:val="00555D83"/>
    <w:rPr>
      <w:i/>
      <w:iCs/>
    </w:rPr>
  </w:style>
  <w:style w:type="paragraph" w:styleId="Revision">
    <w:name w:val="Revision"/>
    <w:hidden/>
    <w:uiPriority w:val="99"/>
    <w:semiHidden/>
    <w:rsid w:val="008B5883"/>
    <w:rPr>
      <w:rFonts w:ascii="Univers (W1)" w:hAnsi="Univers (W1)"/>
      <w:sz w:val="22"/>
      <w:lang w:eastAsia="en-US"/>
    </w:rPr>
  </w:style>
  <w:style w:type="character" w:styleId="Mention">
    <w:name w:val="Mention"/>
    <w:uiPriority w:val="99"/>
    <w:unhideWhenUsed/>
    <w:rsid w:val="00D830D1"/>
    <w:rPr>
      <w:color w:val="2B579A"/>
      <w:shd w:val="clear" w:color="auto" w:fill="E1DFDD"/>
    </w:rPr>
  </w:style>
  <w:style w:type="paragraph" w:styleId="NormalWeb">
    <w:name w:val="Normal (Web)"/>
    <w:basedOn w:val="Normal"/>
    <w:uiPriority w:val="99"/>
    <w:unhideWhenUsed/>
    <w:rsid w:val="004D176B"/>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883">
      <w:bodyDiv w:val="1"/>
      <w:marLeft w:val="0"/>
      <w:marRight w:val="0"/>
      <w:marTop w:val="0"/>
      <w:marBottom w:val="0"/>
      <w:divBdr>
        <w:top w:val="none" w:sz="0" w:space="0" w:color="auto"/>
        <w:left w:val="none" w:sz="0" w:space="0" w:color="auto"/>
        <w:bottom w:val="none" w:sz="0" w:space="0" w:color="auto"/>
        <w:right w:val="none" w:sz="0" w:space="0" w:color="auto"/>
      </w:divBdr>
    </w:div>
    <w:div w:id="28189693">
      <w:bodyDiv w:val="1"/>
      <w:marLeft w:val="0"/>
      <w:marRight w:val="0"/>
      <w:marTop w:val="0"/>
      <w:marBottom w:val="0"/>
      <w:divBdr>
        <w:top w:val="none" w:sz="0" w:space="0" w:color="auto"/>
        <w:left w:val="none" w:sz="0" w:space="0" w:color="auto"/>
        <w:bottom w:val="none" w:sz="0" w:space="0" w:color="auto"/>
        <w:right w:val="none" w:sz="0" w:space="0" w:color="auto"/>
      </w:divBdr>
    </w:div>
    <w:div w:id="42146445">
      <w:bodyDiv w:val="1"/>
      <w:marLeft w:val="0"/>
      <w:marRight w:val="0"/>
      <w:marTop w:val="0"/>
      <w:marBottom w:val="0"/>
      <w:divBdr>
        <w:top w:val="none" w:sz="0" w:space="0" w:color="auto"/>
        <w:left w:val="none" w:sz="0" w:space="0" w:color="auto"/>
        <w:bottom w:val="none" w:sz="0" w:space="0" w:color="auto"/>
        <w:right w:val="none" w:sz="0" w:space="0" w:color="auto"/>
      </w:divBdr>
    </w:div>
    <w:div w:id="57823367">
      <w:bodyDiv w:val="1"/>
      <w:marLeft w:val="0"/>
      <w:marRight w:val="0"/>
      <w:marTop w:val="0"/>
      <w:marBottom w:val="0"/>
      <w:divBdr>
        <w:top w:val="none" w:sz="0" w:space="0" w:color="auto"/>
        <w:left w:val="none" w:sz="0" w:space="0" w:color="auto"/>
        <w:bottom w:val="none" w:sz="0" w:space="0" w:color="auto"/>
        <w:right w:val="none" w:sz="0" w:space="0" w:color="auto"/>
      </w:divBdr>
    </w:div>
    <w:div w:id="93286904">
      <w:bodyDiv w:val="1"/>
      <w:marLeft w:val="0"/>
      <w:marRight w:val="0"/>
      <w:marTop w:val="0"/>
      <w:marBottom w:val="0"/>
      <w:divBdr>
        <w:top w:val="none" w:sz="0" w:space="0" w:color="auto"/>
        <w:left w:val="none" w:sz="0" w:space="0" w:color="auto"/>
        <w:bottom w:val="none" w:sz="0" w:space="0" w:color="auto"/>
        <w:right w:val="none" w:sz="0" w:space="0" w:color="auto"/>
      </w:divBdr>
    </w:div>
    <w:div w:id="248661708">
      <w:bodyDiv w:val="1"/>
      <w:marLeft w:val="0"/>
      <w:marRight w:val="0"/>
      <w:marTop w:val="0"/>
      <w:marBottom w:val="0"/>
      <w:divBdr>
        <w:top w:val="none" w:sz="0" w:space="0" w:color="auto"/>
        <w:left w:val="none" w:sz="0" w:space="0" w:color="auto"/>
        <w:bottom w:val="none" w:sz="0" w:space="0" w:color="auto"/>
        <w:right w:val="none" w:sz="0" w:space="0" w:color="auto"/>
      </w:divBdr>
    </w:div>
    <w:div w:id="251593176">
      <w:bodyDiv w:val="1"/>
      <w:marLeft w:val="0"/>
      <w:marRight w:val="0"/>
      <w:marTop w:val="0"/>
      <w:marBottom w:val="0"/>
      <w:divBdr>
        <w:top w:val="none" w:sz="0" w:space="0" w:color="auto"/>
        <w:left w:val="none" w:sz="0" w:space="0" w:color="auto"/>
        <w:bottom w:val="none" w:sz="0" w:space="0" w:color="auto"/>
        <w:right w:val="none" w:sz="0" w:space="0" w:color="auto"/>
      </w:divBdr>
    </w:div>
    <w:div w:id="299656532">
      <w:bodyDiv w:val="1"/>
      <w:marLeft w:val="0"/>
      <w:marRight w:val="0"/>
      <w:marTop w:val="0"/>
      <w:marBottom w:val="0"/>
      <w:divBdr>
        <w:top w:val="none" w:sz="0" w:space="0" w:color="auto"/>
        <w:left w:val="none" w:sz="0" w:space="0" w:color="auto"/>
        <w:bottom w:val="none" w:sz="0" w:space="0" w:color="auto"/>
        <w:right w:val="none" w:sz="0" w:space="0" w:color="auto"/>
      </w:divBdr>
    </w:div>
    <w:div w:id="429667480">
      <w:bodyDiv w:val="1"/>
      <w:marLeft w:val="0"/>
      <w:marRight w:val="0"/>
      <w:marTop w:val="0"/>
      <w:marBottom w:val="0"/>
      <w:divBdr>
        <w:top w:val="none" w:sz="0" w:space="0" w:color="auto"/>
        <w:left w:val="none" w:sz="0" w:space="0" w:color="auto"/>
        <w:bottom w:val="none" w:sz="0" w:space="0" w:color="auto"/>
        <w:right w:val="none" w:sz="0" w:space="0" w:color="auto"/>
      </w:divBdr>
    </w:div>
    <w:div w:id="614021208">
      <w:bodyDiv w:val="1"/>
      <w:marLeft w:val="0"/>
      <w:marRight w:val="0"/>
      <w:marTop w:val="0"/>
      <w:marBottom w:val="0"/>
      <w:divBdr>
        <w:top w:val="none" w:sz="0" w:space="0" w:color="auto"/>
        <w:left w:val="none" w:sz="0" w:space="0" w:color="auto"/>
        <w:bottom w:val="none" w:sz="0" w:space="0" w:color="auto"/>
        <w:right w:val="none" w:sz="0" w:space="0" w:color="auto"/>
      </w:divBdr>
    </w:div>
    <w:div w:id="706177730">
      <w:bodyDiv w:val="1"/>
      <w:marLeft w:val="0"/>
      <w:marRight w:val="0"/>
      <w:marTop w:val="0"/>
      <w:marBottom w:val="0"/>
      <w:divBdr>
        <w:top w:val="none" w:sz="0" w:space="0" w:color="auto"/>
        <w:left w:val="none" w:sz="0" w:space="0" w:color="auto"/>
        <w:bottom w:val="none" w:sz="0" w:space="0" w:color="auto"/>
        <w:right w:val="none" w:sz="0" w:space="0" w:color="auto"/>
      </w:divBdr>
    </w:div>
    <w:div w:id="858201776">
      <w:bodyDiv w:val="1"/>
      <w:marLeft w:val="0"/>
      <w:marRight w:val="0"/>
      <w:marTop w:val="0"/>
      <w:marBottom w:val="0"/>
      <w:divBdr>
        <w:top w:val="none" w:sz="0" w:space="0" w:color="auto"/>
        <w:left w:val="none" w:sz="0" w:space="0" w:color="auto"/>
        <w:bottom w:val="none" w:sz="0" w:space="0" w:color="auto"/>
        <w:right w:val="none" w:sz="0" w:space="0" w:color="auto"/>
      </w:divBdr>
    </w:div>
    <w:div w:id="1059399472">
      <w:bodyDiv w:val="1"/>
      <w:marLeft w:val="0"/>
      <w:marRight w:val="0"/>
      <w:marTop w:val="0"/>
      <w:marBottom w:val="0"/>
      <w:divBdr>
        <w:top w:val="none" w:sz="0" w:space="0" w:color="auto"/>
        <w:left w:val="none" w:sz="0" w:space="0" w:color="auto"/>
        <w:bottom w:val="none" w:sz="0" w:space="0" w:color="auto"/>
        <w:right w:val="none" w:sz="0" w:space="0" w:color="auto"/>
      </w:divBdr>
    </w:div>
    <w:div w:id="1201700424">
      <w:bodyDiv w:val="1"/>
      <w:marLeft w:val="0"/>
      <w:marRight w:val="0"/>
      <w:marTop w:val="0"/>
      <w:marBottom w:val="0"/>
      <w:divBdr>
        <w:top w:val="none" w:sz="0" w:space="0" w:color="auto"/>
        <w:left w:val="none" w:sz="0" w:space="0" w:color="auto"/>
        <w:bottom w:val="none" w:sz="0" w:space="0" w:color="auto"/>
        <w:right w:val="none" w:sz="0" w:space="0" w:color="auto"/>
      </w:divBdr>
    </w:div>
    <w:div w:id="1373338244">
      <w:bodyDiv w:val="1"/>
      <w:marLeft w:val="0"/>
      <w:marRight w:val="0"/>
      <w:marTop w:val="0"/>
      <w:marBottom w:val="0"/>
      <w:divBdr>
        <w:top w:val="none" w:sz="0" w:space="0" w:color="auto"/>
        <w:left w:val="none" w:sz="0" w:space="0" w:color="auto"/>
        <w:bottom w:val="none" w:sz="0" w:space="0" w:color="auto"/>
        <w:right w:val="none" w:sz="0" w:space="0" w:color="auto"/>
      </w:divBdr>
    </w:div>
    <w:div w:id="1438133900">
      <w:bodyDiv w:val="1"/>
      <w:marLeft w:val="0"/>
      <w:marRight w:val="0"/>
      <w:marTop w:val="0"/>
      <w:marBottom w:val="0"/>
      <w:divBdr>
        <w:top w:val="none" w:sz="0" w:space="0" w:color="auto"/>
        <w:left w:val="none" w:sz="0" w:space="0" w:color="auto"/>
        <w:bottom w:val="none" w:sz="0" w:space="0" w:color="auto"/>
        <w:right w:val="none" w:sz="0" w:space="0" w:color="auto"/>
      </w:divBdr>
    </w:div>
    <w:div w:id="1441149055">
      <w:bodyDiv w:val="1"/>
      <w:marLeft w:val="0"/>
      <w:marRight w:val="0"/>
      <w:marTop w:val="0"/>
      <w:marBottom w:val="0"/>
      <w:divBdr>
        <w:top w:val="none" w:sz="0" w:space="0" w:color="auto"/>
        <w:left w:val="none" w:sz="0" w:space="0" w:color="auto"/>
        <w:bottom w:val="none" w:sz="0" w:space="0" w:color="auto"/>
        <w:right w:val="none" w:sz="0" w:space="0" w:color="auto"/>
      </w:divBdr>
    </w:div>
    <w:div w:id="1445073762">
      <w:bodyDiv w:val="1"/>
      <w:marLeft w:val="0"/>
      <w:marRight w:val="0"/>
      <w:marTop w:val="0"/>
      <w:marBottom w:val="0"/>
      <w:divBdr>
        <w:top w:val="none" w:sz="0" w:space="0" w:color="auto"/>
        <w:left w:val="none" w:sz="0" w:space="0" w:color="auto"/>
        <w:bottom w:val="none" w:sz="0" w:space="0" w:color="auto"/>
        <w:right w:val="none" w:sz="0" w:space="0" w:color="auto"/>
      </w:divBdr>
    </w:div>
    <w:div w:id="1555895159">
      <w:bodyDiv w:val="1"/>
      <w:marLeft w:val="0"/>
      <w:marRight w:val="0"/>
      <w:marTop w:val="0"/>
      <w:marBottom w:val="0"/>
      <w:divBdr>
        <w:top w:val="none" w:sz="0" w:space="0" w:color="auto"/>
        <w:left w:val="none" w:sz="0" w:space="0" w:color="auto"/>
        <w:bottom w:val="none" w:sz="0" w:space="0" w:color="auto"/>
        <w:right w:val="none" w:sz="0" w:space="0" w:color="auto"/>
      </w:divBdr>
    </w:div>
    <w:div w:id="1563446189">
      <w:bodyDiv w:val="1"/>
      <w:marLeft w:val="0"/>
      <w:marRight w:val="0"/>
      <w:marTop w:val="0"/>
      <w:marBottom w:val="0"/>
      <w:divBdr>
        <w:top w:val="none" w:sz="0" w:space="0" w:color="auto"/>
        <w:left w:val="none" w:sz="0" w:space="0" w:color="auto"/>
        <w:bottom w:val="none" w:sz="0" w:space="0" w:color="auto"/>
        <w:right w:val="none" w:sz="0" w:space="0" w:color="auto"/>
      </w:divBdr>
    </w:div>
    <w:div w:id="1686250593">
      <w:bodyDiv w:val="1"/>
      <w:marLeft w:val="0"/>
      <w:marRight w:val="0"/>
      <w:marTop w:val="0"/>
      <w:marBottom w:val="0"/>
      <w:divBdr>
        <w:top w:val="none" w:sz="0" w:space="0" w:color="auto"/>
        <w:left w:val="none" w:sz="0" w:space="0" w:color="auto"/>
        <w:bottom w:val="none" w:sz="0" w:space="0" w:color="auto"/>
        <w:right w:val="none" w:sz="0" w:space="0" w:color="auto"/>
      </w:divBdr>
    </w:div>
    <w:div w:id="1741706999">
      <w:bodyDiv w:val="1"/>
      <w:marLeft w:val="0"/>
      <w:marRight w:val="0"/>
      <w:marTop w:val="0"/>
      <w:marBottom w:val="0"/>
      <w:divBdr>
        <w:top w:val="none" w:sz="0" w:space="0" w:color="auto"/>
        <w:left w:val="none" w:sz="0" w:space="0" w:color="auto"/>
        <w:bottom w:val="none" w:sz="0" w:space="0" w:color="auto"/>
        <w:right w:val="none" w:sz="0" w:space="0" w:color="auto"/>
      </w:divBdr>
    </w:div>
    <w:div w:id="1841502381">
      <w:bodyDiv w:val="1"/>
      <w:marLeft w:val="0"/>
      <w:marRight w:val="0"/>
      <w:marTop w:val="0"/>
      <w:marBottom w:val="0"/>
      <w:divBdr>
        <w:top w:val="none" w:sz="0" w:space="0" w:color="auto"/>
        <w:left w:val="none" w:sz="0" w:space="0" w:color="auto"/>
        <w:bottom w:val="none" w:sz="0" w:space="0" w:color="auto"/>
        <w:right w:val="none" w:sz="0" w:space="0" w:color="auto"/>
      </w:divBdr>
    </w:div>
    <w:div w:id="2017532907">
      <w:bodyDiv w:val="1"/>
      <w:marLeft w:val="0"/>
      <w:marRight w:val="0"/>
      <w:marTop w:val="0"/>
      <w:marBottom w:val="0"/>
      <w:divBdr>
        <w:top w:val="none" w:sz="0" w:space="0" w:color="auto"/>
        <w:left w:val="none" w:sz="0" w:space="0" w:color="auto"/>
        <w:bottom w:val="none" w:sz="0" w:space="0" w:color="auto"/>
        <w:right w:val="none" w:sz="0" w:space="0" w:color="auto"/>
      </w:divBdr>
    </w:div>
    <w:div w:id="202258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cottishbordersintranet.moderngov.co.uk/documents/s80689/Item%20No.%208%20-%20Council%20Tax%20-%20Council%20-%2021%20February%202024.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E2\EXEC%20RPT%20TS%20BAS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AE4FE6AAEF3449C481B8823C521C7" ma:contentTypeVersion="11" ma:contentTypeDescription="Create a new document." ma:contentTypeScope="" ma:versionID="b3e6d20989768f2980abc285f3bd68d4">
  <xsd:schema xmlns:xsd="http://www.w3.org/2001/XMLSchema" xmlns:xs="http://www.w3.org/2001/XMLSchema" xmlns:p="http://schemas.microsoft.com/office/2006/metadata/properties" xmlns:ns2="e14ff54e-ce56-4336-b877-72244a3b650c" xmlns:ns3="6e3ada4f-8a20-43ab-a300-de46ce2785f6" targetNamespace="http://schemas.microsoft.com/office/2006/metadata/properties" ma:root="true" ma:fieldsID="e3897bd21af8d0c4cf4a3d4df206f511" ns2:_="" ns3:_="">
    <xsd:import namespace="e14ff54e-ce56-4336-b877-72244a3b650c"/>
    <xsd:import namespace="6e3ada4f-8a20-43ab-a300-de46ce2785f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ff54e-ce56-4336-b877-72244a3b6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f6298c7-8ea1-4c8f-bb4d-5fe93b8392e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ada4f-8a20-43ab-a300-de46ce2785f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4ff54e-ce56-4336-b877-72244a3b650c">
      <Terms xmlns="http://schemas.microsoft.com/office/infopath/2007/PartnerControls"/>
    </lcf76f155ced4ddcb4097134ff3c332f>
    <SharedWithUsers xmlns="6e3ada4f-8a20-43ab-a300-de46ce2785f6">
      <UserInfo>
        <DisplayName>Douglas, Suzanne (Finance)</DisplayName>
        <AccountId>33</AccountId>
        <AccountType/>
      </UserInfo>
      <UserInfo>
        <DisplayName>Turner, Lizzie</DisplayName>
        <AccountId>6</AccountId>
        <AccountType/>
      </UserInfo>
      <UserInfo>
        <DisplayName>Fleming, Jill</DisplayName>
        <AccountId>12</AccountId>
        <AccountType/>
      </UserInfo>
      <UserInfo>
        <DisplayName>Maxwell, Kirsty</DisplayName>
        <AccountId>9</AccountId>
        <AccountType/>
      </UserInfo>
      <UserInfo>
        <DisplayName>Yallop, John</DisplayName>
        <AccountId>14</AccountId>
        <AccountType/>
      </UserInfo>
      <UserInfo>
        <DisplayName>Hutchison, Tracey (Finance)</DisplayName>
        <AccountId>8</AccountId>
        <AccountType/>
      </UserInfo>
    </SharedWithUsers>
  </documentManagement>
</p:properties>
</file>

<file path=customXml/itemProps1.xml><?xml version="1.0" encoding="utf-8"?>
<ds:datastoreItem xmlns:ds="http://schemas.openxmlformats.org/officeDocument/2006/customXml" ds:itemID="{F60BDB31-30B4-41C8-8D95-0575086DF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ff54e-ce56-4336-b877-72244a3b650c"/>
    <ds:schemaRef ds:uri="6e3ada4f-8a20-43ab-a300-de46ce278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46B1B-BC1A-48CE-9727-6FE17E0B8BEC}">
  <ds:schemaRefs>
    <ds:schemaRef ds:uri="http://schemas.microsoft.com/sharepoint/v3/contenttype/forms"/>
  </ds:schemaRefs>
</ds:datastoreItem>
</file>

<file path=customXml/itemProps3.xml><?xml version="1.0" encoding="utf-8"?>
<ds:datastoreItem xmlns:ds="http://schemas.openxmlformats.org/officeDocument/2006/customXml" ds:itemID="{91EAC064-01CC-429D-956A-17C9008D4588}">
  <ds:schemaRefs>
    <ds:schemaRef ds:uri="http://schemas.openxmlformats.org/officeDocument/2006/bibliography"/>
  </ds:schemaRefs>
</ds:datastoreItem>
</file>

<file path=customXml/itemProps4.xml><?xml version="1.0" encoding="utf-8"?>
<ds:datastoreItem xmlns:ds="http://schemas.openxmlformats.org/officeDocument/2006/customXml" ds:itemID="{A7C5495D-F5FF-447F-9727-933D197BEB5C}">
  <ds:schemaRefs>
    <ds:schemaRef ds:uri="http://schemas.microsoft.com/office/2006/metadata/properties"/>
    <ds:schemaRef ds:uri="http://schemas.microsoft.com/office/infopath/2007/PartnerControls"/>
    <ds:schemaRef ds:uri="e14ff54e-ce56-4336-b877-72244a3b650c"/>
    <ds:schemaRef ds:uri="6e3ada4f-8a20-43ab-a300-de46ce2785f6"/>
  </ds:schemaRefs>
</ds:datastoreItem>
</file>

<file path=docProps/app.xml><?xml version="1.0" encoding="utf-8"?>
<Properties xmlns="http://schemas.openxmlformats.org/officeDocument/2006/extended-properties" xmlns:vt="http://schemas.openxmlformats.org/officeDocument/2006/docPropsVTypes">
  <Template>EXEC RPT TS BASE1</Template>
  <TotalTime>1</TotalTime>
  <Pages>17</Pages>
  <Words>5726</Words>
  <Characters>31702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37354</CharactersWithSpaces>
  <SharedDoc>false</SharedDoc>
  <HLinks>
    <vt:vector size="6" baseType="variant">
      <vt:variant>
        <vt:i4>6815779</vt:i4>
      </vt:variant>
      <vt:variant>
        <vt:i4>0</vt:i4>
      </vt:variant>
      <vt:variant>
        <vt:i4>0</vt:i4>
      </vt:variant>
      <vt:variant>
        <vt:i4>5</vt:i4>
      </vt:variant>
      <vt:variant>
        <vt:lpwstr>https://scottishbordersintranet.moderngov.co.uk/documents/s80689/Item No. 8 - Council Tax - Council - 21 February 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Young 5178</dc:creator>
  <cp:keywords/>
  <dc:description/>
  <cp:lastModifiedBy>Turner, Lizzie</cp:lastModifiedBy>
  <cp:revision>2</cp:revision>
  <cp:lastPrinted>2011-08-22T23:38:00Z</cp:lastPrinted>
  <dcterms:created xsi:type="dcterms:W3CDTF">2024-02-23T09:47:00Z</dcterms:created>
  <dcterms:modified xsi:type="dcterms:W3CDTF">2024-02-23T09:47:00Z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2021-02-24T09:40:58Z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4d4a60a6-04a2-4f47-b013-6ac04ebdac46</vt:lpwstr>
  </property>
  <property fmtid="{D5CDD505-2E9C-101B-9397-08002B2CF9AE}" pid="8" name="MSIP_Label_9fedad31-c0c2-44e8-b26c-75143ee7ed65_ContentBits">
    <vt:lpwstr>0</vt:lpwstr>
  </property>
  <property fmtid="{D5CDD505-2E9C-101B-9397-08002B2CF9AE}" pid="9" name="ContentTypeId">
    <vt:lpwstr>0x010100DA6AE4FE6AAEF3449C481B8823C521C7</vt:lpwstr>
  </property>
  <property fmtid="{D5CDD505-2E9C-101B-9397-08002B2CF9AE}" pid="10" name="MediaServiceImageTags">
    <vt:lpwstr/>
  </property>
</Properties>
</file>